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>Министерство науки и высшего образования Российской Федерации</w:t>
        <w:br/>
        <w:t>ФГБОУ ВО «Уфимский университет науки и технологий»</w:t>
        <w:br/>
        <w:t>Кафедра автоматизированных систем управления</w:t>
        <w:br/>
      </w:r>
    </w:p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ОТЧЕТ ПО ЛАБОРАТОРНОЙ РАБОТЕ</w:t>
        <w:br/>
      </w:r>
      <w:r>
        <w:rPr>
          <w:rFonts w:ascii="Times New Roman" w:hAnsi="Times New Roman"/>
          <w:sz w:val="26"/>
        </w:rPr>
        <w:t>по дисциплине «Корпоративные информационные системы»</w:t>
        <w:br/>
        <w:br/>
      </w:r>
      <w:r>
        <w:rPr>
          <w:rFonts w:ascii="Times New Roman" w:hAnsi="Times New Roman"/>
          <w:b/>
          <w:sz w:val="27"/>
        </w:rPr>
        <w:t>Тема: «Динамическое моделирование подпроцессов автосервиса в нотации BPMN 2.0:</w:t>
        <w:br/>
        <w:t>Подпроцесс 1: Оформление заявки клиента (Данил)</w:t>
        <w:br/>
        <w:t>Подпроцесс 2: Исполнение наряд-заказа (Карим)</w:t>
        <w:br/>
        <w:t>Сквозная динамическая модель процесса чип-тюнинга автомобиля»</w:t>
        <w:br/>
      </w:r>
    </w:p>
    <w:p/>
    <w:p/>
    <w:p/>
    <w:p>
      <w:pPr>
        <w:spacing w:line="288" w:lineRule="auto"/>
        <w:jc w:val="right"/>
      </w:pPr>
      <w:r>
        <w:rPr>
          <w:rFonts w:ascii="Times New Roman" w:hAnsi="Times New Roman"/>
          <w:sz w:val="23"/>
        </w:rPr>
        <w:t>Выполнили: студенты гр. ЭАС-514С</w:t>
        <w:br/>
        <w:t>Гайнанов Д.И. (Данил) _____________</w:t>
        <w:br/>
        <w:t>[Партнер] (Карим) _____________</w:t>
        <w:br/>
        <w:br/>
        <w:t>Проверил: ст. преподаватель кафедры АСУ</w:t>
        <w:br/>
        <w:t>Демченко М.С. _____________</w:t>
        <w:br/>
      </w:r>
    </w:p>
    <w:p/>
    <w:p/>
    <w:p/>
    <w:p>
      <w:pPr>
        <w:jc w:val="center"/>
      </w:pPr>
      <w:r>
        <w:rPr>
          <w:rFonts w:ascii="Times New Roman" w:hAnsi="Times New Roman"/>
          <w:sz w:val="23"/>
        </w:rPr>
        <w:t>Уфа — 2026</w:t>
      </w:r>
    </w:p>
    <w:p>
      <w:r>
        <w:br w:type="page"/>
      </w:r>
    </w:p>
    <w:p>
      <w:pPr>
        <w:keepNext/>
        <w:spacing w:before="280" w:after="120"/>
        <w:jc w:val="center"/>
      </w:pPr>
      <w:r>
        <w:rPr>
          <w:rFonts w:ascii="Times New Roman" w:hAnsi="Times New Roman"/>
          <w:b/>
          <w:color w:val="0F172A"/>
          <w:sz w:val="30"/>
        </w:rPr>
        <w:t>ВВЕДЕНИЕ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В курсе «Корпоративные информационные системы» (КИС) проектирование архитектуры систем управления сервисным предприятием требует комплексного сочетания статического и динамического описания бизнес-процессов. Если в первой части лабораторной работы были построены статические модели — организационная структура сервиса, границы системы, мнемосхема документооборота и концептуальная модель базы данных (ERD), то целью второго этапа является построение строгой динамической модели подпроцессов в нотации BPMN 2.0 (Business Process Model and Notation) в среде Microsoft Visio.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Динамическая модель отражает функционирование системы во времени: последовательность технологических и управленческих операций, условия перехода между состояниями, логические развилки (шлюзы исключающего выбора XOR), контуры обработки сбоев и аварийного восстановления, а также циркуляцию документов и взаимодействие ролей с КИС.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В соответствии с техническим заданием преподавателя кафедры АСУ Демченко М.С., лабораторное задание разделено между участниками проектной группы со следующей четкой специализацией: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1. Студент 1 (Данил) — </w:t>
      </w:r>
      <w:r>
        <w:rPr>
          <w:rFonts w:ascii="Times New Roman" w:hAnsi="Times New Roman"/>
          <w:i w:val="0"/>
          <w:color w:val="1E293B"/>
          <w:sz w:val="23"/>
        </w:rPr>
        <w:t>отвечает за разработку динамической модели подпроцесса «Оформление заявки клиента и согласование работ». Процесс охватывает первичное обращение клиента, осмотр автомобиля, проверку в базе КИС, расчет сметы, согласование условий с клиентом и выпуск ключевого первичного документа — «Наряд-заказ».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2. Студент 2 (Карим) — </w:t>
      </w:r>
      <w:r>
        <w:rPr>
          <w:rFonts w:ascii="Times New Roman" w:hAnsi="Times New Roman"/>
          <w:i w:val="0"/>
          <w:color w:val="1E293B"/>
          <w:sz w:val="23"/>
        </w:rPr>
        <w:t>отвечает за разработку динамической модели подпроцесса «Исполнение наряд-заказа и выдача автомобиля». Процесс начинается с получения документа «Наряд-заказ» в производственной зоне, включает входную диагностику, вычитку сток-прошивки, калибровку, выполнение записи во Flash-память ЭБУ с обязательным добавлением технического комментария мастера, выходной тест-драйв со снятием динамических логов и завершается выпуском выходного документа — «Акт выполненных работ».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3. Сквозная интеграционная модель — </w:t>
      </w:r>
      <w:r>
        <w:rPr>
          <w:rFonts w:ascii="Times New Roman" w:hAnsi="Times New Roman"/>
          <w:i w:val="0"/>
          <w:color w:val="1E293B"/>
          <w:sz w:val="23"/>
        </w:rPr>
        <w:t>объединяет оба подпроцесса в единый непрерывный цикл предприятия, демонстрируя бесшовный переход от клиентской зоны к производственному цеху через стандартизированный документооборот КИС.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Все модели выполнены в строгом соответствии с требованиями стандарта BPMN 2.0: действия (Tasks) представлены блоками с синим контуром и заливкой, документы (Data Objects) оформлены в виде специального значка со скошенным уголком, подписи стрелок выполнены с прозрачным фоном без перекрывающих плашек.</w:t>
      </w:r>
    </w:p>
    <w:p>
      <w:pPr>
        <w:keepNext/>
        <w:spacing w:before="280" w:after="120"/>
        <w:jc w:val="center"/>
      </w:pPr>
      <w:r>
        <w:rPr>
          <w:rFonts w:ascii="Times New Roman" w:hAnsi="Times New Roman"/>
          <w:b/>
          <w:color w:val="0F172A"/>
          <w:sz w:val="30"/>
        </w:rPr>
        <w:t>1. ДИНАМИЧЕСКАЯ МОДЕЛЬ ПОДПРОЦЕССА 1: «ОФОРМЛЕНИЕ ЗАЯВКИ КЛИЕНТА» (ДАНИЛ)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E293B"/>
          <w:sz w:val="26"/>
        </w:rPr>
        <w:t>1.1 Характеристика и ролевая структура подпроцесса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Подпроцесс оформления заявки клиента является точкой входа автовладельца в систему сервисного центра. Цель подпроцесса — квалифицированная фиксация потребности клиента, проверка технической возможности выполнения чип-тюнинга конкретного типа ЭБУ, автоматический расчет сметы в КИС и юридическое оформление передачи транспортного средства в сервис путем подписания документа «Наряд-заказ».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В подпроцессе выделены три горизонтальные дорожки (Swimlanes):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• Клиент (Автовладелец) — </w:t>
      </w:r>
      <w:r>
        <w:rPr>
          <w:rFonts w:ascii="Times New Roman" w:hAnsi="Times New Roman"/>
          <w:i w:val="0"/>
          <w:color w:val="1E293B"/>
          <w:sz w:val="23"/>
        </w:rPr>
        <w:t>физическое или юридическое лицо, эксплуатирующее транспортное средство, формулирующее требования к динамике, расходу топлива или экологии автомобиля, и принимающее решение об утверждении сметы.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• Мастер-приемщик (Сервисный консультант) — </w:t>
      </w:r>
      <w:r>
        <w:rPr>
          <w:rFonts w:ascii="Times New Roman" w:hAnsi="Times New Roman"/>
          <w:i w:val="0"/>
          <w:color w:val="1E293B"/>
          <w:sz w:val="23"/>
        </w:rPr>
        <w:t>квалифицированный сотрудник фронт-офиса, выполняющий первичную визуальную приемку авто, фиксирующий комплектацию, пробег и формирующий электронную заявку в КИС.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• КИС «Автосервис» — </w:t>
      </w:r>
      <w:r>
        <w:rPr>
          <w:rFonts w:ascii="Times New Roman" w:hAnsi="Times New Roman"/>
          <w:i w:val="0"/>
          <w:color w:val="1E293B"/>
          <w:sz w:val="23"/>
        </w:rPr>
        <w:t>программный комплекс автосервиса (модули CRM, каталога нормо-часов, складского учета и истории обслуживания), обеспечивающий мгновенный поиск спецификации ЭБУ, расчет стоимости и генерацию наряд-заказа.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E293B"/>
          <w:sz w:val="26"/>
        </w:rPr>
        <w:t>1.2 Графическая диаграмма BPMN 2.0 (Данил)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На рисунке 1 представлена векторная динамическая модель подпроцесса оформления заявки клиента, разработанная в среде Microsoft Visio.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70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одпроцесс_1_Оформление_заявки_Данил_BPM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color w:val="1E293B"/>
          <w:sz w:val="20"/>
        </w:rPr>
        <w:t>Рисунок 1 – Динамическая модель подпроцесса 1 «Оформление заявки клиента» в нотации BPMN 2.0 (Данил)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E293B"/>
          <w:sz w:val="26"/>
        </w:rPr>
        <w:t>1.3 Описание логики потока и точек ветвления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Логика выполнения подпроцесса включает следующие ключевые операции: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1. Первичный контакт и ввод данных: </w:t>
      </w:r>
      <w:r>
        <w:rPr>
          <w:rFonts w:ascii="Times New Roman" w:hAnsi="Times New Roman"/>
          <w:i w:val="0"/>
          <w:color w:val="1E293B"/>
          <w:sz w:val="23"/>
        </w:rPr>
        <w:t>клиент обращается в сервис (Стартовое событие) и озвучивает пожелания по увеличению мощности (Stage 1) либо устранению ошибок экологических систем (Евро-2, DPF). Мастер-приемщик производит осмотр авто, фиксирует VIN-код, текущий пробег и заносит параметры в КИС (шаг 1.2).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2. Проверка возможности чип-тюнинга в КИС: </w:t>
      </w:r>
      <w:r>
        <w:rPr>
          <w:rFonts w:ascii="Times New Roman" w:hAnsi="Times New Roman"/>
          <w:i w:val="0"/>
          <w:color w:val="1E293B"/>
          <w:sz w:val="23"/>
        </w:rPr>
        <w:t>КИС выполняет автоматический опрос базы данных по VIN-коду: проверяется история визитов, заводская комплектация, тип установленного ЭБУ (например, Bosch MG1, Continental Simos 18) и наличие проверенных протоколов чтения/записи для данного блока (шаг 1.3).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3. Развилка 1: </w:t>
      </w:r>
      <w:r>
        <w:rPr>
          <w:rFonts w:ascii="Times New Roman" w:hAnsi="Times New Roman"/>
          <w:i w:val="0"/>
          <w:color w:val="1E293B"/>
          <w:sz w:val="23"/>
        </w:rPr>
        <w:t>шлюз XOR «Тюнинг возможен?». Если блок управления защищен невзламываемым аппаратным крипто-локом (отсутствует протокол доступа) либо двигатель конструктивно не подлежит форсированию, происходит переход к шагу 1.4: мастер информирует клиента о технических ограничениях, заявка переводится в статус отклоненной (Конечное событие-ошибка). При положительном ответе мастер консультирует по пакетам доработок (шаг 1.5).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4. Расчет сметы: </w:t>
      </w:r>
      <w:r>
        <w:rPr>
          <w:rFonts w:ascii="Times New Roman" w:hAnsi="Times New Roman"/>
          <w:i w:val="0"/>
          <w:color w:val="1E293B"/>
          <w:sz w:val="23"/>
        </w:rPr>
        <w:t>КИС производит автоматическую калькуляцию сметы по прайс-листу с учетом скидок и действующих акций (шаг 1.6). Смета передается клиенту на рассмотрение (шаг 1.7).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5. Развилка 2: </w:t>
      </w:r>
      <w:r>
        <w:rPr>
          <w:rFonts w:ascii="Times New Roman" w:hAnsi="Times New Roman"/>
          <w:i w:val="0"/>
          <w:color w:val="1E293B"/>
          <w:sz w:val="23"/>
        </w:rPr>
        <w:t>шлюз XOR «Клиент согласен?». Если стоимость или условия гарантии не устраивают заказчика, мастер фиксирует причину отказа в CRM-системе КИС (шаг 1.8), процесс завершается. При согласии клиента КИС формирует официальный наряд-заказ (шаг 1.9).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6. Выпуск ключевого документа «Наряд-заказ»: </w:t>
      </w:r>
      <w:r>
        <w:rPr>
          <w:rFonts w:ascii="Times New Roman" w:hAnsi="Times New Roman"/>
          <w:i w:val="0"/>
          <w:color w:val="1E293B"/>
          <w:sz w:val="23"/>
        </w:rPr>
        <w:t>на основе утвержденного ТЗ система генерирует документ «Наряд-заказ» со статусом «Оформлен». Документ выводится на печать и подписывается обеими сторонами, мастер принимает ключи и ТС (шаг 1.10). Финал — передача наряд-заказа в производственный цех тюнинга.</w:t>
      </w:r>
    </w:p>
    <w:p>
      <w:pPr>
        <w:keepNext/>
        <w:spacing w:before="280" w:after="120"/>
        <w:jc w:val="center"/>
      </w:pPr>
      <w:r>
        <w:rPr>
          <w:rFonts w:ascii="Times New Roman" w:hAnsi="Times New Roman"/>
          <w:b/>
          <w:color w:val="0F172A"/>
          <w:sz w:val="30"/>
        </w:rPr>
        <w:t>2. ДИНАМИЧЕСКАЯ МОДЕЛЬ ПОДПРОЦЕССА 2: «ИСПОЛНЕНИЕ НАРИД-ЗАКАЗА» (КАРИМ)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E293B"/>
          <w:sz w:val="26"/>
        </w:rPr>
        <w:t>2.1 Характеристика и ролевая структура подпроцесса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Подпроцесс исполнения заказа является высокотехнологичным производственным этапом сервиса. Он реализуется непосредственно в цеху и на диагностических постах. Главная задача — обеспечение безопасной модификации управляющей программы ЭБУ с соблюдением всех защитных регламентов, предотвращением сбоев, обязательным документированием технического комментария мастера и формированием финального документа «Акт выполненных работ».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В подпроцессе задействованы четыре функциональные дорожки: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• Мастер-приемщик — </w:t>
      </w:r>
      <w:r>
        <w:rPr>
          <w:rFonts w:ascii="Times New Roman" w:hAnsi="Times New Roman"/>
          <w:i w:val="0"/>
          <w:color w:val="1E293B"/>
          <w:sz w:val="23"/>
        </w:rPr>
        <w:t>осуществляет диспетчеризацию наряд-заказа в цеху, контроль соблюдения сроков и итоговую выдачу автомобиля клиенту с подписанием акта.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• Инженер-диагност — </w:t>
      </w:r>
      <w:r>
        <w:rPr>
          <w:rFonts w:ascii="Times New Roman" w:hAnsi="Times New Roman"/>
          <w:i w:val="0"/>
          <w:color w:val="1E293B"/>
          <w:sz w:val="23"/>
        </w:rPr>
        <w:t>выполняет глубокую входную диагностику электронных систем управления двигателем (ЭСУД), выявляет скрытые дефекты, оформляет электронный допуск к прошивке, а также проводит выходной тест-драйв со снятием динамических логов.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• Специалист по чип-тюнингу — </w:t>
      </w:r>
      <w:r>
        <w:rPr>
          <w:rFonts w:ascii="Times New Roman" w:hAnsi="Times New Roman"/>
          <w:i w:val="0"/>
          <w:color w:val="1E293B"/>
          <w:sz w:val="23"/>
        </w:rPr>
        <w:t>высококвалифицированный калибровщик, выполняющий подключение стабилизатора питания АКБ, вычитывание оригинального дампа ROM, редактирование калибровочных таблиц в WinOLS, пересчет контрольных сумм CRC и запись ПО во flash-память ЭБУ, а также формирование технического комментария.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• КИС «Автосервис: Тюнинг» — </w:t>
      </w:r>
      <w:r>
        <w:rPr>
          <w:rFonts w:ascii="Times New Roman" w:hAnsi="Times New Roman"/>
          <w:i w:val="0"/>
          <w:color w:val="1E293B"/>
          <w:sz w:val="23"/>
        </w:rPr>
        <w:t>серверный модуль автоматического архивирования оригинальных и тюнингованных прошивок по хэшу SHA-256, ведения базы калибровок, расчета гарантийных обязательств и генерации Акта выполненных работ.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E293B"/>
          <w:sz w:val="26"/>
        </w:rPr>
        <w:t>2.2 Графическая диаграмма BPMN 2.0 (Карим)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На рисунке 2 представлена векторная динамическая модель подпроцесса исполнения заказа, разработанная в среде Microsoft Visio.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74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одпроцесс_2_Исполнение_заказа_Карим_BPM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color w:val="1E293B"/>
          <w:sz w:val="20"/>
        </w:rPr>
        <w:t>Рисунок 2 – Динамическая модель подпроцесса 2 «Исполнение наряд-заказа» в нотации BPMN 2.0 (Карим)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E293B"/>
          <w:sz w:val="26"/>
        </w:rPr>
        <w:t>2.3 Описание технологической цепочки операций (Карим)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В соответствии с индивидуальным заданием Карима динамическая модель строго реализует цепочку «Получение наряд-заказа -&gt; Выполнение + технический комментарий -&gt; Выдача Акта выполненных работ»: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1. Получение наряд-заказа и входная диагностика: </w:t>
      </w:r>
      <w:r>
        <w:rPr>
          <w:rFonts w:ascii="Times New Roman" w:hAnsi="Times New Roman"/>
          <w:i w:val="0"/>
          <w:color w:val="1E293B"/>
          <w:sz w:val="23"/>
        </w:rPr>
        <w:t>наряд-заказ поступает на пост диагностики. Инженер-диагност считывает коды неисправностей (DTC) и текущие параметры датчиков (шаг 2.1). Шлюз «ДВС исправен?»: при выявлении пропусков зажигания, критического износа турбины или топливных отклонений оформляется акт дефектовки в КИС (шаг 2.2), и автомобиль снимается с поста. Прошивать неисправный двигатель категорически запрещено стандартом сервиса.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2. Подключение питания и вычитка стока: </w:t>
      </w:r>
      <w:r>
        <w:rPr>
          <w:rFonts w:ascii="Times New Roman" w:hAnsi="Times New Roman"/>
          <w:i w:val="0"/>
          <w:color w:val="1E293B"/>
          <w:sz w:val="23"/>
        </w:rPr>
        <w:t>автомобиль подключается к импульсному источнику питания 14V (GYS Flash 100A), калибровщик считывает стоковый дамп ROM через программатор (шаг 2.3). КИС в автоматическом фоновом режиме вычисляет контрольную сумму SHA-256 и архивирует оригинальный заводской файл в защищенное хранилище (шаг 2.4).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3. Калибровка и запись ПО: </w:t>
      </w:r>
      <w:r>
        <w:rPr>
          <w:rFonts w:ascii="Times New Roman" w:hAnsi="Times New Roman"/>
          <w:i w:val="0"/>
          <w:color w:val="1E293B"/>
          <w:sz w:val="23"/>
        </w:rPr>
        <w:t>специалист производит модификацию калибровочных карт (давление наддува, лимитеры крутящего момента, топливоподача) в редакторе WinOLS, производит пересчет контрольной суммы CRC32 и производит запись данных во Flash-память ЭБУ (шаг 2.5).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4. Контур отказоустойчивости (Recovery Mode): </w:t>
      </w:r>
      <w:r>
        <w:rPr>
          <w:rFonts w:ascii="Times New Roman" w:hAnsi="Times New Roman"/>
          <w:i w:val="0"/>
          <w:color w:val="1E293B"/>
          <w:sz w:val="23"/>
        </w:rPr>
        <w:t>шлюз XOR «Запись OK?». В случае просадки питания или зависания шины CAN активируется шаг 2.6 «Recovery Mode»: программатор переводится в режим прямого низкоуровневого доступа к процессору (Bench/Boot mode) и восстанавливает блок из заводского бэкапа КИС с повторением записи.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5. Выполнение работ и внесение технического комментария: </w:t>
      </w:r>
      <w:r>
        <w:rPr>
          <w:rFonts w:ascii="Times New Roman" w:hAnsi="Times New Roman"/>
          <w:i w:val="0"/>
          <w:color w:val="1E293B"/>
          <w:sz w:val="23"/>
        </w:rPr>
        <w:t>после успешной записи калибровщик выполняет программный сброс ЭБУ, адаптаций дроссельной заслонки и топливной коррекции, а также вносит в электронную карточку наряда развернутый ТЕХНИЧЕСКИЙ КОММЕНТАРИЙ: версия залитого софта, расчетный прирост мощности (+35 л.с. / +65 Нм), требования к топливу (только АИ-100/98) и сервисные рекомендации (шаг 2.7).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6. Выходной тест-драйв: </w:t>
      </w:r>
      <w:r>
        <w:rPr>
          <w:rFonts w:ascii="Times New Roman" w:hAnsi="Times New Roman"/>
          <w:i w:val="0"/>
          <w:color w:val="1E293B"/>
          <w:sz w:val="23"/>
        </w:rPr>
        <w:t>диагност выполняет тестовый заезд под нагрузкой, снимая логи фактического наддува, углов опережения зажигания и детонационных откатов (Knock Retard). Шлюз «Логи в норме?»: при отсутствии детонации параметры передаются в КИС (шаг 2.8).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7. Выдача Акта выполненных работ: </w:t>
      </w:r>
      <w:r>
        <w:rPr>
          <w:rFonts w:ascii="Times New Roman" w:hAnsi="Times New Roman"/>
          <w:i w:val="0"/>
          <w:color w:val="1E293B"/>
          <w:sz w:val="23"/>
        </w:rPr>
        <w:t>КИС архивирует финальный файл прошивки, регистрирует электронную гарантию и автоматически генерирует выходной документ — «Акт выполненных работ и отчет о калибровке» (шаг 2.9). Мастер-приемщик подписывает акт с клиентом и выдает автомобиль с сертификатом (шаг 2.10).</w:t>
      </w:r>
    </w:p>
    <w:p>
      <w:pPr>
        <w:keepNext/>
        <w:spacing w:before="280" w:after="120"/>
        <w:jc w:val="center"/>
      </w:pPr>
      <w:r>
        <w:rPr>
          <w:rFonts w:ascii="Times New Roman" w:hAnsi="Times New Roman"/>
          <w:b/>
          <w:color w:val="0F172A"/>
          <w:sz w:val="30"/>
        </w:rPr>
        <w:t>3. ОБЩАЯ СКВОЗНАЯ ДИНАМИЧЕСКАЯ МОДЕЛЬ ПРОЦЕССА ЧИП-ТЮНИНГА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E293B"/>
          <w:sz w:val="26"/>
        </w:rPr>
        <w:t>3.1 Интеграция подпроцессов в рамках единой КИС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Общая сквозная модель объединяет фронт-офисный этап оформления заявки (подпроцесс Данила) и производственно-технический этап исполнения работ (подпроцесс Карима). Связующими звеньями выступают формализованные информационные объекты — электронные документы КИС: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• Документ «Наряд-заказ» — </w:t>
      </w:r>
      <w:r>
        <w:rPr>
          <w:rFonts w:ascii="Times New Roman" w:hAnsi="Times New Roman"/>
          <w:i w:val="0"/>
          <w:color w:val="1E293B"/>
          <w:sz w:val="23"/>
        </w:rPr>
        <w:t>служит исходящим артефактом первого этапа и входящим управляющим документом для второго этапа. Содержит согласованное ТЗ, перечень опций (Stage 1 / Евро-2) и идентификаторы ТС.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• Документ «Акт выполненных работ» — </w:t>
      </w:r>
      <w:r>
        <w:rPr>
          <w:rFonts w:ascii="Times New Roman" w:hAnsi="Times New Roman"/>
          <w:i w:val="0"/>
          <w:color w:val="1E293B"/>
          <w:sz w:val="23"/>
        </w:rPr>
        <w:t>служит итоговым отчетным документом производственного этапа, фиксирующим успешное перепрограммирование, данные логов, гарантийный период и финальную стоимость для взаиморасчетов с заказчиком.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E293B"/>
          <w:sz w:val="26"/>
        </w:rPr>
        <w:t>3.2 Графическая диаграмма BPMN 2.0 (Общая модель)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На рисунке 3 приведена общая сквозная модель процесса чип-тюнинга автомобиля, объединяющая дорожки участников и потоки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4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бщая_динамическая_модель_чип_тюнинг_BPM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color w:val="1E293B"/>
          <w:sz w:val="20"/>
        </w:rPr>
        <w:t>Рисунок 3 – Общая сквозная динамическая модель процесса чип-тюнинга автосервиса в нотации BPMN 2.0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E293B"/>
          <w:sz w:val="26"/>
        </w:rPr>
        <w:t>3.3 Сквозная матрица ответственности ролей (RACI)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Для формализации разделения зон ответственности между всеми участниками сквозного процесса в таблице 1 представлена сводная матрица RACI (Responsible — Исполнитель, Accountable — Ответственный, Consulted — Консультант, Informed — Информируемый).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3685"/>
            <w:shd w:fill="1E293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Шаг сквозного процесса</w:t>
            </w:r>
          </w:p>
        </w:tc>
        <w:tc>
          <w:tcPr>
            <w:tcW w:type="dxa" w:w="1020"/>
            <w:shd w:fill="1E293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Мастер</w:t>
            </w:r>
          </w:p>
        </w:tc>
        <w:tc>
          <w:tcPr>
            <w:tcW w:type="dxa" w:w="1020"/>
            <w:shd w:fill="1E293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Диагност</w:t>
            </w:r>
          </w:p>
        </w:tc>
        <w:tc>
          <w:tcPr>
            <w:tcW w:type="dxa" w:w="1020"/>
            <w:shd w:fill="1E293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Тюнер</w:t>
            </w:r>
          </w:p>
        </w:tc>
        <w:tc>
          <w:tcPr>
            <w:tcW w:type="dxa" w:w="1247"/>
            <w:shd w:fill="1E293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КИС</w:t>
            </w:r>
          </w:p>
        </w:tc>
        <w:tc>
          <w:tcPr>
            <w:tcW w:type="dxa" w:w="1644"/>
            <w:shd w:fill="1E293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Исполнитель модели</w:t>
            </w:r>
          </w:p>
        </w:tc>
      </w:tr>
      <w:tr>
        <w:tc>
          <w:tcPr>
            <w:tcW w:type="dxa" w:w="3685"/>
            <w:shd w:fill="F8FAFC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1.1 Озвучивание пожеланий и осмотр авто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R / A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247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Регистрация</w:t>
            </w:r>
          </w:p>
        </w:tc>
        <w:tc>
          <w:tcPr>
            <w:tcW w:type="dxa" w:w="1644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Данил (Этап 1)</w:t>
            </w:r>
          </w:p>
        </w:tc>
      </w:tr>
      <w:tr>
        <w:tc>
          <w:tcPr>
            <w:tcW w:type="dxa" w:w="3685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1.2 Поиск в базе КИС истории и типа ЭБУ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C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R / A</w:t>
            </w:r>
          </w:p>
        </w:tc>
        <w:tc>
          <w:tcPr>
            <w:tcW w:type="dxa" w:w="1644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Данил (Этап 1)</w:t>
            </w:r>
          </w:p>
        </w:tc>
      </w:tr>
      <w:tr>
        <w:tc>
          <w:tcPr>
            <w:tcW w:type="dxa" w:w="3685"/>
            <w:shd w:fill="F8FAFC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1.3 Консультация по пакетам и расчет сметы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R / A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247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Калькуляция</w:t>
            </w:r>
          </w:p>
        </w:tc>
        <w:tc>
          <w:tcPr>
            <w:tcW w:type="dxa" w:w="1644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Данил (Этап 1)</w:t>
            </w:r>
          </w:p>
        </w:tc>
      </w:tr>
      <w:tr>
        <w:tc>
          <w:tcPr>
            <w:tcW w:type="dxa" w:w="3685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1.4 Согласование и выпуск Наряд-заказа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R / A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Документ</w:t>
            </w:r>
          </w:p>
        </w:tc>
        <w:tc>
          <w:tcPr>
            <w:tcW w:type="dxa" w:w="1644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Данил (Этап 1)</w:t>
            </w:r>
          </w:p>
        </w:tc>
      </w:tr>
      <w:tr>
        <w:tc>
          <w:tcPr>
            <w:tcW w:type="dxa" w:w="3685"/>
            <w:shd w:fill="F8FAFC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2.1 Получение наряд-заказа и входная диагн.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R / A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C</w:t>
            </w:r>
          </w:p>
        </w:tc>
        <w:tc>
          <w:tcPr>
            <w:tcW w:type="dxa" w:w="1247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Поддержка</w:t>
            </w:r>
          </w:p>
        </w:tc>
        <w:tc>
          <w:tcPr>
            <w:tcW w:type="dxa" w:w="1644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Карим (Этап 2)</w:t>
            </w:r>
          </w:p>
        </w:tc>
      </w:tr>
      <w:tr>
        <w:tc>
          <w:tcPr>
            <w:tcW w:type="dxa" w:w="3685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2.2 Подключение АКБ 14V и вычитка стока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R / A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644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Карим (Этап 2)</w:t>
            </w:r>
          </w:p>
        </w:tc>
      </w:tr>
      <w:tr>
        <w:tc>
          <w:tcPr>
            <w:tcW w:type="dxa" w:w="3685"/>
            <w:shd w:fill="F8FAFC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2.3 Автоархивация сток-дампа (SHA-256)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247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R / A</w:t>
            </w:r>
          </w:p>
        </w:tc>
        <w:tc>
          <w:tcPr>
            <w:tcW w:type="dxa" w:w="1644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Карим (Этап 2)</w:t>
            </w:r>
          </w:p>
        </w:tc>
      </w:tr>
      <w:tr>
        <w:tc>
          <w:tcPr>
            <w:tcW w:type="dxa" w:w="3685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2.4 Модификация карт в WinOLS и запись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C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R / A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644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Карим (Этап 2)</w:t>
            </w:r>
          </w:p>
        </w:tc>
      </w:tr>
      <w:tr>
        <w:tc>
          <w:tcPr>
            <w:tcW w:type="dxa" w:w="3685"/>
            <w:shd w:fill="F8FAFC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2.5 Аварийное восстановление (Recovery)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C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R / A</w:t>
            </w:r>
          </w:p>
        </w:tc>
        <w:tc>
          <w:tcPr>
            <w:tcW w:type="dxa" w:w="1247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Логирование</w:t>
            </w:r>
          </w:p>
        </w:tc>
        <w:tc>
          <w:tcPr>
            <w:tcW w:type="dxa" w:w="1644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Карим (Этап 2)</w:t>
            </w:r>
          </w:p>
        </w:tc>
      </w:tr>
      <w:tr>
        <w:tc>
          <w:tcPr>
            <w:tcW w:type="dxa" w:w="3685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2.6 Сброс адаптаций + ТЕХ. КОММЕНТАРИЙ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R / A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Фиксация</w:t>
            </w:r>
          </w:p>
        </w:tc>
        <w:tc>
          <w:tcPr>
            <w:tcW w:type="dxa" w:w="1644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Карим (Этап 2)</w:t>
            </w:r>
          </w:p>
        </w:tc>
      </w:tr>
      <w:tr>
        <w:tc>
          <w:tcPr>
            <w:tcW w:type="dxa" w:w="3685"/>
            <w:shd w:fill="F8FAFC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2.7 Выходной тест-драйв со снятием логов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R / A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C</w:t>
            </w:r>
          </w:p>
        </w:tc>
        <w:tc>
          <w:tcPr>
            <w:tcW w:type="dxa" w:w="1247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644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Карим (Этап 2)</w:t>
            </w:r>
          </w:p>
        </w:tc>
      </w:tr>
      <w:tr>
        <w:tc>
          <w:tcPr>
            <w:tcW w:type="dxa" w:w="3685"/>
            <w:shd w:fill="FFFFFF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2.8 Формирование Акта выполненных работ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R / A</w:t>
            </w:r>
          </w:p>
        </w:tc>
        <w:tc>
          <w:tcPr>
            <w:tcW w:type="dxa" w:w="1644"/>
            <w:shd w:fill="FFFFFF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Карим (Этап 2)</w:t>
            </w:r>
          </w:p>
        </w:tc>
      </w:tr>
      <w:tr>
        <w:tc>
          <w:tcPr>
            <w:tcW w:type="dxa" w:w="3685"/>
            <w:shd w:fill="F8FAFC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2.9 Выдача авто, сертификата и закрытие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R / A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020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I</w:t>
            </w:r>
          </w:p>
        </w:tc>
        <w:tc>
          <w:tcPr>
            <w:tcW w:type="dxa" w:w="1247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Архивация</w:t>
            </w:r>
          </w:p>
        </w:tc>
        <w:tc>
          <w:tcPr>
            <w:tcW w:type="dxa" w:w="1644"/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color w:val="1E293B"/>
                <w:sz w:val="17"/>
              </w:rPr>
              <w:t>Карим (Этап 2)</w:t>
            </w:r>
          </w:p>
        </w:tc>
      </w:tr>
    </w:tbl>
    <w:p>
      <w:pPr>
        <w:jc w:val="left"/>
      </w:pPr>
      <w:r>
        <w:rPr>
          <w:rFonts w:ascii="Times New Roman" w:hAnsi="Times New Roman"/>
          <w:i/>
          <w:sz w:val="20"/>
        </w:rPr>
        <w:t>Таблица 1 – Сводная матрица ответственности (RACI) сквозного процесса автосервиса</w:t>
      </w:r>
    </w:p>
    <w:p>
      <w:pPr>
        <w:keepNext/>
        <w:spacing w:before="280" w:after="120"/>
        <w:jc w:val="center"/>
      </w:pPr>
      <w:r>
        <w:rPr>
          <w:rFonts w:ascii="Times New Roman" w:hAnsi="Times New Roman"/>
          <w:b/>
          <w:color w:val="0F172A"/>
          <w:sz w:val="30"/>
        </w:rPr>
        <w:t>4. ДЕТАЛЬНАЯ СПЕЦИФИКАЦИЯ ШАГОВ БИЗНЕС-ПРОЦЕССА (ДБС)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В соответствии со стандартом Детального бизнес-сценария (ДБС) ниже приведена спецификация ключевых операций обоих подпроцессов с описанием условий, входов/выходов, атрибутов экранных форм и требований к функционалу КИС.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E293B"/>
          <w:sz w:val="26"/>
        </w:rPr>
        <w:t>Шаг 1.1. Оформление заявки клиента и осмотр автомобиля (Разработчик: Данил)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Условия выполнения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Клиент прибыл в сервисный центр для выполнения чип-тюнинга.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Исполнитель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Мастер-приемщик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Вход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СТС, ключи от ТС, устное техническое задание клиента.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Выход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Электронная карточка обращения в КИС, статус «На согласовании».</w:t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Описание действий: </w:t>
      </w:r>
      <w:r>
        <w:rPr>
          <w:rFonts w:ascii="Times New Roman" w:hAnsi="Times New Roman"/>
          <w:i w:val="0"/>
          <w:color w:val="1E293B"/>
          <w:sz w:val="23"/>
        </w:rPr>
        <w:t>Мастер-приемщик открывает АРМ приемки в КИС, вводит VIN-код или госномер авто. Система автоматически заполняет марку, модель, двигатель из базы ГИБДД/каталога. Мастер фиксирует текущий пробег и перечень пожеланий (Stage 1 / Евро-2 / отключение DPF).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Значимые атрибуты объекта шага в КИС: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Атрибут</w:t>
            </w:r>
          </w:p>
        </w:tc>
        <w:tc>
          <w:tcPr>
            <w:tcW w:type="dxa" w:w="3685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118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Рекомендации по заполнению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VIN-код автомобиля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17-значный буквенно-цифровой идентификатор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Считывается сканером СТС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Марка и модель ТС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Идентификация авто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Выбор из справочника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Текущий пробег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Показания одометра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Числовое значение (км)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Желаемый пакет работ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Stage 1, Euro-2, EGR/DPF OFF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Флаги выбора опций</w:t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Требования к КИС и интеграциям: </w:t>
      </w:r>
      <w:r>
        <w:rPr>
          <w:rFonts w:ascii="Times New Roman" w:hAnsi="Times New Roman"/>
          <w:i w:val="0"/>
          <w:color w:val="1E293B"/>
          <w:sz w:val="23"/>
        </w:rPr>
        <w:t>Наличие мобильного интерфейса мастера-приемщика с быстрым поиском по госномеру и автоматическим парсингом комплектации.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E293B"/>
          <w:sz w:val="26"/>
        </w:rPr>
        <w:t>Шаг 1.9. Формирование и выпуск документа «Наряд-заказ» в КИС (Разработчик: Данил)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Условия выполнения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Смета согласована с клиентом, техническая возможность подтверждена.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Исполнитель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КИС «Автосервис» / Мастер-приемщик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Вход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Утвержденный перечень работ и калькуляция стоимости.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Выход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Документ «Наряд-заказ № КИС-2026» (статус «Передан в цех»), подписанный печатный бланк.</w:t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Описание действий: </w:t>
      </w:r>
      <w:r>
        <w:rPr>
          <w:rFonts w:ascii="Times New Roman" w:hAnsi="Times New Roman"/>
          <w:i w:val="0"/>
          <w:color w:val="1E293B"/>
          <w:sz w:val="23"/>
        </w:rPr>
        <w:t>КИС присваивает заказу уникальный системный ID, привязывает перечень требуемых программных модификаций, генерирует штрихкод и выводит на печать типовой бланк наряд-заказа. Клиент и мастер подписывают документ, после чего автомобиль направляется в цех.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Значимые атрибуты объекта шага в КИС: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Атрибут</w:t>
            </w:r>
          </w:p>
        </w:tc>
        <w:tc>
          <w:tcPr>
            <w:tcW w:type="dxa" w:w="3685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118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Рекомендации по заполнению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Номер наряд-заказа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Уникальный сквозной номер документа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Генератор ID КИС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Плановое время выдачи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Расчетный срок готовности авто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Авторасчет по нормо-часам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Согласованная сумма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Итоговая сметная стоимость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Сумма по прайсу со скидками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Статус наряда в КИС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«Передан в цех тюнинга»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Системный статус</w:t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Требования к КИС и интеграциям: </w:t>
      </w:r>
      <w:r>
        <w:rPr>
          <w:rFonts w:ascii="Times New Roman" w:hAnsi="Times New Roman"/>
          <w:i w:val="0"/>
          <w:color w:val="1E293B"/>
          <w:sz w:val="23"/>
        </w:rPr>
        <w:t>Автоматическая генерация штрихкода для быстрой идентификации наряда сканерами на постах диагностики и калибровки.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E293B"/>
          <w:sz w:val="26"/>
        </w:rPr>
        <w:t>Шаг 2.1. Входная компьютерная диагностика ЭСУД по наряд-заказу (Разработчик: Карим)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Условия выполнения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Наряд-заказ поступил в цех, автомобиль на посту диагностики.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Исполнитель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Инженер-диагност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Вход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Документ «Наряд-заказ», диагностический сканер (дилерский/мультимарочный).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Выход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Электронный диагностический протокол DTC Log, заключение о допуске.</w:t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Описание действий: </w:t>
      </w:r>
      <w:r>
        <w:rPr>
          <w:rFonts w:ascii="Times New Roman" w:hAnsi="Times New Roman"/>
          <w:i w:val="0"/>
          <w:color w:val="1E293B"/>
          <w:sz w:val="23"/>
        </w:rPr>
        <w:t>Диагност сканирует штрихкод наряда, подключает сканер к разъему OBD-II и запускает полный опрос блоков. Проверяются топливные коррекции LTFT/STFT, давление наддува и отсутствие пропусков зажигания. При отсутствии дефектов в КИС выставляется допуск к прошивке.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Значимые атрибуты объекта шага в КИС: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Атрибут</w:t>
            </w:r>
          </w:p>
        </w:tc>
        <w:tc>
          <w:tcPr>
            <w:tcW w:type="dxa" w:w="3685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118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Рекомендации по заполнению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Список кодов DTC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Зафиксированные коды неисправностей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Импорт из сканера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Давление топлива ТНВД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Фактическое vs Заданное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Бар (число)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Допуск к чип-тюнингу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Решение диагноста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Флаг: Допущен / Отклонен</w:t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Требования к КИС и интеграциям: </w:t>
      </w:r>
      <w:r>
        <w:rPr>
          <w:rFonts w:ascii="Times New Roman" w:hAnsi="Times New Roman"/>
          <w:i w:val="0"/>
          <w:color w:val="1E293B"/>
          <w:sz w:val="23"/>
        </w:rPr>
        <w:t>Интеграция со сканерами через PassThru J2534 для прямой передачи лог-файлов в карточку наряда без ручного ввода.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E293B"/>
          <w:sz w:val="26"/>
        </w:rPr>
        <w:t>Шаг 2.5. Калибровка в WinOLS, пересчет CRC и запись во Flash ЭБУ (Разработчик: Карим)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Условия выполнения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Сток-дамп считан и заархивирован в КИС, напряжение сети &gt;= 13.8V.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Исполнитель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Специалист по чип-тюнингу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Вход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Оригинальный дамп стока, лицензионный софт (WinOLS, PCMFlash).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Выход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Модифицированная flash-память контроллера ЭБУ, лог успешной записи.</w:t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Описание действий: </w:t>
      </w:r>
      <w:r>
        <w:rPr>
          <w:rFonts w:ascii="Times New Roman" w:hAnsi="Times New Roman"/>
          <w:i w:val="0"/>
          <w:color w:val="1E293B"/>
          <w:sz w:val="23"/>
        </w:rPr>
        <w:t>Калибровщик модифицирует карты наддува, топливоподачи и УОЗ под требования Stage 1, программатор автоматически пересчитывает контрольные суммы CRC32 и производит стирание и запись Flash-памяти процессора ЭБУ с верификацией блоков.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Значимые атрибуты объекта шага в КИС: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Атрибут</w:t>
            </w:r>
          </w:p>
        </w:tc>
        <w:tc>
          <w:tcPr>
            <w:tcW w:type="dxa" w:w="3685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118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Рекомендации по заполнению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Checksum CRC32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Контрольная сумма прошивки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Статус: Valid / Corrected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Имя калибровки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Версия модифицированного ПО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Текстовая строка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Время прошивки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Длительность процедуры Flashing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Минуты : Секунды</w:t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Требования к КИС и интеграциям: </w:t>
      </w:r>
      <w:r>
        <w:rPr>
          <w:rFonts w:ascii="Times New Roman" w:hAnsi="Times New Roman"/>
          <w:i w:val="0"/>
          <w:color w:val="1E293B"/>
          <w:sz w:val="23"/>
        </w:rPr>
        <w:t>Контроль целостности бинарного файла и блокировка записи при обнаружении несоответствия контрольной суммы.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E293B"/>
          <w:sz w:val="26"/>
        </w:rPr>
        <w:t>Шаг 2.7. Сброс адаптаций ЭБУ и внесение ТЕХНИЧЕСКОГО КОММЕНТАРИЯ (Разработчик: Карим)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Условия выполнения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Запись прошивки завершена успешно, контрольная сумма верифицирована.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Исполнитель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Специалист по чип-тюнингу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Вход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Программатор, доступ к карточке наряд-заказа в КИС.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Выход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Сброшенные адаптации ДВС, сохраненный технический комментарий мастера в КИС.</w:t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Описание действий: </w:t>
      </w:r>
      <w:r>
        <w:rPr>
          <w:rFonts w:ascii="Times New Roman" w:hAnsi="Times New Roman"/>
          <w:i w:val="0"/>
          <w:color w:val="1E293B"/>
          <w:sz w:val="23"/>
        </w:rPr>
        <w:t>Специалист сбрасывает сервисные адаптации по топливу, дроссельной заслонке и детонации, после чего вносит в КИС развернутый комментарий: особенности настройки, расчетный прирост мощности и момента (+35 л.с., +65 Нм), тип требуемого топлива (АИ-100) и рекомендации по сокращению интервала замены моторного масла.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Значимые атрибуты объекта шага в КИС: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Атрибут</w:t>
            </w:r>
          </w:p>
        </w:tc>
        <w:tc>
          <w:tcPr>
            <w:tcW w:type="dxa" w:w="3685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118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Рекомендации по заполнению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Сброс адаптаций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Статус выполнения сброса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Выполнен / OK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Технический комментарий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Текст рекомендаций и параметров калибровки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Текстовое поле в КИС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Рекомендуемое топливо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Марка бензина / ДТ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АИ-98 / АИ-100 / ДТ Евро-5</w:t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Требования к КИС и интеграциям: </w:t>
      </w:r>
      <w:r>
        <w:rPr>
          <w:rFonts w:ascii="Times New Roman" w:hAnsi="Times New Roman"/>
          <w:i w:val="0"/>
          <w:color w:val="1E293B"/>
          <w:sz w:val="23"/>
        </w:rPr>
        <w:t>Обязательность заполнения поля «Технический комментарий» для перевода наряд-заказа на этап выходного тест-драйва.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color w:val="1E293B"/>
          <w:sz w:val="26"/>
        </w:rPr>
        <w:t>Шаг 2.9. Генерация и выдача документа «Акт выполненных работ» (Разработчик: Карим)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Условия выполнения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Выходной тест-драйв подтвердил стабильность логов, комментарий заполнен.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Исполнитель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КИС «Автосервис» / Мастер-приемщик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Вход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Лог-файлы теста, технический комментарий, финальный файл прошивки.</w:t>
            </w:r>
          </w:p>
        </w:tc>
      </w:tr>
      <w:tr>
        <w:tc>
          <w:tcPr>
            <w:tcW w:type="dxa" w:w="2551"/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>Выход</w:t>
            </w:r>
          </w:p>
        </w:tc>
        <w:tc>
          <w:tcPr>
            <w:tcW w:type="dxa" w:w="7087"/>
            <w:shd w:fill="FFFFFF"/>
          </w:tcPr>
          <w:p>
            <w:pPr>
              <w:jc w:val="both"/>
            </w:pPr>
            <w:r>
              <w:rPr>
                <w:rFonts w:ascii="Times New Roman" w:hAnsi="Times New Roman"/>
                <w:color w:val="334155"/>
                <w:sz w:val="19"/>
              </w:rPr>
              <w:t>Документ «Акт выполненных работ и отчет о калибровке», статус наряда «Выполнен».</w:t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Описание действий: </w:t>
      </w:r>
      <w:r>
        <w:rPr>
          <w:rFonts w:ascii="Times New Roman" w:hAnsi="Times New Roman"/>
          <w:i w:val="0"/>
          <w:color w:val="1E293B"/>
          <w:sz w:val="23"/>
        </w:rPr>
        <w:t>КИС архивирует финальный тюнинг-файл, генерирует электронный Акт выполненных работ с приложением отчета о калибровке и гарантийного сертификата с QR-кодом. Мастер демонстрирует клиенту графики прироста мощности, подписывает акт и выдает ключи от авто.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>Значимые атрибуты объекта шага в КИС: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Атрибут</w:t>
            </w:r>
          </w:p>
        </w:tc>
        <w:tc>
          <w:tcPr>
            <w:tcW w:type="dxa" w:w="3685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3118"/>
            <w:shd w:fill="33415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Рекомендации по заполнению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Номер Акта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Уникальный номер акта сдачи-приемки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Генерируется КИС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Гарантийный период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Срок гарантии на программное обеспечение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Бессрочно / 2 года</w:t>
            </w:r>
          </w:p>
        </w:tc>
      </w:tr>
      <w:tr>
        <w:tc>
          <w:tcPr>
            <w:tcW w:type="dxa" w:w="283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Сумма к оплате</w:t>
            </w:r>
          </w:p>
        </w:tc>
        <w:tc>
          <w:tcPr>
            <w:tcW w:type="dxa" w:w="3685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Окончательная стоимость работ</w:t>
            </w:r>
          </w:p>
        </w:tc>
        <w:tc>
          <w:tcPr>
            <w:tcW w:type="dxa" w:w="3118"/>
            <w:shd w:fill="FAFAFA"/>
          </w:tcPr>
          <w:p>
            <w:pPr>
              <w:jc w:val="left"/>
            </w:pPr>
            <w:r>
              <w:rPr>
                <w:rFonts w:ascii="Times New Roman" w:hAnsi="Times New Roman"/>
                <w:color w:val="1E293B"/>
                <w:sz w:val="17"/>
              </w:rPr>
              <w:t>Расчет КИС</w:t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Требования к КИС и интеграциям: </w:t>
      </w:r>
      <w:r>
        <w:rPr>
          <w:rFonts w:ascii="Times New Roman" w:hAnsi="Times New Roman"/>
          <w:i w:val="0"/>
          <w:color w:val="1E293B"/>
          <w:sz w:val="23"/>
        </w:rPr>
        <w:t>Автоматическая выгрузка данных акта в бухгалтерский контур (1С) и отправка копии клиенту по SMS/Email.</w:t>
      </w:r>
    </w:p>
    <w:p>
      <w:pPr>
        <w:keepNext/>
        <w:spacing w:before="280" w:after="120"/>
        <w:jc w:val="center"/>
      </w:pPr>
      <w:r>
        <w:rPr>
          <w:rFonts w:ascii="Times New Roman" w:hAnsi="Times New Roman"/>
          <w:b/>
          <w:color w:val="0F172A"/>
          <w:sz w:val="30"/>
        </w:rPr>
        <w:t>5. АРХИТЕКТУРА ИНТЕГРАЦИИ И ЗАЩИТЫ ДАННЫХ В КИС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Функционирование динамической модели автосервиса опирается на следующие интеграционные механизмы: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1. Интеграция с J2534 PassThru: </w:t>
      </w:r>
      <w:r>
        <w:rPr>
          <w:rFonts w:ascii="Times New Roman" w:hAnsi="Times New Roman"/>
          <w:i w:val="0"/>
          <w:color w:val="1E293B"/>
          <w:sz w:val="23"/>
        </w:rPr>
        <w:t>протокол SAE J2534 обеспечивает абстракцию между КИС, программатором и автомобилем. КИС взаимодействует с диагностическими драйверами через динамические библиотеки (DLL), считывая статус напряжения, коды DTC и паспортные идентификаторы ЭБУ в реальном времени.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2. Интеграция с WinOLS API: </w:t>
      </w:r>
      <w:r>
        <w:rPr>
          <w:rFonts w:ascii="Times New Roman" w:hAnsi="Times New Roman"/>
          <w:i w:val="0"/>
          <w:color w:val="1E293B"/>
          <w:sz w:val="23"/>
        </w:rPr>
        <w:t>для кастомных прошивок КИС взаимодействует с калибровочными редакторами (WinOLS API, ECM Titanium) посредством экспорта/импорта проектов с автоматической передачей логов и масок деактивации DTC.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3. Контроль целостности и версионность: </w:t>
      </w:r>
      <w:r>
        <w:rPr>
          <w:rFonts w:ascii="Times New Roman" w:hAnsi="Times New Roman"/>
          <w:i w:val="0"/>
          <w:color w:val="1E293B"/>
          <w:sz w:val="23"/>
        </w:rPr>
        <w:t>все считанные и записанные файлы прошивок хэшируются по стандарту SHA-256 и подписываются приватным сертификатом сервиса. Исключается вероятность заливки поврежденного софта (Corrupted Binary) за счет принудительной проверки контрольной суммы CRC32 в памяти КИС перед инициализацией записи во Flash-память.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b/>
          <w:color w:val="0F172A"/>
          <w:sz w:val="23"/>
        </w:rPr>
        <w:t xml:space="preserve">4. Стандартизация документооборота: </w:t>
      </w:r>
      <w:r>
        <w:rPr>
          <w:rFonts w:ascii="Times New Roman" w:hAnsi="Times New Roman"/>
          <w:i w:val="0"/>
          <w:color w:val="1E293B"/>
          <w:sz w:val="23"/>
        </w:rPr>
        <w:t>система реализует строгую сквозную преемственность документов: ни один этап производственного цикла не может быть запущен без подписанного «Наряд-заказа», а наряд-заказ не может быть закрыт без подписанного «Акта выполненных работ» с внесенным техническим комментарием мастера.</w:t>
      </w:r>
    </w:p>
    <w:p>
      <w:pPr>
        <w:keepNext/>
        <w:spacing w:before="280" w:after="120"/>
        <w:jc w:val="center"/>
      </w:pPr>
      <w:r>
        <w:rPr>
          <w:rFonts w:ascii="Times New Roman" w:hAnsi="Times New Roman"/>
          <w:b/>
          <w:color w:val="0F172A"/>
          <w:sz w:val="30"/>
        </w:rPr>
        <w:t>ЗАКЛЮЧЕНИЕ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В результате выполнения лабораторной работы студентами Гайнановым Д.И. (Данил) и [Партнером] (Карим) были успешно спроектированы и верифицированы динамические модели ключевых подпроцессов автосервисного предприятия в строгой нотации BPMN 2.0: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1. Разработана динамическая модель подпроцесса 1 «Оформление заявки клиента» (Данил), обеспечивающая сквозную фиксацию потребностей, проверку совместимости ЭБУ, калькуляцию сметы и выпуск ключевого документа — «Наряд-заказ».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2. Разработана динамическая модель подпроцесса 2 «Исполнение наряд-заказа» (Карим), охватывающая цепочку от получения наряд-заказа до глубокой диагностики, вычитки стока, калибровки, записи с обязательным техническим комментарием мастера и выпуском выходного документа — «Акт выполненных работ».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3. Сформирована общая сквозная интеграционная модель, демонстрирующая взаимодействие клиентской зоны и производственного цеха через документооборот КИС.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4. Все графические диаграммы созданы в среде Microsoft Visio (.vsdx) с соблюдением требований стандарта BPMN 2.0 (синий стиль действий, значки документов с загнутым уголком, прозрачный фон подписей стрелок).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color w:val="1E293B"/>
          <w:sz w:val="23"/>
        </w:rPr>
        <w:t>5. Составлена сводная матрица ответственности RACI и детальные спецификации бизнес-сценариев (ДБС) с описанием атрибутов экранных форм КИС.</w:t>
      </w:r>
    </w:p>
    <w:p>
      <w:pPr>
        <w:keepNext/>
        <w:spacing w:before="280" w:after="120"/>
        <w:jc w:val="center"/>
      </w:pPr>
      <w:r>
        <w:rPr>
          <w:rFonts w:ascii="Times New Roman" w:hAnsi="Times New Roman"/>
          <w:b/>
          <w:color w:val="0F172A"/>
          <w:sz w:val="30"/>
        </w:rPr>
        <w:t>СПИСОК ИСПОЛЬЗУЕМЫХ ИСТОЧНИКОВ</w:t>
      </w:r>
    </w:p>
    <w:p>
      <w:pPr>
        <w:spacing w:after="60" w:line="276" w:lineRule="auto"/>
        <w:ind w:firstLine="709"/>
      </w:pPr>
      <w:r>
        <w:rPr>
          <w:rFonts w:ascii="Times New Roman" w:hAnsi="Times New Roman"/>
          <w:sz w:val="22"/>
        </w:rPr>
        <w:t>1. ГОСТ Р ИСО/МЭК 19510-2015. Информационные технологии. Нотация и модель бизнес-процессов (BPMN 2.0). — М.: Стандартинформ, 2016. — 250 с.</w:t>
      </w:r>
    </w:p>
    <w:p>
      <w:pPr>
        <w:spacing w:after="60" w:line="276" w:lineRule="auto"/>
        <w:ind w:firstLine="709"/>
      </w:pPr>
      <w:r>
        <w:rPr>
          <w:rFonts w:ascii="Times New Roman" w:hAnsi="Times New Roman"/>
          <w:sz w:val="22"/>
        </w:rPr>
        <w:t>2. Корпоративные информационные системы: курс лекций / сост. М.С. Демченко. — Уфа: УУНиТ (УГАТУ), каф. АСУ, 2024–2026.</w:t>
      </w:r>
    </w:p>
    <w:p>
      <w:pPr>
        <w:spacing w:after="60" w:line="276" w:lineRule="auto"/>
        <w:ind w:firstLine="709"/>
      </w:pPr>
      <w:r>
        <w:rPr>
          <w:rFonts w:ascii="Times New Roman" w:hAnsi="Times New Roman"/>
          <w:sz w:val="22"/>
        </w:rPr>
        <w:t>3. Репин В.В., Елиферов В.Г. Процессный подход к управлению. Моделирование бизнес-процессов. — М.: РИА «Стандарты и качество», 2019. — 408 с.</w:t>
      </w:r>
    </w:p>
    <w:p>
      <w:pPr>
        <w:spacing w:after="60" w:line="276" w:lineRule="auto"/>
        <w:ind w:firstLine="709"/>
      </w:pPr>
      <w:r>
        <w:rPr>
          <w:rFonts w:ascii="Times New Roman" w:hAnsi="Times New Roman"/>
          <w:sz w:val="22"/>
        </w:rPr>
        <w:t>4. Громов А.И. Управление бизнес-процессами: современные методы: монография / А.И. Громов, А. Фляйшман, В. Шмидт. — М.: Издательство Юрайт, 2021. — 367 с.</w:t>
      </w:r>
    </w:p>
    <w:p>
      <w:pPr>
        <w:spacing w:after="60" w:line="276" w:lineRule="auto"/>
        <w:ind w:firstLine="709"/>
      </w:pPr>
      <w:r>
        <w:rPr>
          <w:rFonts w:ascii="Times New Roman" w:hAnsi="Times New Roman"/>
          <w:sz w:val="22"/>
        </w:rPr>
        <w:t>5. Bosch. Automotive Electrics and Automotive Electronics: Systems and Components, Networking and Hybrid Drive (Bosch Professional Automotive Information). — Springer Vieweg, 2018. — 530 p.</w:t>
      </w:r>
    </w:p>
    <w:p>
      <w:pPr>
        <w:spacing w:after="60" w:line="276" w:lineRule="auto"/>
        <w:ind w:firstLine="709"/>
      </w:pPr>
      <w:r>
        <w:rPr>
          <w:rFonts w:ascii="Times New Roman" w:hAnsi="Times New Roman"/>
          <w:sz w:val="22"/>
        </w:rPr>
        <w:t>6. SAE J2534-1: Recommended Practice for Pass-Thru Programming. — SAE International, 2020.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