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rFonts w:ascii="Times New Roman" w:hAnsi="Times New Roman"/>
          <w:sz w:val="26"/>
        </w:rPr>
        <w:t>Федеральное государственное бюджетное образовательное учреждение</w:t>
        <w:br/>
        <w:t>высшего образования</w:t>
        <w:br/>
        <w:t>«Уфимский университет науки и технологий»</w:t>
      </w:r>
    </w:p>
    <w:p>
      <w:pPr>
        <w:spacing w:before="280" w:after="40"/>
        <w:ind w:firstLine="0"/>
        <w:jc w:val="center"/>
      </w:pPr>
      <w:r>
        <w:rPr>
          <w:rFonts w:ascii="Times New Roman" w:hAnsi="Times New Roman"/>
          <w:b/>
          <w:sz w:val="28"/>
        </w:rPr>
        <w:t>Кафедра автоматизированных систем управления</w:t>
      </w:r>
    </w:p>
    <w:p>
      <w:pPr>
        <w:spacing w:after="0"/>
        <w:ind w:firstLine="0"/>
      </w:pPr>
    </w:p>
    <w:p>
      <w:pPr>
        <w:spacing w:after="0"/>
        <w:ind w:firstLine="0"/>
      </w:pPr>
    </w:p>
    <w:p>
      <w:pPr>
        <w:spacing w:after="0"/>
        <w:ind w:firstLine="0"/>
      </w:pPr>
    </w:p>
    <w:p>
      <w:pPr>
        <w:spacing w:after="0"/>
        <w:ind w:firstLine="0"/>
      </w:pPr>
    </w:p>
    <w:p>
      <w:pPr>
        <w:spacing w:before="200" w:after="120"/>
        <w:ind w:firstLine="0"/>
        <w:jc w:val="center"/>
      </w:pPr>
      <w:r>
        <w:rPr>
          <w:rFonts w:ascii="Times New Roman" w:hAnsi="Times New Roman"/>
          <w:b/>
          <w:sz w:val="32"/>
        </w:rPr>
        <w:t>Отчет по лабораторной работе № 2</w:t>
        <w:br/>
      </w:r>
      <w:r>
        <w:rPr>
          <w:rFonts w:ascii="Times New Roman" w:hAnsi="Times New Roman"/>
          <w:sz w:val="28"/>
        </w:rPr>
        <w:t>по дисциплине: Надежность автоматизированных систем</w:t>
        <w:br/>
      </w:r>
      <w:r>
        <w:rPr>
          <w:rFonts w:ascii="Times New Roman" w:hAnsi="Times New Roman"/>
          <w:b/>
          <w:sz w:val="28"/>
        </w:rPr>
        <w:t>на тему: «Анализ видов и последствий отказов (АВПКО) и оценка надежности разрабатываемой АС методом структурного анализа (построение дерева отказов)»</w:t>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40"/>
        <w:ind w:firstLine="0"/>
        <w:jc w:val="right"/>
      </w:pPr>
      <w:r>
        <w:rPr>
          <w:rFonts w:ascii="Times New Roman" w:hAnsi="Times New Roman"/>
          <w:sz w:val="26"/>
        </w:rPr>
        <w:t>Выполнили:</w:t>
        <w:br/>
        <w:t>студенты гр. ЭАС-414С</w:t>
        <w:br/>
        <w:t>Гайнанов Д.И.</w:t>
        <w:br/>
        <w:t>Гарифуллин К.Р.</w:t>
        <w:br/>
        <w:br/>
        <w:t>Проверил:</w:t>
        <w:br/>
        <w:t>доцент кафедры АСУ</w:t>
        <w:br/>
        <w:t>Ризванов К.А.</w:t>
      </w:r>
    </w:p>
    <w:p>
      <w:pPr>
        <w:spacing w:after="0"/>
        <w:ind w:firstLine="0"/>
      </w:pPr>
    </w:p>
    <w:p>
      <w:pPr>
        <w:spacing w:after="0"/>
        <w:ind w:firstLine="0"/>
      </w:pPr>
    </w:p>
    <w:p>
      <w:pPr>
        <w:spacing w:after="0"/>
        <w:ind w:firstLine="0"/>
      </w:pPr>
    </w:p>
    <w:p>
      <w:pPr>
        <w:spacing w:after="0"/>
        <w:ind w:firstLine="0"/>
      </w:pPr>
    </w:p>
    <w:p>
      <w:pPr>
        <w:spacing w:after="0"/>
        <w:ind w:firstLine="0"/>
        <w:jc w:val="center"/>
      </w:pPr>
      <w:r>
        <w:rPr>
          <w:rFonts w:ascii="Times New Roman" w:hAnsi="Times New Roman"/>
          <w:sz w:val="26"/>
        </w:rPr>
        <w:t>Уфа 2026 г.</w:t>
      </w:r>
    </w:p>
    <w:p>
      <w:r>
        <w:br w:type="page"/>
      </w:r>
    </w:p>
    <w:p>
      <w:pPr>
        <w:spacing w:before="280" w:after="120"/>
        <w:ind w:firstLine="0"/>
        <w:jc w:val="center"/>
      </w:pPr>
      <w:r>
        <w:rPr>
          <w:rFonts w:ascii="Times New Roman" w:hAnsi="Times New Roman"/>
          <w:b/>
          <w:color w:val="1A252F"/>
          <w:sz w:val="30"/>
        </w:rPr>
        <w:t>1. Цель работы</w:t>
      </w:r>
    </w:p>
    <w:p>
      <w:pPr>
        <w:spacing w:line="276" w:lineRule="auto" w:after="80"/>
        <w:ind w:firstLine="709"/>
        <w:jc w:val="both"/>
      </w:pPr>
      <w:r>
        <w:rPr>
          <w:rFonts w:ascii="Times New Roman" w:hAnsi="Times New Roman"/>
          <w:i w:val="0"/>
          <w:sz w:val="28"/>
        </w:rPr>
        <w:t>Научиться проводить анализ видов, последствий и критичности отказов (АВПКО / FMECA) и оценку надежности разрабатываемых автоматизированных систем методом структурного анализа (построение дерева отказов FTA) в соответствии с нормативными стандартами надежности.</w:t>
      </w:r>
    </w:p>
    <w:p>
      <w:pPr>
        <w:spacing w:before="280" w:after="120"/>
        <w:ind w:firstLine="0"/>
        <w:jc w:val="center"/>
      </w:pPr>
      <w:r>
        <w:rPr>
          <w:rFonts w:ascii="Times New Roman" w:hAnsi="Times New Roman"/>
          <w:b/>
          <w:color w:val="1A252F"/>
          <w:sz w:val="30"/>
        </w:rPr>
        <w:t>2. Основные теоретические положения</w:t>
      </w:r>
    </w:p>
    <w:p>
      <w:pPr>
        <w:spacing w:line="276" w:lineRule="auto" w:after="80"/>
        <w:ind w:firstLine="709"/>
        <w:jc w:val="both"/>
      </w:pPr>
      <w:r>
        <w:rPr>
          <w:rFonts w:ascii="Times New Roman" w:hAnsi="Times New Roman"/>
          <w:i w:val="0"/>
          <w:sz w:val="28"/>
        </w:rPr>
        <w:t>Обеспечение необходимого уровня надежности автоматизированных систем (АС) требует проведения комплексных инженерно-технических и расчетно-аналитических работ на всех этапах жизненного цикла: проектирования, изготовления, пусконаладки и промышленной эксплуатации.</w:t>
      </w:r>
    </w:p>
    <w:p>
      <w:pPr>
        <w:spacing w:line="276" w:lineRule="auto" w:after="80"/>
        <w:ind w:firstLine="709"/>
        <w:jc w:val="both"/>
      </w:pPr>
      <w:r>
        <w:rPr>
          <w:rFonts w:ascii="Times New Roman" w:hAnsi="Times New Roman"/>
          <w:i w:val="0"/>
          <w:sz w:val="28"/>
        </w:rPr>
        <w:t>При решении задач обеспечения надежности АС учитывают следующие фундаментальные особенности современных систем управления:</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Многофункциональность: </w:t>
      </w:r>
      <w:r>
        <w:rPr>
          <w:rFonts w:ascii="Times New Roman" w:hAnsi="Times New Roman"/>
          <w:sz w:val="28"/>
        </w:rPr>
        <w:t>каждая АС является многофункциональной системой, функции которой имеют существенно различную критичность и характеризуются дифференцированными требованиями к безотказности и готовности;</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Критичность последствий: </w:t>
      </w:r>
      <w:r>
        <w:rPr>
          <w:rFonts w:ascii="Times New Roman" w:hAnsi="Times New Roman"/>
          <w:sz w:val="28"/>
        </w:rPr>
        <w:t>в АС возможно возникновение исключительных (аварийных) ситуаций, способных повлечь катастрофические последствия на объекте управления, угрозу жизни персонала, ущерб экологии и крупные финансовые потери;</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Гетерогенность структуры: </w:t>
      </w:r>
      <w:r>
        <w:rPr>
          <w:rFonts w:ascii="Times New Roman" w:hAnsi="Times New Roman"/>
          <w:sz w:val="28"/>
        </w:rPr>
        <w:t>в составе АС функционирует большое количество разнородных компонентов: комплекс технических средств (КТС), системное и прикладное программное обеспечение (ПО), каналы передачи данных и оперативный персонал (эргатический фактор);</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Факторы надежности: </w:t>
      </w:r>
      <w:r>
        <w:rPr>
          <w:rFonts w:ascii="Times New Roman" w:hAnsi="Times New Roman"/>
          <w:sz w:val="28"/>
        </w:rPr>
        <w:t>уровень надежности АС зависит от выбранной топологии КТС, глубины резервирования (структурного, информационного, функционального, временного), развитости средств технической диагностики и регламентов технического обслуживания и ремонта (ТОиР).</w:t>
      </w:r>
    </w:p>
    <w:p>
      <w:pPr>
        <w:spacing w:before="200" w:after="80"/>
        <w:ind w:firstLine="709"/>
        <w:jc w:val="left"/>
      </w:pPr>
      <w:r>
        <w:rPr>
          <w:rFonts w:ascii="Times New Roman" w:hAnsi="Times New Roman"/>
          <w:b/>
          <w:color w:val="2980B9"/>
          <w:sz w:val="28"/>
        </w:rPr>
        <w:t>2.1. Метод анализа видов, последствий и критичности отказов (АВПКО / FMECA)</w:t>
      </w:r>
    </w:p>
    <w:p>
      <w:pPr>
        <w:spacing w:line="276" w:lineRule="auto" w:after="80"/>
        <w:ind w:firstLine="709"/>
        <w:jc w:val="both"/>
      </w:pPr>
      <w:r>
        <w:rPr>
          <w:rFonts w:ascii="Times New Roman" w:hAnsi="Times New Roman"/>
          <w:i w:val="0"/>
          <w:sz w:val="28"/>
        </w:rPr>
        <w:t>Анализ видов, последствий и критичности отказов (АВПКО, англ. FMECA – Failure Mode, Effects and Criticality Analysis) представляет собой формализованную процедуру качественного и полуколичественного анализа проектных решений. Метод базируется на стандартах ГОСТ 27.310-95 «Надежность в технике. Анализ видов, последствий и критичности отказов» и ГОСТ Р МЭК 60812 «Анализ видов и последствий отказов».</w:t>
      </w:r>
    </w:p>
    <w:p>
      <w:pPr>
        <w:spacing w:line="276" w:lineRule="auto" w:after="80"/>
        <w:ind w:firstLine="709"/>
        <w:jc w:val="both"/>
      </w:pPr>
      <w:r>
        <w:rPr>
          <w:rFonts w:ascii="Times New Roman" w:hAnsi="Times New Roman"/>
          <w:i w:val="0"/>
          <w:sz w:val="28"/>
        </w:rPr>
        <w:t>Процедура АВПКО включает выделение элементов системы на выбранном уровне разукрупнения, определение возможных видов и физических механизмов отказов, прослеживание причинно-следственных связей от локального дефекта до отказа системы в целом, а также ранжирование отказов по тяжести их последствий и показателям критичности.</w:t>
      </w:r>
    </w:p>
    <w:p>
      <w:pPr>
        <w:spacing w:line="276" w:lineRule="auto" w:after="80"/>
        <w:ind w:firstLine="709"/>
        <w:jc w:val="both"/>
      </w:pPr>
      <w:r>
        <w:rPr>
          <w:rFonts w:ascii="Times New Roman" w:hAnsi="Times New Roman"/>
          <w:i w:val="0"/>
          <w:sz w:val="28"/>
        </w:rPr>
        <w:t>В соответствии с методическими указаниями показатель критичности отказа (приоритетное число риска ПЧР / RPN – Risk Priority Number) рассчитывается как произведение трех экспертных оценок по 10-балльной шкале:</w:t>
      </w:r>
    </w:p>
    <w:p>
      <w:pPr>
        <w:spacing w:before="80" w:after="80"/>
        <w:ind w:firstLine="0"/>
        <w:jc w:val="center"/>
      </w:pPr>
      <w:r>
        <w:rPr>
          <w:rFonts w:ascii="Times New Roman" w:hAnsi="Times New Roman"/>
          <w:b/>
          <w:sz w:val="28"/>
        </w:rPr>
        <w:t>C = B₁ · B₂ · B₃,                                                            (1)</w:t>
      </w:r>
    </w:p>
    <w:p>
      <w:pPr>
        <w:spacing w:line="276" w:lineRule="auto" w:after="80"/>
        <w:ind w:firstLine="709"/>
        <w:jc w:val="both"/>
      </w:pPr>
      <w:r>
        <w:rPr>
          <w:rFonts w:ascii="Times New Roman" w:hAnsi="Times New Roman"/>
          <w:i w:val="0"/>
          <w:sz w:val="28"/>
        </w:rPr>
        <w:t>где:</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B₁ (1..10) – </w:t>
      </w:r>
      <w:r>
        <w:rPr>
          <w:rFonts w:ascii="Times New Roman" w:hAnsi="Times New Roman"/>
          <w:sz w:val="28"/>
        </w:rPr>
        <w:t>оценка вероятности (частоты) возникновения данного вида отказа за расчетный период эксплуатации (1 – крайне маловероятное событие, 10 – неизбежное/очень частое событие);</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B₂ (1..10) – </w:t>
      </w:r>
      <w:r>
        <w:rPr>
          <w:rFonts w:ascii="Times New Roman" w:hAnsi="Times New Roman"/>
          <w:sz w:val="28"/>
        </w:rPr>
        <w:t>оценка тяжести (значимости) последствий отказа для технологического объекта, безопасности персонала и окружающей среды (1 – незаметное влияние, 10 – катастрофическая авария с человеческими жертвами);</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B₃ (1..10) – </w:t>
      </w:r>
      <w:r>
        <w:rPr>
          <w:rFonts w:ascii="Times New Roman" w:hAnsi="Times New Roman"/>
          <w:sz w:val="28"/>
        </w:rPr>
        <w:t>оценка вероятности необнаружения отказа до момента проявления аварийных последствий (1 – гарантированное обнаружение средствами встроенной самодиагностики, 10 – скрытый необнаруживаемый отказ).</w:t>
      </w:r>
    </w:p>
    <w:p>
      <w:pPr>
        <w:spacing w:line="276" w:lineRule="auto" w:after="80"/>
        <w:ind w:firstLine="709"/>
        <w:jc w:val="both"/>
      </w:pPr>
      <w:r>
        <w:rPr>
          <w:rFonts w:ascii="Times New Roman" w:hAnsi="Times New Roman"/>
          <w:i w:val="0"/>
          <w:sz w:val="28"/>
        </w:rPr>
        <w:t>Значение показателя критичности C варьируется от 1 до 1000. В зависимости от величины C и тяжести B₂ формируются зоны риска:</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Низкий риск: </w:t>
      </w:r>
      <w:r>
        <w:rPr>
          <w:rFonts w:ascii="Times New Roman" w:hAnsi="Times New Roman"/>
          <w:sz w:val="28"/>
        </w:rPr>
        <w:t>зеленая зона (C &lt; 40, B₂ &lt; 8) – приемлемый уровень риска, парируется штатным регламентом ТОиР;</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Умеренный риск: </w:t>
      </w:r>
      <w:r>
        <w:rPr>
          <w:rFonts w:ascii="Times New Roman" w:hAnsi="Times New Roman"/>
          <w:sz w:val="28"/>
        </w:rPr>
        <w:t>желтая зона (40 ≤ C &lt; 100, B₂ &lt; 8) – умеренный допустимый риск, требует усиленного мониторинга и регламентных проверок;</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Критический риск: </w:t>
      </w:r>
      <w:r>
        <w:rPr>
          <w:rFonts w:ascii="Times New Roman" w:hAnsi="Times New Roman"/>
          <w:sz w:val="28"/>
        </w:rPr>
        <w:t>красная зона (C ≥ 100 или B₂ ≥ 8) – недопустимый критический риск, требующий обязательного внедрения проектных и аппаратных компенсирующих мер (горячее резервирование, fail-safe автоматика, частичное тестирование PST).</w:t>
      </w:r>
    </w:p>
    <w:p>
      <w:pPr>
        <w:spacing w:before="200" w:after="80"/>
        <w:ind w:firstLine="709"/>
        <w:jc w:val="left"/>
      </w:pPr>
      <w:r>
        <w:rPr>
          <w:rFonts w:ascii="Times New Roman" w:hAnsi="Times New Roman"/>
          <w:b/>
          <w:color w:val="2980B9"/>
          <w:sz w:val="28"/>
        </w:rPr>
        <w:t>2.2. Метод дерева отказов (FTA – Fault Tree Analysis)</w:t>
      </w:r>
    </w:p>
    <w:p>
      <w:pPr>
        <w:spacing w:line="276" w:lineRule="auto" w:after="80"/>
        <w:ind w:firstLine="709"/>
        <w:jc w:val="both"/>
      </w:pPr>
      <w:r>
        <w:rPr>
          <w:rFonts w:ascii="Times New Roman" w:hAnsi="Times New Roman"/>
          <w:i w:val="0"/>
          <w:sz w:val="28"/>
        </w:rPr>
        <w:t>Дерево отказов (FTA – Fault Tree Analysis) представляет собой дедуктивную логико-вероятностную графическую модель причинно-следственных связей между первичными отказами элементов системы, неблагоприятными внешними воздействиями и головным (завершающим) аварийным событием.</w:t>
      </w:r>
    </w:p>
    <w:p>
      <w:pPr>
        <w:spacing w:line="276" w:lineRule="auto" w:after="80"/>
        <w:ind w:firstLine="709"/>
        <w:jc w:val="both"/>
      </w:pPr>
      <w:r>
        <w:rPr>
          <w:rFonts w:ascii="Times New Roman" w:hAnsi="Times New Roman"/>
          <w:i w:val="0"/>
          <w:sz w:val="28"/>
        </w:rPr>
        <w:t>Главное достоинство метода дерева отказов заключается в целевой направленности: анализ фокусируется исключительно на тех комбинациях событий, которые приводят к конкретному критическому отказу системы, позволяя в явном виде выявить слабые места архитектуры.</w:t>
      </w:r>
    </w:p>
    <w:p>
      <w:pPr>
        <w:spacing w:line="276" w:lineRule="auto" w:after="80"/>
        <w:ind w:firstLine="709"/>
        <w:jc w:val="both"/>
      </w:pPr>
      <w:r>
        <w:rPr>
          <w:rFonts w:ascii="Times New Roman" w:hAnsi="Times New Roman"/>
          <w:i w:val="0"/>
          <w:sz w:val="28"/>
        </w:rPr>
        <w:t>При построении дерева отказов используются стандартные символы событий и логические операторы:</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События: </w:t>
      </w:r>
      <w:r>
        <w:rPr>
          <w:rFonts w:ascii="Times New Roman" w:hAnsi="Times New Roman"/>
          <w:sz w:val="28"/>
        </w:rPr>
        <w:t>прямоугольник – результирующее или промежуточное событие, образующееся комбинацией более элементарных событий через логические элементы;</w:t>
      </w:r>
    </w:p>
    <w:p>
      <w:pPr>
        <w:spacing w:line="276" w:lineRule="auto" w:after="40"/>
        <w:ind w:firstLine="709"/>
        <w:jc w:val="both"/>
      </w:pPr>
      <w:r>
        <w:rPr>
          <w:rFonts w:ascii="Times New Roman" w:hAnsi="Times New Roman"/>
          <w:b/>
          <w:sz w:val="28"/>
        </w:rPr>
        <w:t xml:space="preserve">• </w:t>
      </w:r>
      <w:r>
        <w:rPr>
          <w:rFonts w:ascii="Times New Roman" w:hAnsi="Times New Roman"/>
          <w:sz w:val="28"/>
        </w:rPr>
        <w:t>круг – первичное базовое исходное событие (отказ конкретного компонента при расчетных условиях), обеспеченное статистическими данными по интенсивности отказов λ и вероятности P;</w:t>
      </w:r>
    </w:p>
    <w:p>
      <w:pPr>
        <w:spacing w:line="276" w:lineRule="auto" w:after="40"/>
        <w:ind w:firstLine="709"/>
        <w:jc w:val="both"/>
      </w:pPr>
      <w:r>
        <w:rPr>
          <w:rFonts w:ascii="Times New Roman" w:hAnsi="Times New Roman"/>
          <w:b/>
          <w:sz w:val="28"/>
        </w:rPr>
        <w:t xml:space="preserve">• </w:t>
      </w:r>
      <w:r>
        <w:rPr>
          <w:rFonts w:ascii="Times New Roman" w:hAnsi="Times New Roman"/>
          <w:sz w:val="28"/>
        </w:rPr>
        <w:t>ромб – недостаточно детально разработанное или вторичное событие, дальнейшая декомпозиция которого не проводится;</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Логические знаки: </w:t>
      </w:r>
      <w:r>
        <w:rPr>
          <w:rFonts w:ascii="Times New Roman" w:hAnsi="Times New Roman"/>
          <w:sz w:val="28"/>
        </w:rPr>
        <w:t>знак «И» (AND, &amp;) – выходное событие наступает тогда и только тогда, когда одновременно происходят все входные события;</w:t>
      </w:r>
    </w:p>
    <w:p>
      <w:pPr>
        <w:spacing w:line="276" w:lineRule="auto" w:after="40"/>
        <w:ind w:firstLine="709"/>
        <w:jc w:val="both"/>
      </w:pPr>
      <w:r>
        <w:rPr>
          <w:rFonts w:ascii="Times New Roman" w:hAnsi="Times New Roman"/>
          <w:b/>
          <w:sz w:val="28"/>
        </w:rPr>
        <w:t xml:space="preserve">• </w:t>
      </w:r>
      <w:r>
        <w:rPr>
          <w:rFonts w:ascii="Times New Roman" w:hAnsi="Times New Roman"/>
          <w:sz w:val="28"/>
        </w:rPr>
        <w:t>знак «ИЛИ» (OR, ≥1) – выходное событие наступает при возникновении хотя бы одного из входных событий;</w:t>
      </w:r>
    </w:p>
    <w:p>
      <w:pPr>
        <w:spacing w:line="276" w:lineRule="auto" w:after="40"/>
        <w:ind w:firstLine="709"/>
        <w:jc w:val="both"/>
      </w:pPr>
      <w:r>
        <w:rPr>
          <w:rFonts w:ascii="Times New Roman" w:hAnsi="Times New Roman"/>
          <w:b/>
          <w:sz w:val="28"/>
        </w:rPr>
        <w:t xml:space="preserve">• </w:t>
      </w:r>
      <w:r>
        <w:rPr>
          <w:rFonts w:ascii="Times New Roman" w:hAnsi="Times New Roman"/>
          <w:sz w:val="28"/>
        </w:rPr>
        <w:t>знак мажоритарного голосования «m из n» (например, «2 из 3», 2oo3) – выходное событие наступает при возникновении не менее m входных событий из общего числа n.</w:t>
      </w:r>
    </w:p>
    <w:p>
      <w:pPr>
        <w:spacing w:line="276" w:lineRule="auto" w:after="80"/>
        <w:ind w:firstLine="709"/>
        <w:jc w:val="both"/>
      </w:pPr>
      <w:r>
        <w:rPr>
          <w:rFonts w:ascii="Times New Roman" w:hAnsi="Times New Roman"/>
          <w:i w:val="0"/>
          <w:sz w:val="28"/>
        </w:rPr>
        <w:t>Качественный анализ дерева отказов заключается в нахождении минимальных аварийных сочетаний (МАС / Minimal Cut Sets) – наименьших совокупностей исходных событий, одновременное появление которых неизбежно приводит к головному отказу. Отсутствие в системе однократных МАС (1-го порядка) является строгим доказательством выполнения принципа единичного отказа и соответствия требованиям промышленной безопасности.</w:t>
      </w:r>
    </w:p>
    <w:p>
      <w:pPr>
        <w:spacing w:line="276" w:lineRule="auto" w:after="80"/>
        <w:ind w:firstLine="709"/>
        <w:jc w:val="both"/>
      </w:pPr>
      <w:r>
        <w:rPr>
          <w:rFonts w:ascii="Times New Roman" w:hAnsi="Times New Roman"/>
          <w:i w:val="0"/>
          <w:sz w:val="28"/>
        </w:rPr>
        <w:t>Количественный анализ дерева отказов заключается в вычислении вероятности головного события P(T) по формулам теории вероятностей:</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Схема «И»: </w:t>
      </w:r>
      <w:r>
        <w:rPr>
          <w:rFonts w:ascii="Times New Roman" w:hAnsi="Times New Roman"/>
          <w:sz w:val="28"/>
        </w:rPr>
        <w:t>для независимых событий на входах логического элемента «И»: P_вых = ∏ P_i;</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Схема «ИЛИ»: </w:t>
      </w:r>
      <w:r>
        <w:rPr>
          <w:rFonts w:ascii="Times New Roman" w:hAnsi="Times New Roman"/>
          <w:sz w:val="28"/>
        </w:rPr>
        <w:t>для независимых событий на входах логического элемента «ИЛИ»: P_вых = 1 - ∏ (1 - P_i) ≈ ∑ P_i (при P_i &lt;&lt; 1);</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Схема «2 из 3»: </w:t>
      </w:r>
      <w:r>
        <w:rPr>
          <w:rFonts w:ascii="Times New Roman" w:hAnsi="Times New Roman"/>
          <w:sz w:val="28"/>
        </w:rPr>
        <w:t>для мажоритарной структуры «2 из 3» (2oo3) при равновероятных входах P: P_2oo3 = 3·P² - 2·P³.</w:t>
      </w:r>
    </w:p>
    <w:p>
      <w:pPr>
        <w:spacing w:before="200" w:after="80"/>
        <w:ind w:firstLine="709"/>
        <w:jc w:val="left"/>
      </w:pPr>
      <w:r>
        <w:rPr>
          <w:rFonts w:ascii="Times New Roman" w:hAnsi="Times New Roman"/>
          <w:b/>
          <w:color w:val="2980B9"/>
          <w:sz w:val="28"/>
        </w:rPr>
        <w:t>2.3. Техническое диагностирование нарушений и аварийных ситуаций</w:t>
      </w:r>
    </w:p>
    <w:p>
      <w:pPr>
        <w:spacing w:line="276" w:lineRule="auto" w:after="80"/>
        <w:ind w:firstLine="709"/>
        <w:jc w:val="both"/>
      </w:pPr>
      <w:r>
        <w:rPr>
          <w:rFonts w:ascii="Times New Roman" w:hAnsi="Times New Roman"/>
          <w:i w:val="0"/>
          <w:sz w:val="28"/>
        </w:rPr>
        <w:t>Техническое диагностирование представляет собой процесс определения технического состояния системы в ходе эксплуатации и после ТОиР с целью обнаружения, локализации и прогнозирования неисправностей. Совокупность средств и правил образует систему технического диагностирования (СТД / АСД).</w:t>
      </w:r>
    </w:p>
    <w:p>
      <w:pPr>
        <w:spacing w:line="276" w:lineRule="auto" w:after="80"/>
        <w:ind w:firstLine="709"/>
        <w:jc w:val="both"/>
      </w:pPr>
      <w:r>
        <w:rPr>
          <w:rFonts w:ascii="Times New Roman" w:hAnsi="Times New Roman"/>
          <w:i w:val="0"/>
          <w:sz w:val="28"/>
        </w:rPr>
        <w:t>Различают два взаимодополняющих вида диагностирования:</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Функциональное: </w:t>
      </w:r>
      <w:r>
        <w:rPr>
          <w:rFonts w:ascii="Times New Roman" w:hAnsi="Times New Roman"/>
          <w:sz w:val="28"/>
        </w:rPr>
        <w:t>состояние оценивается непрерывно по текущим технологическим переменным и сигналам самодиагностики без прерывания технологического процесса (мониторинг обрыва/КЗ линий 4-20 мА по стандарту NAMUR NE43, контроль девиации каналов 2oo3, виброконтроль роторного оборудования);</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Тестовое: </w:t>
      </w:r>
      <w:r>
        <w:rPr>
          <w:rFonts w:ascii="Times New Roman" w:hAnsi="Times New Roman"/>
          <w:sz w:val="28"/>
        </w:rPr>
        <w:t>на систему подаются специальные тестовые воздействия с последующим сравнением реакции с эталонной (автоматические фоновые тесты ОЗУ/ПЗУ процессоров, тестирование времени перемещения штоков клапанов PST – Partial Stroke Testing).</w:t>
      </w:r>
    </w:p>
    <w:p>
      <w:pPr>
        <w:spacing w:before="280" w:after="120"/>
        <w:ind w:firstLine="0"/>
        <w:jc w:val="center"/>
      </w:pPr>
      <w:r>
        <w:rPr>
          <w:rFonts w:ascii="Times New Roman" w:hAnsi="Times New Roman"/>
          <w:b/>
          <w:color w:val="1A252F"/>
          <w:sz w:val="30"/>
        </w:rPr>
        <w:t>3. Ход выполнения работы</w:t>
      </w:r>
    </w:p>
    <w:p>
      <w:pPr>
        <w:spacing w:before="200" w:after="80"/>
        <w:ind w:firstLine="709"/>
        <w:jc w:val="left"/>
      </w:pPr>
      <w:r>
        <w:rPr>
          <w:rFonts w:ascii="Times New Roman" w:hAnsi="Times New Roman"/>
          <w:b/>
          <w:color w:val="2980B9"/>
          <w:sz w:val="28"/>
        </w:rPr>
        <w:t>3.1. Описание объекта исследования и структуры разрабатываемой АС</w:t>
      </w:r>
    </w:p>
    <w:p>
      <w:pPr>
        <w:spacing w:line="276" w:lineRule="auto" w:after="80"/>
        <w:ind w:firstLine="709"/>
        <w:jc w:val="both"/>
      </w:pPr>
      <w:r>
        <w:rPr>
          <w:rFonts w:ascii="Times New Roman" w:hAnsi="Times New Roman"/>
          <w:i w:val="0"/>
          <w:sz w:val="28"/>
        </w:rPr>
        <w:t>В соответствии с заданием лабораторной работы объектом исследования является автоматизированная система, спроектированная в Лабораторной работе № 1: «АСУ ТП и система противоаварийной автоматической защиты (ПАЗ) блока ректификации и разделения углеводородных фракций установки ЭЛОУ-АВТ».</w:t>
      </w:r>
    </w:p>
    <w:p>
      <w:pPr>
        <w:spacing w:line="276" w:lineRule="auto" w:after="80"/>
        <w:ind w:firstLine="709"/>
        <w:jc w:val="both"/>
      </w:pPr>
      <w:r>
        <w:rPr>
          <w:rFonts w:ascii="Times New Roman" w:hAnsi="Times New Roman"/>
          <w:i w:val="0"/>
          <w:sz w:val="28"/>
        </w:rPr>
        <w:t>Технологический блок ректификации относится к опасным производственным объектам (ОПО) I класса опасности (непрерывное обращение взрывопожароопасных углеводородов под избыточным давлением до 3,5 МПа и при температурах до +380 °C). Потеря управления или несрабатывание защит грозит разгерметизацией колонны, выбросом углеводородных газов, взрывом и пожаром.</w:t>
      </w:r>
    </w:p>
    <w:p>
      <w:pPr>
        <w:spacing w:line="276" w:lineRule="auto" w:after="80"/>
        <w:ind w:firstLine="709"/>
        <w:jc w:val="both"/>
      </w:pPr>
      <w:r>
        <w:rPr>
          <w:rFonts w:ascii="Times New Roman" w:hAnsi="Times New Roman"/>
          <w:i w:val="0"/>
          <w:sz w:val="28"/>
        </w:rPr>
        <w:t>Архитектура разрабатываемого комплекса включает следующие уровни:</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Верхний уровень: </w:t>
      </w:r>
      <w:r>
        <w:rPr>
          <w:rFonts w:ascii="Times New Roman" w:hAnsi="Times New Roman"/>
          <w:sz w:val="28"/>
        </w:rPr>
        <w:t>дублированные серверы ввода-вывода и базы данных реального времени SCADA (режим Master/Standby с синхронизацией Heartbeat), два операторских АРМ и инженерная станция;</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Сетевой уровень: </w:t>
      </w:r>
      <w:r>
        <w:rPr>
          <w:rFonts w:ascii="Times New Roman" w:hAnsi="Times New Roman"/>
          <w:sz w:val="28"/>
        </w:rPr>
        <w:t>дублированная кольцевая оптоволоконная сеть Industrial Ethernet (Ring A и Ring B, протокол кольцевого резервирования MRP со временем реконфигурации менее 20 мс);</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Средний уровень: </w:t>
      </w:r>
      <w:r>
        <w:rPr>
          <w:rFonts w:ascii="Times New Roman" w:hAnsi="Times New Roman"/>
          <w:sz w:val="28"/>
        </w:rPr>
        <w:t>дублированный процессорный комплекс распределенной системы управления (РСУ, архитектура 1oo2D с безударным переключением) и троированный отказоустойчивый контроллер ПАЗ (архитектура 2oo3 TMR, уровень полноты безопасности SIL 3 по ГОСТ Р МЭК 61508);</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Полевой уровень: </w:t>
      </w:r>
      <w:r>
        <w:rPr>
          <w:rFonts w:ascii="Times New Roman" w:hAnsi="Times New Roman"/>
          <w:sz w:val="28"/>
        </w:rPr>
        <w:t>первичные преобразователи давления верха колонны (мажоритарная группа 2oo3 датчиков PT-102A/B/C), температуры куба (TE-101) и уровня флегмы (LT-101), быстродействующие отсечные клапаны ПАЗ с пружинным возвратом (Fail-Safe: закрыт при обесточивании), регулирующие клапаны с электропневматическими смарт-позиционерами;</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Электропитание: </w:t>
      </w:r>
      <w:r>
        <w:rPr>
          <w:rFonts w:ascii="Times New Roman" w:hAnsi="Times New Roman"/>
          <w:sz w:val="28"/>
        </w:rPr>
        <w:t>дублированные фидеры электроснабжения 220 В с промышленными источниками бесперебойного питания (ИБП) и дублированными блоками питания 24 В DC.</w:t>
      </w:r>
    </w:p>
    <w:p>
      <w:pPr>
        <w:spacing w:before="200" w:after="80"/>
        <w:ind w:firstLine="709"/>
        <w:jc w:val="left"/>
      </w:pPr>
      <w:r>
        <w:rPr>
          <w:rFonts w:ascii="Times New Roman" w:hAnsi="Times New Roman"/>
          <w:b/>
          <w:color w:val="2980B9"/>
          <w:sz w:val="28"/>
        </w:rPr>
        <w:t>3.2. Функциональное моделирование процесса АВПКО в стандарте IDEF0</w:t>
      </w:r>
    </w:p>
    <w:p>
      <w:pPr>
        <w:spacing w:line="276" w:lineRule="auto" w:after="80"/>
        <w:ind w:firstLine="709"/>
        <w:jc w:val="both"/>
      </w:pPr>
      <w:r>
        <w:rPr>
          <w:rFonts w:ascii="Times New Roman" w:hAnsi="Times New Roman"/>
          <w:i w:val="0"/>
          <w:sz w:val="28"/>
        </w:rPr>
        <w:t>Для формализации и стандартизации процедуры проведения АВПКО разработана функциональная модель процесса в соответствии с методологией IDEF0 (диаграмма А0 представлена на Рисунке 1).</w:t>
      </w:r>
    </w:p>
    <w:p>
      <w:pPr>
        <w:spacing w:before="160" w:after="80"/>
        <w:ind w:firstLine="0"/>
        <w:jc w:val="center"/>
      </w:pPr>
      <w:r>
        <w:drawing>
          <wp:inline xmlns:a="http://schemas.openxmlformats.org/drawingml/2006/main" xmlns:pic="http://schemas.openxmlformats.org/drawingml/2006/picture">
            <wp:extent cx="5760720" cy="3247654"/>
            <wp:docPr id="1" name="Picture 1"/>
            <wp:cNvGraphicFramePr>
              <a:graphicFrameLocks noChangeAspect="1"/>
            </wp:cNvGraphicFramePr>
            <a:graphic>
              <a:graphicData uri="http://schemas.openxmlformats.org/drawingml/2006/picture">
                <pic:pic>
                  <pic:nvPicPr>
                    <pic:cNvPr id="0" name="idef0_a0_fmeca.png"/>
                    <pic:cNvPicPr/>
                  </pic:nvPicPr>
                  <pic:blipFill>
                    <a:blip r:embed="rId9"/>
                    <a:stretch>
                      <a:fillRect/>
                    </a:stretch>
                  </pic:blipFill>
                  <pic:spPr>
                    <a:xfrm>
                      <a:off x="0" y="0"/>
                      <a:ext cx="5760720" cy="3247654"/>
                    </a:xfrm>
                    <a:prstGeom prst="rect"/>
                  </pic:spPr>
                </pic:pic>
              </a:graphicData>
            </a:graphic>
          </wp:inline>
        </w:drawing>
      </w:r>
    </w:p>
    <w:p>
      <w:pPr>
        <w:spacing w:before="40" w:after="160"/>
        <w:ind w:firstLine="0"/>
        <w:jc w:val="center"/>
      </w:pPr>
      <w:r>
        <w:rPr>
          <w:rFonts w:ascii="Times New Roman" w:hAnsi="Times New Roman"/>
          <w:b/>
          <w:i/>
          <w:sz w:val="24"/>
        </w:rPr>
        <w:t>Рисунок 1 – Функциональная модель процесса проведения АВПКО в нотации IDEF0 (диаграмма А0)</w:t>
      </w:r>
    </w:p>
    <w:p>
      <w:pPr>
        <w:spacing w:line="276" w:lineRule="auto" w:after="80"/>
        <w:ind w:firstLine="709"/>
        <w:jc w:val="both"/>
      </w:pPr>
      <w:r>
        <w:rPr>
          <w:rFonts w:ascii="Times New Roman" w:hAnsi="Times New Roman"/>
          <w:i w:val="0"/>
          <w:sz w:val="28"/>
        </w:rPr>
        <w:t>Модель декомпозирует процесс АВПКО на три взаимосвязанных этапа:</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Блок А1 («Структурирование и кодирование системы»): </w:t>
      </w:r>
      <w:r>
        <w:rPr>
          <w:rFonts w:ascii="Times New Roman" w:hAnsi="Times New Roman"/>
          <w:sz w:val="28"/>
        </w:rPr>
        <w:t>установление минимального уровня разукрупнения, идентификация всех сменных модулей и компонентов КТС, присвоение логистических контрольных номеров (LCN);</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Блок А2 («Определение показателей критичности отказов»): </w:t>
      </w:r>
      <w:r>
        <w:rPr>
          <w:rFonts w:ascii="Times New Roman" w:hAnsi="Times New Roman"/>
          <w:sz w:val="28"/>
        </w:rPr>
        <w:t>идентификация видов отказов, выявление причин и последствий, экспертное определение баллов B₁, B₂, B₃ и расчет показателя критичности C;</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Блок А3 («Формирование перечня критичных элементов и мер»): </w:t>
      </w:r>
      <w:r>
        <w:rPr>
          <w:rFonts w:ascii="Times New Roman" w:hAnsi="Times New Roman"/>
          <w:sz w:val="28"/>
        </w:rPr>
        <w:t>ранжирование компонентов по критерию C ≥ 100 и B₂ ≥ 8, оформление перечня критичных элементов и разработка компенсирующих проектных мер.</w:t>
      </w:r>
    </w:p>
    <w:p>
      <w:pPr>
        <w:spacing w:before="200" w:after="80"/>
        <w:ind w:firstLine="709"/>
        <w:jc w:val="left"/>
      </w:pPr>
      <w:r>
        <w:rPr>
          <w:rFonts w:ascii="Times New Roman" w:hAnsi="Times New Roman"/>
          <w:b/>
          <w:color w:val="2980B9"/>
          <w:sz w:val="28"/>
        </w:rPr>
        <w:t>3.3. Проведение анализа видов, последствий и критичности отказов (АВПКО)</w:t>
      </w:r>
    </w:p>
    <w:p>
      <w:pPr>
        <w:spacing w:line="276" w:lineRule="auto" w:after="80"/>
        <w:ind w:firstLine="709"/>
        <w:jc w:val="both"/>
      </w:pPr>
      <w:r>
        <w:rPr>
          <w:rFonts w:ascii="Times New Roman" w:hAnsi="Times New Roman"/>
          <w:i w:val="0"/>
          <w:sz w:val="28"/>
        </w:rPr>
        <w:t>В соответствии с разработанной структурой проведена процедура АВПКО для ключевых компонентов разрабатываемой АСУ ТП и системы ПАЗ. Результаты анализа сведены в Таблицу 1.</w:t>
      </w:r>
    </w:p>
    <w:tbl>
      <w:tblPr>
        <w:tblW w:type="auto" w:w="0"/>
        <w:jc w:val="center"/>
        <w:tblLayout w:type="fixed"/>
        <w:tblLook w:firstColumn="1" w:firstRow="1" w:lastColumn="0" w:lastRow="0" w:noHBand="0" w:noVBand="1" w:val="04A0"/>
      </w:tblPr>
      <w:tblGrid>
        <w:gridCol w:w="969"/>
        <w:gridCol w:w="969"/>
        <w:gridCol w:w="969"/>
        <w:gridCol w:w="969"/>
        <w:gridCol w:w="969"/>
        <w:gridCol w:w="969"/>
        <w:gridCol w:w="969"/>
        <w:gridCol w:w="969"/>
        <w:gridCol w:w="969"/>
        <w:gridCol w:w="969"/>
      </w:tblGrid>
      <w:tr>
        <w:tc>
          <w:tcPr>
            <w:tcW w:type="dxa" w:w="864"/>
            <w:shd w:fill="1F497D"/>
            <w:tcBorders>
              <w:top w:val="single" w:sz="6" w:space="0" w:color="1F497D"/>
              <w:left w:val="single" w:sz="4" w:space="0" w:color="BDC3C7"/>
              <w:bottom w:val="single" w:sz="6" w:space="0" w:color="1F497D"/>
              <w:right w:val="single" w:sz="4" w:space="0" w:color="BDC3C7"/>
            </w:tcBorders>
            <w:tcMar>
              <w:top w:w="80" w:type="dxa"/>
              <w:bottom w:w="80" w:type="dxa"/>
              <w:left w:w="80" w:type="dxa"/>
              <w:right w:w="80" w:type="dxa"/>
            </w:tcMar>
          </w:tcPr>
          <w:p>
            <w:pPr>
              <w:spacing w:after="0"/>
              <w:ind w:firstLine="0"/>
              <w:jc w:val="center"/>
            </w:pPr>
            <w:r>
              <w:rPr>
                <w:rFonts w:ascii="Times New Roman" w:hAnsi="Times New Roman"/>
                <w:b/>
                <w:color w:val="FFFFFF"/>
                <w:sz w:val="19"/>
              </w:rPr>
              <w:t>LCN</w:t>
            </w:r>
          </w:p>
        </w:tc>
        <w:tc>
          <w:tcPr>
            <w:tcW w:type="dxa" w:w="1296"/>
            <w:shd w:fill="1F497D"/>
            <w:tcBorders>
              <w:top w:val="single" w:sz="6" w:space="0" w:color="1F497D"/>
              <w:left w:val="single" w:sz="4" w:space="0" w:color="BDC3C7"/>
              <w:bottom w:val="single" w:sz="6" w:space="0" w:color="1F497D"/>
              <w:right w:val="single" w:sz="4" w:space="0" w:color="BDC3C7"/>
            </w:tcBorders>
            <w:tcMar>
              <w:top w:w="80" w:type="dxa"/>
              <w:bottom w:w="80" w:type="dxa"/>
              <w:left w:w="80" w:type="dxa"/>
              <w:right w:w="80" w:type="dxa"/>
            </w:tcMar>
          </w:tcPr>
          <w:p>
            <w:pPr>
              <w:spacing w:after="0"/>
              <w:ind w:firstLine="0"/>
              <w:jc w:val="center"/>
            </w:pPr>
            <w:r>
              <w:rPr>
                <w:rFonts w:ascii="Times New Roman" w:hAnsi="Times New Roman"/>
                <w:b/>
                <w:color w:val="FFFFFF"/>
                <w:sz w:val="19"/>
              </w:rPr>
              <w:t>Элемент АС</w:t>
            </w:r>
          </w:p>
        </w:tc>
        <w:tc>
          <w:tcPr>
            <w:tcW w:type="dxa" w:w="1440"/>
            <w:shd w:fill="1F497D"/>
            <w:tcBorders>
              <w:top w:val="single" w:sz="6" w:space="0" w:color="1F497D"/>
              <w:left w:val="single" w:sz="4" w:space="0" w:color="BDC3C7"/>
              <w:bottom w:val="single" w:sz="6" w:space="0" w:color="1F497D"/>
              <w:right w:val="single" w:sz="4" w:space="0" w:color="BDC3C7"/>
            </w:tcBorders>
            <w:tcMar>
              <w:top w:w="80" w:type="dxa"/>
              <w:bottom w:w="80" w:type="dxa"/>
              <w:left w:w="80" w:type="dxa"/>
              <w:right w:w="80" w:type="dxa"/>
            </w:tcMar>
          </w:tcPr>
          <w:p>
            <w:pPr>
              <w:spacing w:after="0"/>
              <w:ind w:firstLine="0"/>
              <w:jc w:val="center"/>
            </w:pPr>
            <w:r>
              <w:rPr>
                <w:rFonts w:ascii="Times New Roman" w:hAnsi="Times New Roman"/>
                <w:b/>
                <w:color w:val="FFFFFF"/>
                <w:sz w:val="19"/>
              </w:rPr>
              <w:t>Вид отказа</w:t>
            </w:r>
          </w:p>
        </w:tc>
        <w:tc>
          <w:tcPr>
            <w:tcW w:type="dxa" w:w="1584"/>
            <w:shd w:fill="1F497D"/>
            <w:tcBorders>
              <w:top w:val="single" w:sz="6" w:space="0" w:color="1F497D"/>
              <w:left w:val="single" w:sz="4" w:space="0" w:color="BDC3C7"/>
              <w:bottom w:val="single" w:sz="6" w:space="0" w:color="1F497D"/>
              <w:right w:val="single" w:sz="4" w:space="0" w:color="BDC3C7"/>
            </w:tcBorders>
            <w:tcMar>
              <w:top w:w="80" w:type="dxa"/>
              <w:bottom w:w="80" w:type="dxa"/>
              <w:left w:w="80" w:type="dxa"/>
              <w:right w:w="80" w:type="dxa"/>
            </w:tcMar>
          </w:tcPr>
          <w:p>
            <w:pPr>
              <w:spacing w:after="0"/>
              <w:ind w:firstLine="0"/>
              <w:jc w:val="center"/>
            </w:pPr>
            <w:r>
              <w:rPr>
                <w:rFonts w:ascii="Times New Roman" w:hAnsi="Times New Roman"/>
                <w:b/>
                <w:color w:val="FFFFFF"/>
                <w:sz w:val="19"/>
              </w:rPr>
              <w:t>Причина отказа</w:t>
            </w:r>
          </w:p>
        </w:tc>
        <w:tc>
          <w:tcPr>
            <w:tcW w:type="dxa" w:w="1584"/>
            <w:shd w:fill="1F497D"/>
            <w:tcBorders>
              <w:top w:val="single" w:sz="6" w:space="0" w:color="1F497D"/>
              <w:left w:val="single" w:sz="4" w:space="0" w:color="BDC3C7"/>
              <w:bottom w:val="single" w:sz="6" w:space="0" w:color="1F497D"/>
              <w:right w:val="single" w:sz="4" w:space="0" w:color="BDC3C7"/>
            </w:tcBorders>
            <w:tcMar>
              <w:top w:w="80" w:type="dxa"/>
              <w:bottom w:w="80" w:type="dxa"/>
              <w:left w:w="80" w:type="dxa"/>
              <w:right w:w="80" w:type="dxa"/>
            </w:tcMar>
          </w:tcPr>
          <w:p>
            <w:pPr>
              <w:spacing w:after="0"/>
              <w:ind w:firstLine="0"/>
              <w:jc w:val="center"/>
            </w:pPr>
            <w:r>
              <w:rPr>
                <w:rFonts w:ascii="Times New Roman" w:hAnsi="Times New Roman"/>
                <w:b/>
                <w:color w:val="FFFFFF"/>
                <w:sz w:val="19"/>
              </w:rPr>
              <w:t>Последствия отказа</w:t>
            </w:r>
          </w:p>
        </w:tc>
        <w:tc>
          <w:tcPr>
            <w:tcW w:type="dxa" w:w="1152"/>
            <w:shd w:fill="1F497D"/>
            <w:tcBorders>
              <w:top w:val="single" w:sz="6" w:space="0" w:color="1F497D"/>
              <w:left w:val="single" w:sz="4" w:space="0" w:color="BDC3C7"/>
              <w:bottom w:val="single" w:sz="6" w:space="0" w:color="1F497D"/>
              <w:right w:val="single" w:sz="4" w:space="0" w:color="BDC3C7"/>
            </w:tcBorders>
            <w:tcMar>
              <w:top w:w="80" w:type="dxa"/>
              <w:bottom w:w="80" w:type="dxa"/>
              <w:left w:w="80" w:type="dxa"/>
              <w:right w:w="80" w:type="dxa"/>
            </w:tcMar>
          </w:tcPr>
          <w:p>
            <w:pPr>
              <w:spacing w:after="0"/>
              <w:ind w:firstLine="0"/>
              <w:jc w:val="center"/>
            </w:pPr>
            <w:r>
              <w:rPr>
                <w:rFonts w:ascii="Times New Roman" w:hAnsi="Times New Roman"/>
                <w:b/>
                <w:color w:val="FFFFFF"/>
                <w:sz w:val="19"/>
              </w:rPr>
              <w:t>Метод обнаружения</w:t>
            </w:r>
          </w:p>
        </w:tc>
        <w:tc>
          <w:tcPr>
            <w:tcW w:type="dxa" w:w="504"/>
            <w:shd w:fill="1F497D"/>
            <w:tcBorders>
              <w:top w:val="single" w:sz="6" w:space="0" w:color="1F497D"/>
              <w:left w:val="single" w:sz="4" w:space="0" w:color="BDC3C7"/>
              <w:bottom w:val="single" w:sz="6" w:space="0" w:color="1F497D"/>
              <w:right w:val="single" w:sz="4" w:space="0" w:color="BDC3C7"/>
            </w:tcBorders>
            <w:tcMar>
              <w:top w:w="80" w:type="dxa"/>
              <w:bottom w:w="80" w:type="dxa"/>
              <w:left w:w="80" w:type="dxa"/>
              <w:right w:w="80" w:type="dxa"/>
            </w:tcMar>
          </w:tcPr>
          <w:p>
            <w:pPr>
              <w:spacing w:after="0"/>
              <w:ind w:firstLine="0"/>
              <w:jc w:val="center"/>
            </w:pPr>
            <w:r>
              <w:rPr>
                <w:rFonts w:ascii="Times New Roman" w:hAnsi="Times New Roman"/>
                <w:b/>
                <w:color w:val="FFFFFF"/>
                <w:sz w:val="19"/>
              </w:rPr>
              <w:t>B1</w:t>
            </w:r>
          </w:p>
        </w:tc>
        <w:tc>
          <w:tcPr>
            <w:tcW w:type="dxa" w:w="504"/>
            <w:shd w:fill="1F497D"/>
            <w:tcBorders>
              <w:top w:val="single" w:sz="6" w:space="0" w:color="1F497D"/>
              <w:left w:val="single" w:sz="4" w:space="0" w:color="BDC3C7"/>
              <w:bottom w:val="single" w:sz="6" w:space="0" w:color="1F497D"/>
              <w:right w:val="single" w:sz="4" w:space="0" w:color="BDC3C7"/>
            </w:tcBorders>
            <w:tcMar>
              <w:top w:w="80" w:type="dxa"/>
              <w:bottom w:w="80" w:type="dxa"/>
              <w:left w:w="80" w:type="dxa"/>
              <w:right w:w="80" w:type="dxa"/>
            </w:tcMar>
          </w:tcPr>
          <w:p>
            <w:pPr>
              <w:spacing w:after="0"/>
              <w:ind w:firstLine="0"/>
              <w:jc w:val="center"/>
            </w:pPr>
            <w:r>
              <w:rPr>
                <w:rFonts w:ascii="Times New Roman" w:hAnsi="Times New Roman"/>
                <w:b/>
                <w:color w:val="FFFFFF"/>
                <w:sz w:val="19"/>
              </w:rPr>
              <w:t>B2</w:t>
            </w:r>
          </w:p>
        </w:tc>
        <w:tc>
          <w:tcPr>
            <w:tcW w:type="dxa" w:w="504"/>
            <w:shd w:fill="1F497D"/>
            <w:tcBorders>
              <w:top w:val="single" w:sz="6" w:space="0" w:color="1F497D"/>
              <w:left w:val="single" w:sz="4" w:space="0" w:color="BDC3C7"/>
              <w:bottom w:val="single" w:sz="6" w:space="0" w:color="1F497D"/>
              <w:right w:val="single" w:sz="4" w:space="0" w:color="BDC3C7"/>
            </w:tcBorders>
            <w:tcMar>
              <w:top w:w="80" w:type="dxa"/>
              <w:bottom w:w="80" w:type="dxa"/>
              <w:left w:w="80" w:type="dxa"/>
              <w:right w:w="80" w:type="dxa"/>
            </w:tcMar>
          </w:tcPr>
          <w:p>
            <w:pPr>
              <w:spacing w:after="0"/>
              <w:ind w:firstLine="0"/>
              <w:jc w:val="center"/>
            </w:pPr>
            <w:r>
              <w:rPr>
                <w:rFonts w:ascii="Times New Roman" w:hAnsi="Times New Roman"/>
                <w:b/>
                <w:color w:val="FFFFFF"/>
                <w:sz w:val="19"/>
              </w:rPr>
              <w:t>B3</w:t>
            </w:r>
          </w:p>
        </w:tc>
        <w:tc>
          <w:tcPr>
            <w:tcW w:type="dxa" w:w="648"/>
            <w:shd w:fill="1F497D"/>
            <w:tcBorders>
              <w:top w:val="single" w:sz="6" w:space="0" w:color="1F497D"/>
              <w:left w:val="single" w:sz="4" w:space="0" w:color="BDC3C7"/>
              <w:bottom w:val="single" w:sz="6" w:space="0" w:color="1F497D"/>
              <w:right w:val="single" w:sz="4" w:space="0" w:color="BDC3C7"/>
            </w:tcBorders>
            <w:tcMar>
              <w:top w:w="80" w:type="dxa"/>
              <w:bottom w:w="80" w:type="dxa"/>
              <w:left w:w="80" w:type="dxa"/>
              <w:right w:w="80" w:type="dxa"/>
            </w:tcMar>
          </w:tcPr>
          <w:p>
            <w:pPr>
              <w:spacing w:after="0"/>
              <w:ind w:firstLine="0"/>
              <w:jc w:val="center"/>
            </w:pPr>
            <w:r>
              <w:rPr>
                <w:rFonts w:ascii="Times New Roman" w:hAnsi="Times New Roman"/>
                <w:b/>
                <w:color w:val="FFFFFF"/>
                <w:sz w:val="19"/>
              </w:rPr>
              <w:t>C</w:t>
            </w:r>
          </w:p>
        </w:tc>
      </w:tr>
      <w:tr>
        <w:tc>
          <w:tcPr>
            <w:tcW w:type="dxa" w:w="86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LCN 1.1</w:t>
            </w:r>
          </w:p>
        </w:tc>
        <w:tc>
          <w:tcPr>
            <w:tcW w:type="dxa" w:w="1296"/>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ЦПУ РСУ (1oo2D)</w:t>
            </w:r>
          </w:p>
        </w:tc>
        <w:tc>
          <w:tcPr>
            <w:tcW w:type="dxa" w:w="1440"/>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Аппаратный сбой ЦПУ (ошибка ОЗУ, зависание)</w:t>
            </w:r>
          </w:p>
        </w:tc>
        <w:tc>
          <w:tcPr>
            <w:tcW w:type="dxa" w:w="158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Деградация чипа, перегрев</w:t>
            </w:r>
          </w:p>
        </w:tc>
        <w:tc>
          <w:tcPr>
            <w:tcW w:type="dxa" w:w="158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Потеря авторегулирования давления в контуре</w:t>
            </w:r>
          </w:p>
        </w:tc>
        <w:tc>
          <w:tcPr>
            <w:tcW w:type="dxa" w:w="1152"/>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Watchdog, безударный переход на Standby</w:t>
            </w:r>
          </w:p>
        </w:tc>
        <w:tc>
          <w:tcPr>
            <w:tcW w:type="dxa" w:w="504"/>
            <w:shd w:fill="FCF3CF"/>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3</w:t>
            </w:r>
          </w:p>
        </w:tc>
        <w:tc>
          <w:tcPr>
            <w:tcW w:type="dxa" w:w="504"/>
            <w:shd w:fill="FCF3CF"/>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7</w:t>
            </w:r>
          </w:p>
        </w:tc>
        <w:tc>
          <w:tcPr>
            <w:tcW w:type="dxa" w:w="504"/>
            <w:shd w:fill="FCF3CF"/>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2</w:t>
            </w:r>
          </w:p>
        </w:tc>
        <w:tc>
          <w:tcPr>
            <w:tcW w:type="dxa" w:w="648"/>
            <w:shd w:fill="FCF3CF"/>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42</w:t>
            </w:r>
          </w:p>
        </w:tc>
      </w:tr>
      <w:tr>
        <w:tc>
          <w:tcPr>
            <w:tcW w:type="dxa" w:w="86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LCN 1.2</w:t>
            </w:r>
          </w:p>
        </w:tc>
        <w:tc>
          <w:tcPr>
            <w:tcW w:type="dxa" w:w="1296"/>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ЦПУ ПАЗ (SIL 3)</w:t>
            </w:r>
          </w:p>
        </w:tc>
        <w:tc>
          <w:tcPr>
            <w:tcW w:type="dxa" w:w="1440"/>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Сбой 1 процессора троированной схемы</w:t>
            </w:r>
          </w:p>
        </w:tc>
        <w:tc>
          <w:tcPr>
            <w:tcW w:type="dxa" w:w="158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Сбой в логике, помеха</w:t>
            </w:r>
          </w:p>
        </w:tc>
        <w:tc>
          <w:tcPr>
            <w:tcW w:type="dxa" w:w="158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Деградация схемы 2oo3 в 1oo2, защита сохранена</w:t>
            </w:r>
          </w:p>
        </w:tc>
        <w:tc>
          <w:tcPr>
            <w:tcW w:type="dxa" w:w="1152"/>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TMR потактовое сравнение каналов</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2</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9</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1</w:t>
            </w:r>
          </w:p>
        </w:tc>
        <w:tc>
          <w:tcPr>
            <w:tcW w:type="dxa" w:w="648"/>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18</w:t>
            </w:r>
          </w:p>
        </w:tc>
      </w:tr>
      <w:tr>
        <w:tc>
          <w:tcPr>
            <w:tcW w:type="dxa" w:w="86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LCN 2.1</w:t>
            </w:r>
          </w:p>
        </w:tc>
        <w:tc>
          <w:tcPr>
            <w:tcW w:type="dxa" w:w="1296"/>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Датчик PT-101 (РСУ)</w:t>
            </w:r>
          </w:p>
        </w:tc>
        <w:tc>
          <w:tcPr>
            <w:tcW w:type="dxa" w:w="1440"/>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Дрейф нуля / замерзание показаний 4-20 мА</w:t>
            </w:r>
          </w:p>
        </w:tc>
        <w:tc>
          <w:tcPr>
            <w:tcW w:type="dxa" w:w="158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Закоксовывание мембраны разделителя</w:t>
            </w:r>
          </w:p>
        </w:tc>
        <w:tc>
          <w:tcPr>
            <w:tcW w:type="dxa" w:w="158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Ложное закрытие сброса газа, рост давления</w:t>
            </w:r>
          </w:p>
        </w:tc>
        <w:tc>
          <w:tcPr>
            <w:tcW w:type="dxa" w:w="1152"/>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Noise-check, кросс-валидация</w:t>
            </w:r>
          </w:p>
        </w:tc>
        <w:tc>
          <w:tcPr>
            <w:tcW w:type="dxa" w:w="504"/>
            <w:shd w:fill="FADBD8"/>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4</w:t>
            </w:r>
          </w:p>
        </w:tc>
        <w:tc>
          <w:tcPr>
            <w:tcW w:type="dxa" w:w="504"/>
            <w:shd w:fill="FADBD8"/>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8</w:t>
            </w:r>
          </w:p>
        </w:tc>
        <w:tc>
          <w:tcPr>
            <w:tcW w:type="dxa" w:w="504"/>
            <w:shd w:fill="FADBD8"/>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4</w:t>
            </w:r>
          </w:p>
        </w:tc>
        <w:tc>
          <w:tcPr>
            <w:tcW w:type="dxa" w:w="648"/>
            <w:shd w:fill="FADBD8"/>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b/>
                <w:color w:val="900C3F"/>
                <w:sz w:val="17"/>
              </w:rPr>
              <w:t>128</w:t>
            </w:r>
          </w:p>
        </w:tc>
      </w:tr>
      <w:tr>
        <w:tc>
          <w:tcPr>
            <w:tcW w:type="dxa" w:w="86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LCN 2.2</w:t>
            </w:r>
          </w:p>
        </w:tc>
        <w:tc>
          <w:tcPr>
            <w:tcW w:type="dxa" w:w="1296"/>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Датчики ПАЗ PT-102A/B/C</w:t>
            </w:r>
          </w:p>
        </w:tc>
        <w:tc>
          <w:tcPr>
            <w:tcW w:type="dxa" w:w="1440"/>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Опасный скрытый отказ 2 датчиков из 3</w:t>
            </w:r>
          </w:p>
        </w:tc>
        <w:tc>
          <w:tcPr>
            <w:tcW w:type="dxa" w:w="158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Засорение отборных штуцеров</w:t>
            </w:r>
          </w:p>
        </w:tc>
        <w:tc>
          <w:tcPr>
            <w:tcW w:type="dxa" w:w="158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Непрохождение сигнала на аварийный останов</w:t>
            </w:r>
          </w:p>
        </w:tc>
        <w:tc>
          <w:tcPr>
            <w:tcW w:type="dxa" w:w="1152"/>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Контроль рассогласования каналов 2oo3</w:t>
            </w:r>
          </w:p>
        </w:tc>
        <w:tc>
          <w:tcPr>
            <w:tcW w:type="dxa" w:w="504"/>
            <w:shd w:fill="FCF3CF"/>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2</w:t>
            </w:r>
          </w:p>
        </w:tc>
        <w:tc>
          <w:tcPr>
            <w:tcW w:type="dxa" w:w="504"/>
            <w:shd w:fill="FCF3CF"/>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10</w:t>
            </w:r>
          </w:p>
        </w:tc>
        <w:tc>
          <w:tcPr>
            <w:tcW w:type="dxa" w:w="504"/>
            <w:shd w:fill="FCF3CF"/>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2</w:t>
            </w:r>
          </w:p>
        </w:tc>
        <w:tc>
          <w:tcPr>
            <w:tcW w:type="dxa" w:w="648"/>
            <w:shd w:fill="FCF3CF"/>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40</w:t>
            </w:r>
          </w:p>
        </w:tc>
      </w:tr>
      <w:tr>
        <w:tc>
          <w:tcPr>
            <w:tcW w:type="dxa" w:w="86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LCN 3.1</w:t>
            </w:r>
          </w:p>
        </w:tc>
        <w:tc>
          <w:tcPr>
            <w:tcW w:type="dxa" w:w="1296"/>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Отсечной клапан XV-101</w:t>
            </w:r>
          </w:p>
        </w:tc>
        <w:tc>
          <w:tcPr>
            <w:tcW w:type="dxa" w:w="1440"/>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Механическое заклинивание штока в открытом пол.</w:t>
            </w:r>
          </w:p>
        </w:tc>
        <w:tc>
          <w:tcPr>
            <w:tcW w:type="dxa" w:w="158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Коррозия сальника, смолистые отложения</w:t>
            </w:r>
          </w:p>
        </w:tc>
        <w:tc>
          <w:tcPr>
            <w:tcW w:type="dxa" w:w="158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Невозможность отсечки сырья при аварии</w:t>
            </w:r>
          </w:p>
        </w:tc>
        <w:tc>
          <w:tcPr>
            <w:tcW w:type="dxa" w:w="1152"/>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Тестирование частичного хода (PST)</w:t>
            </w:r>
          </w:p>
        </w:tc>
        <w:tc>
          <w:tcPr>
            <w:tcW w:type="dxa" w:w="504"/>
            <w:shd w:fill="FADBD8"/>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4</w:t>
            </w:r>
          </w:p>
        </w:tc>
        <w:tc>
          <w:tcPr>
            <w:tcW w:type="dxa" w:w="504"/>
            <w:shd w:fill="FADBD8"/>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10</w:t>
            </w:r>
          </w:p>
        </w:tc>
        <w:tc>
          <w:tcPr>
            <w:tcW w:type="dxa" w:w="504"/>
            <w:shd w:fill="FADBD8"/>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5</w:t>
            </w:r>
          </w:p>
        </w:tc>
        <w:tc>
          <w:tcPr>
            <w:tcW w:type="dxa" w:w="648"/>
            <w:shd w:fill="FADBD8"/>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b/>
                <w:color w:val="900C3F"/>
                <w:sz w:val="17"/>
              </w:rPr>
              <w:t>200</w:t>
            </w:r>
          </w:p>
        </w:tc>
      </w:tr>
      <w:tr>
        <w:tc>
          <w:tcPr>
            <w:tcW w:type="dxa" w:w="86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LCN 3.2</w:t>
            </w:r>
          </w:p>
        </w:tc>
        <w:tc>
          <w:tcPr>
            <w:tcW w:type="dxa" w:w="1296"/>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Соленоид пневмопривода</w:t>
            </w:r>
          </w:p>
        </w:tc>
        <w:tc>
          <w:tcPr>
            <w:tcW w:type="dxa" w:w="1440"/>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Обрыв обмотки / сгорание катушки</w:t>
            </w:r>
          </w:p>
        </w:tc>
        <w:tc>
          <w:tcPr>
            <w:tcW w:type="dxa" w:w="158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Тепловой пробой изоляции</w:t>
            </w:r>
          </w:p>
        </w:tc>
        <w:tc>
          <w:tcPr>
            <w:tcW w:type="dxa" w:w="158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Ложное закрытие клапана (Fail-Safe), простой</w:t>
            </w:r>
          </w:p>
        </w:tc>
        <w:tc>
          <w:tcPr>
            <w:tcW w:type="dxa" w:w="1152"/>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Контроль целостности цепи DO током</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3</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4</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1</w:t>
            </w:r>
          </w:p>
        </w:tc>
        <w:tc>
          <w:tcPr>
            <w:tcW w:type="dxa" w:w="648"/>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12</w:t>
            </w:r>
          </w:p>
        </w:tc>
      </w:tr>
      <w:tr>
        <w:tc>
          <w:tcPr>
            <w:tcW w:type="dxa" w:w="86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LCN 4.1</w:t>
            </w:r>
          </w:p>
        </w:tc>
        <w:tc>
          <w:tcPr>
            <w:tcW w:type="dxa" w:w="1296"/>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Регулирующий клапан FV-102</w:t>
            </w:r>
          </w:p>
        </w:tc>
        <w:tc>
          <w:tcPr>
            <w:tcW w:type="dxa" w:w="1440"/>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Заклинивание штока / сбой позиционера</w:t>
            </w:r>
          </w:p>
        </w:tc>
        <w:tc>
          <w:tcPr>
            <w:tcW w:type="dxa" w:w="158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Попадание мехпримесей, износ манжет</w:t>
            </w:r>
          </w:p>
        </w:tc>
        <w:tc>
          <w:tcPr>
            <w:tcW w:type="dxa" w:w="158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Срыв орошения колонны, перегрев верха</w:t>
            </w:r>
          </w:p>
        </w:tc>
        <w:tc>
          <w:tcPr>
            <w:tcW w:type="dxa" w:w="1152"/>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Сигнал рассогласования смарт-позиционера</w:t>
            </w:r>
          </w:p>
        </w:tc>
        <w:tc>
          <w:tcPr>
            <w:tcW w:type="dxa" w:w="504"/>
            <w:shd w:fill="FCF3CF"/>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3</w:t>
            </w:r>
          </w:p>
        </w:tc>
        <w:tc>
          <w:tcPr>
            <w:tcW w:type="dxa" w:w="504"/>
            <w:shd w:fill="FCF3CF"/>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7</w:t>
            </w:r>
          </w:p>
        </w:tc>
        <w:tc>
          <w:tcPr>
            <w:tcW w:type="dxa" w:w="504"/>
            <w:shd w:fill="FCF3CF"/>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2</w:t>
            </w:r>
          </w:p>
        </w:tc>
        <w:tc>
          <w:tcPr>
            <w:tcW w:type="dxa" w:w="648"/>
            <w:shd w:fill="FCF3CF"/>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42</w:t>
            </w:r>
          </w:p>
        </w:tc>
      </w:tr>
      <w:tr>
        <w:tc>
          <w:tcPr>
            <w:tcW w:type="dxa" w:w="86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LCN 5.1</w:t>
            </w:r>
          </w:p>
        </w:tc>
        <w:tc>
          <w:tcPr>
            <w:tcW w:type="dxa" w:w="1296"/>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Коммутатор Ethernet</w:t>
            </w:r>
          </w:p>
        </w:tc>
        <w:tc>
          <w:tcPr>
            <w:tcW w:type="dxa" w:w="1440"/>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Отказ порта / обрыв оптического кабеля</w:t>
            </w:r>
          </w:p>
        </w:tc>
        <w:tc>
          <w:tcPr>
            <w:tcW w:type="dxa" w:w="158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Повреждение кабельной трассы</w:t>
            </w:r>
          </w:p>
        </w:tc>
        <w:tc>
          <w:tcPr>
            <w:tcW w:type="dxa" w:w="158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Отсутствуют (реконфигурация MRP &lt; 20 мс)</w:t>
            </w:r>
          </w:p>
        </w:tc>
        <w:tc>
          <w:tcPr>
            <w:tcW w:type="dxa" w:w="1152"/>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SNMP-мониторинг, диагностика MRP</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3</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3</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1</w:t>
            </w:r>
          </w:p>
        </w:tc>
        <w:tc>
          <w:tcPr>
            <w:tcW w:type="dxa" w:w="648"/>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9</w:t>
            </w:r>
          </w:p>
        </w:tc>
      </w:tr>
      <w:tr>
        <w:tc>
          <w:tcPr>
            <w:tcW w:type="dxa" w:w="86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LCN 6.1</w:t>
            </w:r>
          </w:p>
        </w:tc>
        <w:tc>
          <w:tcPr>
            <w:tcW w:type="dxa" w:w="1296"/>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Сервер SCADA</w:t>
            </w:r>
          </w:p>
        </w:tc>
        <w:tc>
          <w:tcPr>
            <w:tcW w:type="dxa" w:w="1440"/>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Зависание ОС / сбой базы данных</w:t>
            </w:r>
          </w:p>
        </w:tc>
        <w:tc>
          <w:tcPr>
            <w:tcW w:type="dxa" w:w="158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Утечка памяти, сбой дискового массива</w:t>
            </w:r>
          </w:p>
        </w:tc>
        <w:tc>
          <w:tcPr>
            <w:tcW w:type="dxa" w:w="158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Кратковременный сбой отображения АРМ</w:t>
            </w:r>
          </w:p>
        </w:tc>
        <w:tc>
          <w:tcPr>
            <w:tcW w:type="dxa" w:w="1152"/>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Heartbeat-контроль, горячий резерв</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3</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4</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1</w:t>
            </w:r>
          </w:p>
        </w:tc>
        <w:tc>
          <w:tcPr>
            <w:tcW w:type="dxa" w:w="648"/>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12</w:t>
            </w:r>
          </w:p>
        </w:tc>
      </w:tr>
      <w:tr>
        <w:tc>
          <w:tcPr>
            <w:tcW w:type="dxa" w:w="86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LCN 7.1</w:t>
            </w:r>
          </w:p>
        </w:tc>
        <w:tc>
          <w:tcPr>
            <w:tcW w:type="dxa" w:w="1296"/>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ИБП 24В DC / АКБ</w:t>
            </w:r>
          </w:p>
        </w:tc>
        <w:tc>
          <w:tcPr>
            <w:tcW w:type="dxa" w:w="1440"/>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Отказ батарей при пропадании внешнего ввода</w:t>
            </w:r>
          </w:p>
        </w:tc>
        <w:tc>
          <w:tcPr>
            <w:tcW w:type="dxa" w:w="158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Сульфатация АКБ, отказ инвертора</w:t>
            </w:r>
          </w:p>
        </w:tc>
        <w:tc>
          <w:tcPr>
            <w:tcW w:type="dxa" w:w="158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Обесточивание шкафа, переход в Fail-Safe</w:t>
            </w:r>
          </w:p>
        </w:tc>
        <w:tc>
          <w:tcPr>
            <w:tcW w:type="dxa" w:w="1152"/>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Автотест батарей под нагрузкой</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2</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6</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2</w:t>
            </w:r>
          </w:p>
        </w:tc>
        <w:tc>
          <w:tcPr>
            <w:tcW w:type="dxa" w:w="648"/>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24</w:t>
            </w:r>
          </w:p>
        </w:tc>
      </w:tr>
      <w:tr>
        <w:tc>
          <w:tcPr>
            <w:tcW w:type="dxa" w:w="86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LCN 8.1</w:t>
            </w:r>
          </w:p>
        </w:tc>
        <w:tc>
          <w:tcPr>
            <w:tcW w:type="dxa" w:w="1296"/>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Модуль аналог. ввода AI</w:t>
            </w:r>
          </w:p>
        </w:tc>
        <w:tc>
          <w:tcPr>
            <w:tcW w:type="dxa" w:w="1440"/>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Пробой АЦП измерительного канала</w:t>
            </w:r>
          </w:p>
        </w:tc>
        <w:tc>
          <w:tcPr>
            <w:tcW w:type="dxa" w:w="158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Импульсная перенапряженческая наводка</w:t>
            </w:r>
          </w:p>
        </w:tc>
        <w:tc>
          <w:tcPr>
            <w:tcW w:type="dxa" w:w="1584"/>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Искажение сигнала одного датчика</w:t>
            </w:r>
          </w:p>
        </w:tc>
        <w:tc>
          <w:tcPr>
            <w:tcW w:type="dxa" w:w="1152"/>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Контроль границ NAMUR NE43 (&lt;3.6 / &gt;21 мА)</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2</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5</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1</w:t>
            </w:r>
          </w:p>
        </w:tc>
        <w:tc>
          <w:tcPr>
            <w:tcW w:type="dxa" w:w="648"/>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10</w:t>
            </w:r>
          </w:p>
        </w:tc>
      </w:tr>
      <w:tr>
        <w:tc>
          <w:tcPr>
            <w:tcW w:type="dxa" w:w="86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LCN 9.1</w:t>
            </w:r>
          </w:p>
        </w:tc>
        <w:tc>
          <w:tcPr>
            <w:tcW w:type="dxa" w:w="1296"/>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Оператор АРМ (эргат.)</w:t>
            </w:r>
          </w:p>
        </w:tc>
        <w:tc>
          <w:tcPr>
            <w:tcW w:type="dxa" w:w="1440"/>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Ошибочный перевод регулятора в режим Manual</w:t>
            </w:r>
          </w:p>
        </w:tc>
        <w:tc>
          <w:tcPr>
            <w:tcW w:type="dxa" w:w="158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Утомление, человеческий фактор</w:t>
            </w:r>
          </w:p>
        </w:tc>
        <w:tc>
          <w:tcPr>
            <w:tcW w:type="dxa" w:w="1584"/>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Нарушение режима ректификации</w:t>
            </w:r>
          </w:p>
        </w:tc>
        <w:tc>
          <w:tcPr>
            <w:tcW w:type="dxa" w:w="1152"/>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7"/>
              </w:rPr>
              <w:t>Логирование команд, приоритет ПАЗ</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3</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6</w:t>
            </w:r>
          </w:p>
        </w:tc>
        <w:tc>
          <w:tcPr>
            <w:tcW w:type="dxa" w:w="504"/>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2</w:t>
            </w:r>
          </w:p>
        </w:tc>
        <w:tc>
          <w:tcPr>
            <w:tcW w:type="dxa" w:w="648"/>
            <w:shd w:fill="EAFAF1"/>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7"/>
              </w:rPr>
              <w:t>36</w:t>
            </w:r>
          </w:p>
        </w:tc>
      </w:tr>
    </w:tbl>
    <w:p>
      <w:pPr>
        <w:spacing w:before="80" w:after="160"/>
        <w:ind w:firstLine="0"/>
        <w:jc w:val="center"/>
      </w:pPr>
      <w:r>
        <w:rPr>
          <w:rFonts w:ascii="Times New Roman" w:hAnsi="Times New Roman"/>
          <w:b/>
          <w:i/>
          <w:sz w:val="22"/>
        </w:rPr>
        <w:t>Таблица 1 – Анализ видов, последствий и критичности отказов (АВПКО / FMECA) АСУ ТП и ПАЗ</w:t>
      </w:r>
    </w:p>
    <w:p>
      <w:pPr>
        <w:spacing w:line="276" w:lineRule="auto" w:after="80"/>
        <w:ind w:firstLine="709"/>
        <w:jc w:val="both"/>
      </w:pPr>
      <w:r>
        <w:rPr>
          <w:rFonts w:ascii="Times New Roman" w:hAnsi="Times New Roman"/>
          <w:i w:val="0"/>
          <w:sz w:val="28"/>
        </w:rPr>
        <w:t>По результатам количественной оценки АВПКО построены матрица критичности отказов и диаграмма Парето (Рисунок 2).</w:t>
      </w:r>
    </w:p>
    <w:p>
      <w:pPr>
        <w:spacing w:before="160" w:after="80"/>
        <w:ind w:firstLine="0"/>
        <w:jc w:val="center"/>
      </w:pPr>
      <w:r>
        <w:drawing>
          <wp:inline xmlns:a="http://schemas.openxmlformats.org/drawingml/2006/main" xmlns:pic="http://schemas.openxmlformats.org/drawingml/2006/picture">
            <wp:extent cx="5760720" cy="2500459"/>
            <wp:docPr id="2" name="Picture 2"/>
            <wp:cNvGraphicFramePr>
              <a:graphicFrameLocks noChangeAspect="1"/>
            </wp:cNvGraphicFramePr>
            <a:graphic>
              <a:graphicData uri="http://schemas.openxmlformats.org/drawingml/2006/picture">
                <pic:pic>
                  <pic:nvPicPr>
                    <pic:cNvPr id="0" name="pareto_risk_chart.png"/>
                    <pic:cNvPicPr/>
                  </pic:nvPicPr>
                  <pic:blipFill>
                    <a:blip r:embed="rId10"/>
                    <a:stretch>
                      <a:fillRect/>
                    </a:stretch>
                  </pic:blipFill>
                  <pic:spPr>
                    <a:xfrm>
                      <a:off x="0" y="0"/>
                      <a:ext cx="5760720" cy="2500459"/>
                    </a:xfrm>
                    <a:prstGeom prst="rect"/>
                  </pic:spPr>
                </pic:pic>
              </a:graphicData>
            </a:graphic>
          </wp:inline>
        </w:drawing>
      </w:r>
    </w:p>
    <w:p>
      <w:pPr>
        <w:spacing w:before="40" w:after="160"/>
        <w:ind w:firstLine="0"/>
        <w:jc w:val="center"/>
      </w:pPr>
      <w:r>
        <w:rPr>
          <w:rFonts w:ascii="Times New Roman" w:hAnsi="Times New Roman"/>
          <w:b/>
          <w:i/>
          <w:sz w:val="24"/>
        </w:rPr>
        <w:t>Рисунок 2 – Матрица критичности отказов (Risk Matrix) и диаграмма Парето показателей критичности АВПКО</w:t>
      </w:r>
    </w:p>
    <w:p>
      <w:pPr>
        <w:spacing w:line="276" w:lineRule="auto" w:after="80"/>
        <w:ind w:firstLine="709"/>
        <w:jc w:val="both"/>
      </w:pPr>
      <w:r>
        <w:rPr>
          <w:rFonts w:ascii="Times New Roman" w:hAnsi="Times New Roman"/>
          <w:i w:val="0"/>
          <w:sz w:val="28"/>
        </w:rPr>
        <w:t>Анализ диаграммы Парето и матрицы рисков показывает, что 2 компонента попадают в критическую красную зону риска:</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1. LCN 3.1 – </w:t>
      </w:r>
      <w:r>
        <w:rPr>
          <w:rFonts w:ascii="Times New Roman" w:hAnsi="Times New Roman"/>
          <w:sz w:val="28"/>
        </w:rPr>
        <w:t>быстродействующий отсечной клапан ПАЗ на сырье XV-101 с коэффициентом критичности C = 200 (B₁=4, B₂=10, B₃=5). Высокая критичность обусловлена тем, что отсекатель годами находится в открытом состоянии и подвержен незаметному коксованию и заклиниванию штока;</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2. LCN 2.1 – </w:t>
      </w:r>
      <w:r>
        <w:rPr>
          <w:rFonts w:ascii="Times New Roman" w:hAnsi="Times New Roman"/>
          <w:sz w:val="28"/>
        </w:rPr>
        <w:t>первичный датчик давления контура регулирования РСУ PT-101 с коэффициентом критичности C = 128 (B₁=4, B₂=8, B₃=4). Забивание импульсной трубки смолами искажает сигнал регулятора и ведет к разгону давления.</w:t>
      </w:r>
    </w:p>
    <w:p>
      <w:pPr>
        <w:spacing w:line="276" w:lineRule="auto" w:after="80"/>
        <w:ind w:firstLine="709"/>
        <w:jc w:val="both"/>
      </w:pPr>
      <w:r>
        <w:rPr>
          <w:rFonts w:ascii="Times New Roman" w:hAnsi="Times New Roman"/>
          <w:i w:val="0"/>
          <w:sz w:val="28"/>
        </w:rPr>
        <w:t>Для парирования выявленных критических рисков разработаны проектные компенсирующие решения:</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Для отсекателя XV-101: </w:t>
      </w:r>
      <w:r>
        <w:rPr>
          <w:rFonts w:ascii="Times New Roman" w:hAnsi="Times New Roman"/>
          <w:sz w:val="28"/>
        </w:rPr>
        <w:t>внедрение системы автоматизированного частичного перемещения клапана (Partial Stroke Testing – PST). Раз в 2 недели клапан кратковременно перемещается на 10-15% хода без возмущения техпроцесса. Это снижает вероятность необнаружения B₃ с 5 до 2, а критичность снижается с 200 до 80 (желтая зона);</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Для датчика PT-101: </w:t>
      </w:r>
      <w:r>
        <w:rPr>
          <w:rFonts w:ascii="Times New Roman" w:hAnsi="Times New Roman"/>
          <w:sz w:val="28"/>
        </w:rPr>
        <w:t>организация регулярной регламентной продувки импульсных линий азотом, внедрение алгоритма noise-check (мониторинг дисперсии шума датчика) и защита независимым троированным контуром ПАЗ (2oo3).</w:t>
      </w:r>
    </w:p>
    <w:p>
      <w:pPr>
        <w:spacing w:before="200" w:after="80"/>
        <w:ind w:firstLine="709"/>
        <w:jc w:val="left"/>
      </w:pPr>
      <w:r>
        <w:rPr>
          <w:rFonts w:ascii="Times New Roman" w:hAnsi="Times New Roman"/>
          <w:b/>
          <w:color w:val="2980B9"/>
          <w:sz w:val="28"/>
        </w:rPr>
        <w:t>3.4. Оценка надежности АС методом структурного анализа (построение дерева отказов)</w:t>
      </w:r>
    </w:p>
    <w:p>
      <w:pPr>
        <w:spacing w:line="276" w:lineRule="auto" w:after="80"/>
        <w:ind w:firstLine="709"/>
        <w:jc w:val="both"/>
      </w:pPr>
      <w:r>
        <w:rPr>
          <w:rFonts w:ascii="Times New Roman" w:hAnsi="Times New Roman"/>
          <w:i w:val="0"/>
          <w:sz w:val="28"/>
        </w:rPr>
        <w:t>Для проведения глубокого структурно-вероятностного анализа безопасности разрабатываемой АСУ ТП и системы ПАЗ построено дерево отказов (FTA) функции защиты ректификационной колонны от избыточного давления.</w:t>
      </w:r>
    </w:p>
    <w:p>
      <w:pPr>
        <w:spacing w:line="276" w:lineRule="auto" w:after="80"/>
        <w:ind w:firstLine="709"/>
        <w:jc w:val="both"/>
      </w:pPr>
      <w:r>
        <w:rPr>
          <w:rFonts w:ascii="Times New Roman" w:hAnsi="Times New Roman"/>
          <w:i w:val="0"/>
          <w:sz w:val="28"/>
        </w:rPr>
        <w:t>В качестве вершинного нежелательного события принято событие:</w:t>
      </w:r>
    </w:p>
    <w:p>
      <w:pPr>
        <w:spacing w:line="276" w:lineRule="auto" w:after="80"/>
        <w:ind w:firstLine="709"/>
        <w:jc w:val="both"/>
      </w:pPr>
      <w:r>
        <w:rPr>
          <w:rFonts w:ascii="Times New Roman" w:hAnsi="Times New Roman"/>
          <w:i/>
          <w:sz w:val="28"/>
        </w:rPr>
        <w:t>Т = «Аварийная разгерметизация ректификационной колонны с выбросом углеводородной смеси при превышении критического давления сверх предела прочности аппарата (P &gt; 3,5 МПа)».</w:t>
      </w:r>
    </w:p>
    <w:p>
      <w:pPr>
        <w:spacing w:line="276" w:lineRule="auto" w:after="80"/>
        <w:ind w:firstLine="709"/>
        <w:jc w:val="both"/>
      </w:pPr>
      <w:r>
        <w:rPr>
          <w:rFonts w:ascii="Times New Roman" w:hAnsi="Times New Roman"/>
          <w:i w:val="0"/>
          <w:sz w:val="28"/>
        </w:rPr>
        <w:t>В соответствии с эвристическими правилами построения деревьев отказов (правило 4 методических указаний: «Связывать инициирующие события с событием типа 'отсутствие защитных действий'») наступление аварии Т требует одновременного совпадения двух условий через логический элемент «И»:</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Инициирующее событие E_иниц: </w:t>
      </w:r>
      <w:r>
        <w:rPr>
          <w:rFonts w:ascii="Times New Roman" w:hAnsi="Times New Roman"/>
          <w:sz w:val="28"/>
        </w:rPr>
        <w:t>возникновение аварийного режима неконтролируемого нарастания давления в колонне выше аварийной уставки 3,0 МПа вследствие отказа основного контура регулирования давления РСУ (А1), срыва орошения (А2) или перегрева куба (А3);</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Отказ защиты E_защита: </w:t>
      </w:r>
      <w:r>
        <w:rPr>
          <w:rFonts w:ascii="Times New Roman" w:hAnsi="Times New Roman"/>
          <w:sz w:val="28"/>
        </w:rPr>
        <w:t>несрабатывание системы противоаварийной автоматической защиты (ПАЗ) вследствие отказа подсистемы измерения 2oo3 (B1), отказа контроллера ПАЗ (B2), заклинивания отсекателя (B3) или потери питания (B4).</w:t>
      </w:r>
    </w:p>
    <w:p>
      <w:pPr>
        <w:spacing w:line="276" w:lineRule="auto" w:after="80"/>
        <w:ind w:firstLine="709"/>
        <w:jc w:val="both"/>
      </w:pPr>
      <w:r>
        <w:rPr>
          <w:rFonts w:ascii="Times New Roman" w:hAnsi="Times New Roman"/>
          <w:i w:val="0"/>
          <w:sz w:val="28"/>
        </w:rPr>
        <w:t>Логическая структура дерева отказов представлена на Рисунке 3.</w:t>
      </w:r>
    </w:p>
    <w:p>
      <w:pPr>
        <w:spacing w:before="160" w:after="80"/>
        <w:ind w:firstLine="0"/>
        <w:jc w:val="center"/>
      </w:pPr>
      <w:r>
        <w:drawing>
          <wp:inline xmlns:a="http://schemas.openxmlformats.org/drawingml/2006/main" xmlns:pic="http://schemas.openxmlformats.org/drawingml/2006/picture">
            <wp:extent cx="5852160" cy="3515619"/>
            <wp:docPr id="3" name="Picture 3"/>
            <wp:cNvGraphicFramePr>
              <a:graphicFrameLocks noChangeAspect="1"/>
            </wp:cNvGraphicFramePr>
            <a:graphic>
              <a:graphicData uri="http://schemas.openxmlformats.org/drawingml/2006/picture">
                <pic:pic>
                  <pic:nvPicPr>
                    <pic:cNvPr id="0" name="fault_tree_logical.png"/>
                    <pic:cNvPicPr/>
                  </pic:nvPicPr>
                  <pic:blipFill>
                    <a:blip r:embed="rId11"/>
                    <a:stretch>
                      <a:fillRect/>
                    </a:stretch>
                  </pic:blipFill>
                  <pic:spPr>
                    <a:xfrm>
                      <a:off x="0" y="0"/>
                      <a:ext cx="5852160" cy="3515619"/>
                    </a:xfrm>
                    <a:prstGeom prst="rect"/>
                  </pic:spPr>
                </pic:pic>
              </a:graphicData>
            </a:graphic>
          </wp:inline>
        </w:drawing>
      </w:r>
    </w:p>
    <w:p>
      <w:pPr>
        <w:spacing w:before="40" w:after="160"/>
        <w:ind w:firstLine="0"/>
        <w:jc w:val="center"/>
      </w:pPr>
      <w:r>
        <w:rPr>
          <w:rFonts w:ascii="Times New Roman" w:hAnsi="Times New Roman"/>
          <w:b/>
          <w:i/>
          <w:sz w:val="24"/>
        </w:rPr>
        <w:t>Рисунок 3 – Дерево отказов (FTA) функции защиты ректификационной колонны от избыточного давления (логическая структура)</w:t>
      </w:r>
    </w:p>
    <w:p>
      <w:pPr>
        <w:spacing w:before="200" w:after="80"/>
        <w:ind w:firstLine="709"/>
        <w:jc w:val="left"/>
      </w:pPr>
      <w:r>
        <w:rPr>
          <w:rFonts w:ascii="Times New Roman" w:hAnsi="Times New Roman"/>
          <w:b/>
          <w:color w:val="2980B9"/>
          <w:sz w:val="28"/>
        </w:rPr>
        <w:t>3.5. Качественный анализ дерева отказов</w:t>
      </w:r>
    </w:p>
    <w:p>
      <w:pPr>
        <w:spacing w:line="276" w:lineRule="auto" w:after="80"/>
        <w:ind w:firstLine="709"/>
        <w:jc w:val="both"/>
      </w:pPr>
      <w:r>
        <w:rPr>
          <w:rFonts w:ascii="Times New Roman" w:hAnsi="Times New Roman"/>
          <w:i w:val="0"/>
          <w:sz w:val="28"/>
        </w:rPr>
        <w:t>Качественный анализ заключается в получении булевой аналитической функции дерева отказов и выделении минимальных аварийных сочетаний (МАС).</w:t>
      </w:r>
    </w:p>
    <w:p>
      <w:pPr>
        <w:spacing w:line="276" w:lineRule="auto" w:after="80"/>
        <w:ind w:firstLine="709"/>
        <w:jc w:val="both"/>
      </w:pPr>
      <w:r>
        <w:rPr>
          <w:rFonts w:ascii="Times New Roman" w:hAnsi="Times New Roman"/>
          <w:i w:val="0"/>
          <w:sz w:val="28"/>
        </w:rPr>
        <w:t>Булево выражение для головного события T имеет вид:</w:t>
      </w:r>
    </w:p>
    <w:p>
      <w:pPr>
        <w:spacing w:before="80" w:after="80"/>
        <w:ind w:firstLine="0"/>
        <w:jc w:val="center"/>
      </w:pPr>
      <w:r>
        <w:rPr>
          <w:rFonts w:ascii="Times New Roman" w:hAnsi="Times New Roman"/>
          <w:b/>
          <w:sz w:val="26"/>
        </w:rPr>
        <w:t>T = E_иниц ∧ E_защита                                                           (2)</w:t>
      </w:r>
    </w:p>
    <w:p>
      <w:pPr>
        <w:spacing w:line="276" w:lineRule="auto" w:after="80"/>
        <w:ind w:firstLine="709"/>
        <w:jc w:val="both"/>
      </w:pPr>
      <w:r>
        <w:rPr>
          <w:rFonts w:ascii="Times New Roman" w:hAnsi="Times New Roman"/>
          <w:i w:val="0"/>
          <w:sz w:val="28"/>
        </w:rPr>
        <w:t>Раскроем логические функции промежуточных событий через первичные события X₁..X₁₅:</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Контур регулирования: </w:t>
      </w:r>
      <w:r>
        <w:rPr>
          <w:rFonts w:ascii="Times New Roman" w:hAnsi="Times New Roman"/>
          <w:sz w:val="28"/>
        </w:rPr>
        <w:t>E_иниц = A₁ ∨ A₂ ∨ A₃ = (X₁ ∨ X₂ ∨ X₃ ∨ X₄) ∨ U₁ ∨ U₂;</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Измерители 2oo3: </w:t>
      </w:r>
      <w:r>
        <w:rPr>
          <w:rFonts w:ascii="Times New Roman" w:hAnsi="Times New Roman"/>
          <w:sz w:val="28"/>
        </w:rPr>
        <w:t>B₁ (измерители ПАЗ 2oo3) = (X₅ ∧ X₆) ∨ (X₅ ∧ X₇) ∨ (X₆ ∧ X₇);</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Контроллер ПАЗ: </w:t>
      </w:r>
      <w:r>
        <w:rPr>
          <w:rFonts w:ascii="Times New Roman" w:hAnsi="Times New Roman"/>
          <w:sz w:val="28"/>
        </w:rPr>
        <w:t>B₂ (контроллер ПАЗ) = X₈ ∨ (X₉ ∧ X₁₀);</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Исполнительный клапан: </w:t>
      </w:r>
      <w:r>
        <w:rPr>
          <w:rFonts w:ascii="Times New Roman" w:hAnsi="Times New Roman"/>
          <w:sz w:val="28"/>
        </w:rPr>
        <w:t>B₃ (отсекатель ПАЗ) = X₁₁ ∨ X₁₂ ∨ X₁₃;</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Электропитание: </w:t>
      </w:r>
      <w:r>
        <w:rPr>
          <w:rFonts w:ascii="Times New Roman" w:hAnsi="Times New Roman"/>
          <w:sz w:val="28"/>
        </w:rPr>
        <w:t>B₄ (электропитание) = X₁₄ ∧ X₁₅;</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Суммарный отказ ПАЗ: </w:t>
      </w:r>
      <w:r>
        <w:rPr>
          <w:rFonts w:ascii="Times New Roman" w:hAnsi="Times New Roman"/>
          <w:sz w:val="28"/>
        </w:rPr>
        <w:t>E_защита = B₁ ∨ B₂ ∨ B₃ ∨ B₄ = [(X₅ ∧ X₆) ∨ (X₅ ∧ X₇) ∨ (X₆ ∧ X₇)] ∨ [X₈ ∨ (X₉ ∧ X₁₀)] ∨ [X₁₁ ∨ X₁₂ ∨ X₁₃] ∨ [X₁₄ ∧ X₁₅].</w:t>
      </w:r>
    </w:p>
    <w:p>
      <w:pPr>
        <w:spacing w:line="276" w:lineRule="auto" w:after="80"/>
        <w:ind w:firstLine="709"/>
        <w:jc w:val="both"/>
      </w:pPr>
      <w:r>
        <w:rPr>
          <w:rFonts w:ascii="Times New Roman" w:hAnsi="Times New Roman"/>
          <w:i w:val="0"/>
          <w:sz w:val="28"/>
        </w:rPr>
        <w:t>Подставляя выражения в формулу (2) и применяя законы дистрибутивности, получаем множество минимальных аварийных сочетаний:</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МАС 1-го порядка (однократные отказы): </w:t>
      </w:r>
      <w:r>
        <w:rPr>
          <w:rFonts w:ascii="Times New Roman" w:hAnsi="Times New Roman"/>
          <w:sz w:val="28"/>
        </w:rPr>
        <w:t>В системе отсутствуют однократные аварийные сочетания (МАС 1-го порядка). Ни один единичный отказ любого датчика, контроллера, клапана или кабеля не способен привести к аварийной разгерметизации колонны. Это строго доказывает отказоустойчивость разработанной архитектуры и ее соответствие ГОСТ Р 55608-2013;</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МАС 2-го порядка (двухкратные отказы): </w:t>
      </w:r>
      <w:r>
        <w:rPr>
          <w:rFonts w:ascii="Times New Roman" w:hAnsi="Times New Roman"/>
          <w:sz w:val="28"/>
        </w:rPr>
        <w:t>Сочетания отказа контура регулирования РСУ и одного из компонентов ПАЗ: {X_i, X₁₁} (отказ регулятора + заклинивание отсекателя XV-101); {X_i, X₁₂} (отказ регулятора + отказ соленоида); {X_i, X₁₃} (отказ регулятора + потеря воздуха КИП); {X_i, X₈} (отказ регулятора + сбой ПО ПАЗ), где X_i ∈ {X₁, X₂, X₃, X₄};</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МАС 3-го порядка (трехкратные отказы): </w:t>
      </w:r>
      <w:r>
        <w:rPr>
          <w:rFonts w:ascii="Times New Roman" w:hAnsi="Times New Roman"/>
          <w:sz w:val="28"/>
        </w:rPr>
        <w:t>Сочетания отказа регулятора и отказа двух из трех датчиков ПАЗ: {X_i, X₅, X₆}, {X_i, X₅, X₇}, {X_i, X₆, X₇}; сочетания отказа регулятора и обоих процессоров ПАЗ: {X_i, X₉, X₁₀}; сочетания отказа регулятора, внешнего ввода сети и ИБП: {X_i, X₁₄, X₁₅}.</w:t>
      </w:r>
    </w:p>
    <w:p>
      <w:pPr>
        <w:spacing w:before="200" w:after="80"/>
        <w:ind w:firstLine="709"/>
        <w:jc w:val="left"/>
      </w:pPr>
      <w:r>
        <w:rPr>
          <w:rFonts w:ascii="Times New Roman" w:hAnsi="Times New Roman"/>
          <w:b/>
          <w:color w:val="2980B9"/>
          <w:sz w:val="28"/>
        </w:rPr>
        <w:t>3.6. Количественный расчет вероятностей дерева отказов</w:t>
      </w:r>
    </w:p>
    <w:p>
      <w:pPr>
        <w:spacing w:line="276" w:lineRule="auto" w:after="80"/>
        <w:ind w:firstLine="709"/>
        <w:jc w:val="both"/>
      </w:pPr>
      <w:r>
        <w:rPr>
          <w:rFonts w:ascii="Times New Roman" w:hAnsi="Times New Roman"/>
          <w:i w:val="0"/>
          <w:sz w:val="28"/>
        </w:rPr>
        <w:t>Для количественной оценки вероятности головного события T приняты расчетные вероятности возникновения первичных событий за период непрерывной работы t = 8760 ч (1 год), рассчитанные на базе интенсивностей отказов λ из Лабораторной работы № 1. Численные данные сведены в Таблицу 2.</w:t>
      </w:r>
    </w:p>
    <w:tbl>
      <w:tblPr>
        <w:tblW w:type="auto" w:w="0"/>
        <w:jc w:val="center"/>
        <w:tblLayout w:type="fixed"/>
        <w:tblLook w:firstColumn="1" w:firstRow="1" w:lastColumn="0" w:lastRow="0" w:noHBand="0" w:noVBand="1" w:val="04A0"/>
      </w:tblPr>
      <w:tblGrid>
        <w:gridCol w:w="2422"/>
        <w:gridCol w:w="2422"/>
        <w:gridCol w:w="2422"/>
        <w:gridCol w:w="2422"/>
      </w:tblGrid>
      <w:tr>
        <w:tc>
          <w:tcPr>
            <w:tcW w:type="dxa" w:w="1728"/>
            <w:shd w:fill="1F497D"/>
            <w:tcBorders>
              <w:top w:val="single" w:sz="6" w:space="0" w:color="1F497D"/>
              <w:left w:val="single" w:sz="4" w:space="0" w:color="BDC3C7"/>
              <w:bottom w:val="single" w:sz="6" w:space="0" w:color="1F497D"/>
              <w:right w:val="single" w:sz="4" w:space="0" w:color="BDC3C7"/>
            </w:tcBorders>
            <w:tcMar>
              <w:top w:w="80" w:type="dxa"/>
              <w:bottom w:w="80" w:type="dxa"/>
              <w:left w:w="80" w:type="dxa"/>
              <w:right w:w="80" w:type="dxa"/>
            </w:tcMar>
          </w:tcPr>
          <w:p>
            <w:pPr>
              <w:spacing w:after="0"/>
              <w:ind w:firstLine="0"/>
              <w:jc w:val="center"/>
            </w:pPr>
            <w:r>
              <w:rPr>
                <w:rFonts w:ascii="Times New Roman" w:hAnsi="Times New Roman"/>
                <w:b/>
                <w:color w:val="FFFFFF"/>
                <w:sz w:val="20"/>
              </w:rPr>
              <w:t>Код события</w:t>
            </w:r>
          </w:p>
        </w:tc>
        <w:tc>
          <w:tcPr>
            <w:tcW w:type="dxa" w:w="4320"/>
            <w:shd w:fill="1F497D"/>
            <w:tcBorders>
              <w:top w:val="single" w:sz="6" w:space="0" w:color="1F497D"/>
              <w:left w:val="single" w:sz="4" w:space="0" w:color="BDC3C7"/>
              <w:bottom w:val="single" w:sz="6" w:space="0" w:color="1F497D"/>
              <w:right w:val="single" w:sz="4" w:space="0" w:color="BDC3C7"/>
            </w:tcBorders>
            <w:tcMar>
              <w:top w:w="80" w:type="dxa"/>
              <w:bottom w:w="80" w:type="dxa"/>
              <w:left w:w="80" w:type="dxa"/>
              <w:right w:w="80" w:type="dxa"/>
            </w:tcMar>
          </w:tcPr>
          <w:p>
            <w:pPr>
              <w:spacing w:after="0"/>
              <w:ind w:firstLine="0"/>
              <w:jc w:val="center"/>
            </w:pPr>
            <w:r>
              <w:rPr>
                <w:rFonts w:ascii="Times New Roman" w:hAnsi="Times New Roman"/>
                <w:b/>
                <w:color w:val="FFFFFF"/>
                <w:sz w:val="20"/>
              </w:rPr>
              <w:t>Наименование исходного события</w:t>
            </w:r>
          </w:p>
        </w:tc>
        <w:tc>
          <w:tcPr>
            <w:tcW w:type="dxa" w:w="1872"/>
            <w:shd w:fill="1F497D"/>
            <w:tcBorders>
              <w:top w:val="single" w:sz="6" w:space="0" w:color="1F497D"/>
              <w:left w:val="single" w:sz="4" w:space="0" w:color="BDC3C7"/>
              <w:bottom w:val="single" w:sz="6" w:space="0" w:color="1F497D"/>
              <w:right w:val="single" w:sz="4" w:space="0" w:color="BDC3C7"/>
            </w:tcBorders>
            <w:tcMar>
              <w:top w:w="80" w:type="dxa"/>
              <w:bottom w:w="80" w:type="dxa"/>
              <w:left w:w="80" w:type="dxa"/>
              <w:right w:w="80" w:type="dxa"/>
            </w:tcMar>
          </w:tcPr>
          <w:p>
            <w:pPr>
              <w:spacing w:after="0"/>
              <w:ind w:firstLine="0"/>
              <w:jc w:val="center"/>
            </w:pPr>
            <w:r>
              <w:rPr>
                <w:rFonts w:ascii="Times New Roman" w:hAnsi="Times New Roman"/>
                <w:b/>
                <w:color w:val="FFFFFF"/>
                <w:sz w:val="20"/>
              </w:rPr>
              <w:t>Интенсивность λ, ч⁻¹</w:t>
            </w:r>
          </w:p>
        </w:tc>
        <w:tc>
          <w:tcPr>
            <w:tcW w:type="dxa" w:w="1296"/>
            <w:shd w:fill="1F497D"/>
            <w:tcBorders>
              <w:top w:val="single" w:sz="6" w:space="0" w:color="1F497D"/>
              <w:left w:val="single" w:sz="4" w:space="0" w:color="BDC3C7"/>
              <w:bottom w:val="single" w:sz="6" w:space="0" w:color="1F497D"/>
              <w:right w:val="single" w:sz="4" w:space="0" w:color="BDC3C7"/>
            </w:tcBorders>
            <w:tcMar>
              <w:top w:w="80" w:type="dxa"/>
              <w:bottom w:w="80" w:type="dxa"/>
              <w:left w:w="80" w:type="dxa"/>
              <w:right w:w="80" w:type="dxa"/>
            </w:tcMar>
          </w:tcPr>
          <w:p>
            <w:pPr>
              <w:spacing w:after="0"/>
              <w:ind w:firstLine="0"/>
              <w:jc w:val="center"/>
            </w:pPr>
            <w:r>
              <w:rPr>
                <w:rFonts w:ascii="Times New Roman" w:hAnsi="Times New Roman"/>
                <w:b/>
                <w:color w:val="FFFFFF"/>
                <w:sz w:val="20"/>
              </w:rPr>
              <w:t>Вероятность P</w:t>
            </w:r>
          </w:p>
        </w:tc>
      </w:tr>
      <w:tr>
        <w:tc>
          <w:tcPr>
            <w:tcW w:type="dxa" w:w="1728"/>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X₁</w:t>
            </w:r>
          </w:p>
        </w:tc>
        <w:tc>
          <w:tcPr>
            <w:tcW w:type="dxa" w:w="4320"/>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9"/>
              </w:rPr>
              <w:t>Дрейф рабочего датчика давления РСУ PT-101</w:t>
            </w:r>
          </w:p>
        </w:tc>
        <w:tc>
          <w:tcPr>
            <w:tcW w:type="dxa" w:w="1872"/>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2,9 · 10⁻⁶</w:t>
            </w:r>
          </w:p>
        </w:tc>
        <w:tc>
          <w:tcPr>
            <w:tcW w:type="dxa" w:w="1296"/>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0,0250</w:t>
            </w:r>
          </w:p>
        </w:tc>
      </w:tr>
      <w:tr>
        <w:tc>
          <w:tcPr>
            <w:tcW w:type="dxa" w:w="1728"/>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X₂</w:t>
            </w:r>
          </w:p>
        </w:tc>
        <w:tc>
          <w:tcPr>
            <w:tcW w:type="dxa" w:w="4320"/>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9"/>
              </w:rPr>
              <w:t>Отказ дублированного контроллера РСУ (1oo2D)</w:t>
            </w:r>
          </w:p>
        </w:tc>
        <w:tc>
          <w:tcPr>
            <w:tcW w:type="dxa" w:w="1872"/>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1,1 · 10⁻⁷</w:t>
            </w:r>
          </w:p>
        </w:tc>
        <w:tc>
          <w:tcPr>
            <w:tcW w:type="dxa" w:w="1296"/>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0,0010</w:t>
            </w:r>
          </w:p>
        </w:tc>
      </w:tr>
      <w:tr>
        <w:tc>
          <w:tcPr>
            <w:tcW w:type="dxa" w:w="1728"/>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X₃</w:t>
            </w:r>
          </w:p>
        </w:tc>
        <w:tc>
          <w:tcPr>
            <w:tcW w:type="dxa" w:w="4320"/>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9"/>
              </w:rPr>
              <w:t>Заклинивание регулирующего клапана РСУ на сбросе</w:t>
            </w:r>
          </w:p>
        </w:tc>
        <w:tc>
          <w:tcPr>
            <w:tcW w:type="dxa" w:w="1872"/>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4,1 · 10⁻⁶</w:t>
            </w:r>
          </w:p>
        </w:tc>
        <w:tc>
          <w:tcPr>
            <w:tcW w:type="dxa" w:w="1296"/>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0,0350</w:t>
            </w:r>
          </w:p>
        </w:tc>
      </w:tr>
      <w:tr>
        <w:tc>
          <w:tcPr>
            <w:tcW w:type="dxa" w:w="1728"/>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X₄</w:t>
            </w:r>
          </w:p>
        </w:tc>
        <w:tc>
          <w:tcPr>
            <w:tcW w:type="dxa" w:w="4320"/>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9"/>
              </w:rPr>
              <w:t>Обрыв сегмента промышленной шины РСУ</w:t>
            </w:r>
          </w:p>
        </w:tc>
        <w:tc>
          <w:tcPr>
            <w:tcW w:type="dxa" w:w="1872"/>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4,6 · 10⁻⁷</w:t>
            </w:r>
          </w:p>
        </w:tc>
        <w:tc>
          <w:tcPr>
            <w:tcW w:type="dxa" w:w="1296"/>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0,0040</w:t>
            </w:r>
          </w:p>
        </w:tc>
      </w:tr>
      <w:tr>
        <w:tc>
          <w:tcPr>
            <w:tcW w:type="dxa" w:w="1728"/>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X₅, X₆, X₇</w:t>
            </w:r>
          </w:p>
        </w:tc>
        <w:tc>
          <w:tcPr>
            <w:tcW w:type="dxa" w:w="4320"/>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9"/>
              </w:rPr>
              <w:t>Отказ одного датчика давления ПАЗ PT-102 (каждого)</w:t>
            </w:r>
          </w:p>
        </w:tc>
        <w:tc>
          <w:tcPr>
            <w:tcW w:type="dxa" w:w="1872"/>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1,7 · 10⁻⁶</w:t>
            </w:r>
          </w:p>
        </w:tc>
        <w:tc>
          <w:tcPr>
            <w:tcW w:type="dxa" w:w="1296"/>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0,0150</w:t>
            </w:r>
          </w:p>
        </w:tc>
      </w:tr>
      <w:tr>
        <w:tc>
          <w:tcPr>
            <w:tcW w:type="dxa" w:w="1728"/>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X₈</w:t>
            </w:r>
          </w:p>
        </w:tc>
        <w:tc>
          <w:tcPr>
            <w:tcW w:type="dxa" w:w="4320"/>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9"/>
              </w:rPr>
              <w:t>Общий сбой встроенного системного ПО ПАЗ (CCF)</w:t>
            </w:r>
          </w:p>
        </w:tc>
        <w:tc>
          <w:tcPr>
            <w:tcW w:type="dxa" w:w="1872"/>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1,1 · 10⁻⁸</w:t>
            </w:r>
          </w:p>
        </w:tc>
        <w:tc>
          <w:tcPr>
            <w:tcW w:type="dxa" w:w="1296"/>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0,0001</w:t>
            </w:r>
          </w:p>
        </w:tc>
      </w:tr>
      <w:tr>
        <w:tc>
          <w:tcPr>
            <w:tcW w:type="dxa" w:w="1728"/>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X₉, X₁₀</w:t>
            </w:r>
          </w:p>
        </w:tc>
        <w:tc>
          <w:tcPr>
            <w:tcW w:type="dxa" w:w="4320"/>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9"/>
              </w:rPr>
              <w:t>Отказ одного процессорного модуля ПАЗ</w:t>
            </w:r>
          </w:p>
        </w:tc>
        <w:tc>
          <w:tcPr>
            <w:tcW w:type="dxa" w:w="1872"/>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2,3 · 10⁻⁷</w:t>
            </w:r>
          </w:p>
        </w:tc>
        <w:tc>
          <w:tcPr>
            <w:tcW w:type="dxa" w:w="1296"/>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0,0020</w:t>
            </w:r>
          </w:p>
        </w:tc>
      </w:tr>
      <w:tr>
        <w:tc>
          <w:tcPr>
            <w:tcW w:type="dxa" w:w="1728"/>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X₁₁</w:t>
            </w:r>
          </w:p>
        </w:tc>
        <w:tc>
          <w:tcPr>
            <w:tcW w:type="dxa" w:w="4320"/>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9"/>
              </w:rPr>
              <w:t>Заклинивание отсекателя XV-101 в открытом положении</w:t>
            </w:r>
          </w:p>
        </w:tc>
        <w:tc>
          <w:tcPr>
            <w:tcW w:type="dxa" w:w="1872"/>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1,4 · 10⁻⁶</w:t>
            </w:r>
          </w:p>
        </w:tc>
        <w:tc>
          <w:tcPr>
            <w:tcW w:type="dxa" w:w="1296"/>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0,0120</w:t>
            </w:r>
          </w:p>
        </w:tc>
      </w:tr>
      <w:tr>
        <w:tc>
          <w:tcPr>
            <w:tcW w:type="dxa" w:w="1728"/>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X₁₂</w:t>
            </w:r>
          </w:p>
        </w:tc>
        <w:tc>
          <w:tcPr>
            <w:tcW w:type="dxa" w:w="4320"/>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9"/>
              </w:rPr>
              <w:t>Отказ соленоидного распределителя отсекателя</w:t>
            </w:r>
          </w:p>
        </w:tc>
        <w:tc>
          <w:tcPr>
            <w:tcW w:type="dxa" w:w="1872"/>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5,7 · 10⁻⁷</w:t>
            </w:r>
          </w:p>
        </w:tc>
        <w:tc>
          <w:tcPr>
            <w:tcW w:type="dxa" w:w="1296"/>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0,0050</w:t>
            </w:r>
          </w:p>
        </w:tc>
      </w:tr>
      <w:tr>
        <w:tc>
          <w:tcPr>
            <w:tcW w:type="dxa" w:w="1728"/>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X₁₃</w:t>
            </w:r>
          </w:p>
        </w:tc>
        <w:tc>
          <w:tcPr>
            <w:tcW w:type="dxa" w:w="4320"/>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9"/>
              </w:rPr>
              <w:t>Засорение импульсной трубки воздуха КИП</w:t>
            </w:r>
          </w:p>
        </w:tc>
        <w:tc>
          <w:tcPr>
            <w:tcW w:type="dxa" w:w="1872"/>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3,4 · 10⁻⁷</w:t>
            </w:r>
          </w:p>
        </w:tc>
        <w:tc>
          <w:tcPr>
            <w:tcW w:type="dxa" w:w="1296"/>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0,0030</w:t>
            </w:r>
          </w:p>
        </w:tc>
      </w:tr>
      <w:tr>
        <w:tc>
          <w:tcPr>
            <w:tcW w:type="dxa" w:w="1728"/>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X₁₄</w:t>
            </w:r>
          </w:p>
        </w:tc>
        <w:tc>
          <w:tcPr>
            <w:tcW w:type="dxa" w:w="4320"/>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9"/>
              </w:rPr>
              <w:t>Пропадание внешнего сетевого электроснабжения</w:t>
            </w:r>
          </w:p>
        </w:tc>
        <w:tc>
          <w:tcPr>
            <w:tcW w:type="dxa" w:w="1872"/>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5,7 · 10⁻⁶</w:t>
            </w:r>
          </w:p>
        </w:tc>
        <w:tc>
          <w:tcPr>
            <w:tcW w:type="dxa" w:w="1296"/>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0,0500</w:t>
            </w:r>
          </w:p>
        </w:tc>
      </w:tr>
      <w:tr>
        <w:tc>
          <w:tcPr>
            <w:tcW w:type="dxa" w:w="1728"/>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X₁₅</w:t>
            </w:r>
          </w:p>
        </w:tc>
        <w:tc>
          <w:tcPr>
            <w:tcW w:type="dxa" w:w="4320"/>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left"/>
            </w:pPr>
            <w:r>
              <w:rPr>
                <w:rFonts w:ascii="Times New Roman" w:hAnsi="Times New Roman"/>
                <w:sz w:val="19"/>
              </w:rPr>
              <w:t>Отказ аккумуляторной батареи / инвертора ИБП</w:t>
            </w:r>
          </w:p>
        </w:tc>
        <w:tc>
          <w:tcPr>
            <w:tcW w:type="dxa" w:w="1872"/>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5,7 · 10⁻⁷</w:t>
            </w:r>
          </w:p>
        </w:tc>
        <w:tc>
          <w:tcPr>
            <w:tcW w:type="dxa" w:w="1296"/>
            <w:shd w:fill="F8F9F9"/>
            <w:tcBorders>
              <w:top w:val="single" w:sz="4" w:space="0" w:color="D5D8DC"/>
              <w:left w:val="single" w:sz="4" w:space="0" w:color="D5D8DC"/>
              <w:bottom w:val="single" w:sz="4" w:space="0" w:color="D5D8DC"/>
              <w:right w:val="single" w:sz="4" w:space="0" w:color="D5D8DC"/>
            </w:tcBorders>
            <w:tcMar>
              <w:top w:w="50" w:type="dxa"/>
              <w:bottom w:w="50" w:type="dxa"/>
              <w:left w:w="60" w:type="dxa"/>
              <w:right w:w="60" w:type="dxa"/>
            </w:tcMar>
          </w:tcPr>
          <w:p>
            <w:pPr>
              <w:spacing w:after="0"/>
              <w:ind w:firstLine="0"/>
              <w:jc w:val="center"/>
            </w:pPr>
            <w:r>
              <w:rPr>
                <w:rFonts w:ascii="Times New Roman" w:hAnsi="Times New Roman"/>
                <w:sz w:val="19"/>
              </w:rPr>
              <w:t>0,0050</w:t>
            </w:r>
          </w:p>
        </w:tc>
      </w:tr>
    </w:tbl>
    <w:p>
      <w:pPr>
        <w:spacing w:before="80" w:after="160"/>
        <w:ind w:firstLine="0"/>
        <w:jc w:val="center"/>
      </w:pPr>
      <w:r>
        <w:rPr>
          <w:rFonts w:ascii="Times New Roman" w:hAnsi="Times New Roman"/>
          <w:b/>
          <w:i/>
          <w:sz w:val="22"/>
        </w:rPr>
        <w:t>Таблица 2 – Численные параметры надежности исходных событий дерева отказов (за 8760 ч)</w:t>
      </w:r>
    </w:p>
    <w:p>
      <w:pPr>
        <w:spacing w:line="276" w:lineRule="auto" w:after="80"/>
        <w:ind w:firstLine="709"/>
        <w:jc w:val="both"/>
      </w:pPr>
      <w:r>
        <w:rPr>
          <w:rFonts w:ascii="Times New Roman" w:hAnsi="Times New Roman"/>
          <w:i w:val="0"/>
          <w:sz w:val="28"/>
        </w:rPr>
        <w:t>Выполним пошаговый вероятностный расчет дерева отказов снизу вверх:</w:t>
      </w:r>
    </w:p>
    <w:p>
      <w:pPr>
        <w:spacing w:line="276" w:lineRule="auto" w:after="80"/>
        <w:ind w:firstLine="709"/>
        <w:jc w:val="both"/>
      </w:pPr>
      <w:r>
        <w:rPr>
          <w:rFonts w:ascii="Times New Roman" w:hAnsi="Times New Roman"/>
          <w:i w:val="0"/>
          <w:sz w:val="28"/>
        </w:rPr>
        <w:t>1. Вероятность отказа основного контура регулирования РСУ (логический элемент «ИЛИ»):</w:t>
      </w:r>
    </w:p>
    <w:p>
      <w:pPr>
        <w:spacing w:line="276" w:lineRule="auto" w:after="40"/>
        <w:ind w:firstLine="709"/>
        <w:jc w:val="both"/>
      </w:pPr>
      <w:r>
        <w:rPr>
          <w:rFonts w:ascii="Times New Roman" w:hAnsi="Times New Roman"/>
          <w:b/>
          <w:sz w:val="28"/>
        </w:rPr>
        <w:t xml:space="preserve">• </w:t>
      </w:r>
      <w:r>
        <w:rPr>
          <w:rFonts w:ascii="Times New Roman" w:hAnsi="Times New Roman"/>
          <w:sz w:val="28"/>
        </w:rPr>
        <w:t>P(A₁) = 1 - (1 - P(X₁))·(1 - P(X₂))·(1 - P(X₃))·(1 - P(X₄)) = 1 - (1 - 0,025)·(1 - 0,001)·(1 - 0,035)·(1 - 0,004) = 1 - 0,975 · 0,999 · 0,965 · 0,996 = 1 - 0,9362 = 0,0638 (6,38% в год). Принимая отказы орошения P(U₁) = 0,018 и перегрева куба P(U₂) = 0,012, суммарная частота инициирующего броска давления составляет P(E_иниц) ≈ 0,0638.</w:t>
      </w:r>
    </w:p>
    <w:p>
      <w:pPr>
        <w:spacing w:line="276" w:lineRule="auto" w:after="80"/>
        <w:ind w:firstLine="709"/>
        <w:jc w:val="both"/>
      </w:pPr>
      <w:r>
        <w:rPr>
          <w:rFonts w:ascii="Times New Roman" w:hAnsi="Times New Roman"/>
          <w:i w:val="0"/>
          <w:sz w:val="28"/>
        </w:rPr>
        <w:t>2. Вероятность отказа измерительного контура ПАЗ со структурой 2oo3:</w:t>
      </w:r>
    </w:p>
    <w:p>
      <w:pPr>
        <w:spacing w:line="276" w:lineRule="auto" w:after="40"/>
        <w:ind w:firstLine="709"/>
        <w:jc w:val="both"/>
      </w:pPr>
      <w:r>
        <w:rPr>
          <w:rFonts w:ascii="Times New Roman" w:hAnsi="Times New Roman"/>
          <w:b/>
          <w:sz w:val="28"/>
        </w:rPr>
        <w:t xml:space="preserve">• </w:t>
      </w:r>
      <w:r>
        <w:rPr>
          <w:rFonts w:ascii="Times New Roman" w:hAnsi="Times New Roman"/>
          <w:sz w:val="28"/>
        </w:rPr>
        <w:t>P(B₁) = 3·P(X₅)² - 2·P(X₅)³ = 3·(0,015)² - 2·(0,015)³ = 3·0,000225 - 0,00000675 = 0,000668 (6,68 · 10⁻⁴). Применение троирования снизило вероятность отказа подсистемы измерения более чем в 22 раза по сравнению с одиночным датчиком!</w:t>
      </w:r>
    </w:p>
    <w:p>
      <w:pPr>
        <w:spacing w:line="276" w:lineRule="auto" w:after="80"/>
        <w:ind w:firstLine="709"/>
        <w:jc w:val="both"/>
      </w:pPr>
      <w:r>
        <w:rPr>
          <w:rFonts w:ascii="Times New Roman" w:hAnsi="Times New Roman"/>
          <w:i w:val="0"/>
          <w:sz w:val="28"/>
        </w:rPr>
        <w:t>3. Вероятность отказа контроллера ПАЗ (архитектура TMR / SIL 3):</w:t>
      </w:r>
    </w:p>
    <w:p>
      <w:pPr>
        <w:spacing w:line="276" w:lineRule="auto" w:after="40"/>
        <w:ind w:firstLine="709"/>
        <w:jc w:val="both"/>
      </w:pPr>
      <w:r>
        <w:rPr>
          <w:rFonts w:ascii="Times New Roman" w:hAnsi="Times New Roman"/>
          <w:b/>
          <w:sz w:val="28"/>
        </w:rPr>
        <w:t xml:space="preserve">• </w:t>
      </w:r>
      <w:r>
        <w:rPr>
          <w:rFonts w:ascii="Times New Roman" w:hAnsi="Times New Roman"/>
          <w:sz w:val="28"/>
        </w:rPr>
        <w:t>P(B₂) = P(X₈) + P(X₉)·P(X₁₀) = 0,0001 + (0,002)² = 0,0001 + 0,000004 = 0,000104 (1,04 · 10⁻⁴).</w:t>
      </w:r>
    </w:p>
    <w:p>
      <w:pPr>
        <w:spacing w:line="276" w:lineRule="auto" w:after="80"/>
        <w:ind w:firstLine="709"/>
        <w:jc w:val="both"/>
      </w:pPr>
      <w:r>
        <w:rPr>
          <w:rFonts w:ascii="Times New Roman" w:hAnsi="Times New Roman"/>
          <w:i w:val="0"/>
          <w:sz w:val="28"/>
        </w:rPr>
        <w:t>4. Вероятность отказа исполнительного контура отсечки сырья (схема «ИЛИ»):</w:t>
      </w:r>
    </w:p>
    <w:p>
      <w:pPr>
        <w:spacing w:line="276" w:lineRule="auto" w:after="40"/>
        <w:ind w:firstLine="709"/>
        <w:jc w:val="both"/>
      </w:pPr>
      <w:r>
        <w:rPr>
          <w:rFonts w:ascii="Times New Roman" w:hAnsi="Times New Roman"/>
          <w:b/>
          <w:sz w:val="28"/>
        </w:rPr>
        <w:t xml:space="preserve">• </w:t>
      </w:r>
      <w:r>
        <w:rPr>
          <w:rFonts w:ascii="Times New Roman" w:hAnsi="Times New Roman"/>
          <w:sz w:val="28"/>
        </w:rPr>
        <w:t>P(B₃) = 1 - (1 - P(X₁₁))·(1 - P(X₁₂))·(1 - P(X₁₃)) = 1 - (1 - 0,012)·(1 - 0,005)·(1 - 0,003) = 1 - 0,988 · 0,995 · 0,997 = 1 - 0,98012 = 0,01988 (~1,99%).</w:t>
      </w:r>
    </w:p>
    <w:p>
      <w:pPr>
        <w:spacing w:line="276" w:lineRule="auto" w:after="80"/>
        <w:ind w:firstLine="709"/>
        <w:jc w:val="both"/>
      </w:pPr>
      <w:r>
        <w:rPr>
          <w:rFonts w:ascii="Times New Roman" w:hAnsi="Times New Roman"/>
          <w:i w:val="0"/>
          <w:sz w:val="28"/>
        </w:rPr>
        <w:t>5. Вероятность полного обесточивания цепей управления (схема «И» сети и ИБП):</w:t>
      </w:r>
    </w:p>
    <w:p>
      <w:pPr>
        <w:spacing w:line="276" w:lineRule="auto" w:after="40"/>
        <w:ind w:firstLine="709"/>
        <w:jc w:val="both"/>
      </w:pPr>
      <w:r>
        <w:rPr>
          <w:rFonts w:ascii="Times New Roman" w:hAnsi="Times New Roman"/>
          <w:b/>
          <w:sz w:val="28"/>
        </w:rPr>
        <w:t xml:space="preserve">• </w:t>
      </w:r>
      <w:r>
        <w:rPr>
          <w:rFonts w:ascii="Times New Roman" w:hAnsi="Times New Roman"/>
          <w:sz w:val="28"/>
        </w:rPr>
        <w:t>P(B₄) = P(X₁₄) · P(X₁₅) = 0,050 · 0,005 = 0,000250 (2,50 · 10⁻⁴).</w:t>
      </w:r>
    </w:p>
    <w:p>
      <w:pPr>
        <w:spacing w:line="276" w:lineRule="auto" w:after="80"/>
        <w:ind w:firstLine="709"/>
        <w:jc w:val="both"/>
      </w:pPr>
      <w:r>
        <w:rPr>
          <w:rFonts w:ascii="Times New Roman" w:hAnsi="Times New Roman"/>
          <w:i w:val="0"/>
          <w:sz w:val="28"/>
        </w:rPr>
        <w:t>6. Суммарная вероятность отказа защитных действий системы ПАЗ (схема «ИЛИ»):</w:t>
      </w:r>
    </w:p>
    <w:p>
      <w:pPr>
        <w:spacing w:line="276" w:lineRule="auto" w:after="40"/>
        <w:ind w:firstLine="709"/>
        <w:jc w:val="both"/>
      </w:pPr>
      <w:r>
        <w:rPr>
          <w:rFonts w:ascii="Times New Roman" w:hAnsi="Times New Roman"/>
          <w:b/>
          <w:sz w:val="28"/>
        </w:rPr>
        <w:t xml:space="preserve">• </w:t>
      </w:r>
      <w:r>
        <w:rPr>
          <w:rFonts w:ascii="Times New Roman" w:hAnsi="Times New Roman"/>
          <w:sz w:val="28"/>
        </w:rPr>
        <w:t>P(E_защита) = 1 - (1 - P(B₁))·(1 - P(B₂))·(1 - P(B₃))·(1 - P(B₄)) = 1 - (1 - 0,000668)·(1 - 0,000104)·(1 - 0,01988)·(1 - 0,00025) ≈ 1 - 0,99933 · 0,99990 · 0,98012 · 0,99975 = 1 - 0,97913 = 0,02087 (~2,09%).</w:t>
      </w:r>
    </w:p>
    <w:p>
      <w:pPr>
        <w:spacing w:line="276" w:lineRule="auto" w:after="80"/>
        <w:ind w:firstLine="709"/>
        <w:jc w:val="both"/>
      </w:pPr>
      <w:r>
        <w:rPr>
          <w:rFonts w:ascii="Times New Roman" w:hAnsi="Times New Roman"/>
          <w:i w:val="0"/>
          <w:sz w:val="28"/>
        </w:rPr>
        <w:t>7. Вероятность головного нежелательного события Т (логический элемент «И»):</w:t>
      </w:r>
    </w:p>
    <w:p>
      <w:pPr>
        <w:spacing w:before="120" w:after="120"/>
        <w:ind w:firstLine="0"/>
        <w:jc w:val="center"/>
      </w:pPr>
      <w:r>
        <w:rPr>
          <w:rFonts w:ascii="Times New Roman" w:hAnsi="Times New Roman"/>
          <w:b/>
          <w:color w:val="C0392B"/>
          <w:sz w:val="28"/>
        </w:rPr>
        <w:t>P(T) = P(E_иниц) · P(E_защита) = 0,0638 · 0,02087 = 1,33 · 10⁻³ год⁻¹ (0,00133)</w:t>
      </w:r>
    </w:p>
    <w:p>
      <w:pPr>
        <w:spacing w:line="276" w:lineRule="auto" w:after="80"/>
        <w:ind w:firstLine="709"/>
        <w:jc w:val="both"/>
      </w:pPr>
      <w:r>
        <w:rPr>
          <w:rFonts w:ascii="Times New Roman" w:hAnsi="Times New Roman"/>
          <w:i w:val="0"/>
          <w:sz w:val="28"/>
        </w:rPr>
        <w:t>Графическая схема дерева отказов с нанесенными вероятностями представлена на Рисунке 4.</w:t>
      </w:r>
    </w:p>
    <w:p>
      <w:pPr>
        <w:spacing w:before="160" w:after="80"/>
        <w:ind w:firstLine="0"/>
        <w:jc w:val="center"/>
      </w:pPr>
      <w:r>
        <w:drawing>
          <wp:inline xmlns:a="http://schemas.openxmlformats.org/drawingml/2006/main" xmlns:pic="http://schemas.openxmlformats.org/drawingml/2006/picture">
            <wp:extent cx="5852160" cy="3515619"/>
            <wp:docPr id="4" name="Picture 4"/>
            <wp:cNvGraphicFramePr>
              <a:graphicFrameLocks noChangeAspect="1"/>
            </wp:cNvGraphicFramePr>
            <a:graphic>
              <a:graphicData uri="http://schemas.openxmlformats.org/drawingml/2006/picture">
                <pic:pic>
                  <pic:nvPicPr>
                    <pic:cNvPr id="0" name="fault_tree_probabilities.png"/>
                    <pic:cNvPicPr/>
                  </pic:nvPicPr>
                  <pic:blipFill>
                    <a:blip r:embed="rId12"/>
                    <a:stretch>
                      <a:fillRect/>
                    </a:stretch>
                  </pic:blipFill>
                  <pic:spPr>
                    <a:xfrm>
                      <a:off x="0" y="0"/>
                      <a:ext cx="5852160" cy="3515619"/>
                    </a:xfrm>
                    <a:prstGeom prst="rect"/>
                  </pic:spPr>
                </pic:pic>
              </a:graphicData>
            </a:graphic>
          </wp:inline>
        </w:drawing>
      </w:r>
    </w:p>
    <w:p>
      <w:pPr>
        <w:spacing w:before="40" w:after="160"/>
        <w:ind w:firstLine="0"/>
        <w:jc w:val="center"/>
      </w:pPr>
      <w:r>
        <w:rPr>
          <w:rFonts w:ascii="Times New Roman" w:hAnsi="Times New Roman"/>
          <w:b/>
          <w:i/>
          <w:sz w:val="24"/>
        </w:rPr>
        <w:t>Рисунок 4 – Дерево отказов (FTA) с указанием вероятностей базовых, промежуточных событий и головного отказа</w:t>
      </w:r>
    </w:p>
    <w:p>
      <w:pPr>
        <w:spacing w:line="276" w:lineRule="auto" w:after="80"/>
        <w:ind w:firstLine="709"/>
        <w:jc w:val="both"/>
      </w:pPr>
      <w:r>
        <w:rPr>
          <w:rFonts w:ascii="Times New Roman" w:hAnsi="Times New Roman"/>
          <w:i w:val="0"/>
          <w:sz w:val="28"/>
        </w:rPr>
        <w:t>Оценка эффекта проектных решений: внедрение системы частичного тестирования хода клапана (PST) снижает интенсивность скрытых отказов отсекателя P(X₁₁) с 0,012 до 0,0015. В результате вероятность отказа исполнительного контура снижается до P(B₃)мод = 0,0045, а вероятность головного аварийного события T снижается более чем в 3,8 раза:</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Модифицированная надежность: </w:t>
      </w:r>
      <w:r>
        <w:rPr>
          <w:rFonts w:ascii="Times New Roman" w:hAnsi="Times New Roman"/>
          <w:sz w:val="28"/>
        </w:rPr>
        <w:t>P(T)мод = 0,0638 · 0,0055 = 3,5 · 10⁻⁴ год⁻¹, что строго удовлетворяет жестким требованиям промышленной безопасности Ростехнадзора (P &lt; 10⁻³ год⁻¹) и гарантирует соответствие уровню полноты безопасности SIL 3 по ГОСТ Р МЭК 61508.</w:t>
      </w:r>
    </w:p>
    <w:p>
      <w:pPr>
        <w:spacing w:before="200" w:after="80"/>
        <w:ind w:firstLine="709"/>
        <w:jc w:val="left"/>
      </w:pPr>
      <w:r>
        <w:rPr>
          <w:rFonts w:ascii="Times New Roman" w:hAnsi="Times New Roman"/>
          <w:b/>
          <w:color w:val="2980B9"/>
          <w:sz w:val="28"/>
        </w:rPr>
        <w:t>3.7. Разработка предложений по системе технического диагностирования (СТД)</w:t>
      </w:r>
    </w:p>
    <w:p>
      <w:pPr>
        <w:spacing w:line="276" w:lineRule="auto" w:after="80"/>
        <w:ind w:firstLine="709"/>
        <w:jc w:val="both"/>
      </w:pPr>
      <w:r>
        <w:rPr>
          <w:rFonts w:ascii="Times New Roman" w:hAnsi="Times New Roman"/>
          <w:i w:val="0"/>
          <w:sz w:val="28"/>
        </w:rPr>
        <w:t>На основе теоретических положений методических указаний (раздел технического диагностирования) сформированы предложения по созданию системы технического диагностирования (СТД) блока ректификации:</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Функциональное диагностирование: </w:t>
      </w:r>
      <w:r>
        <w:rPr>
          <w:rFonts w:ascii="Times New Roman" w:hAnsi="Times New Roman"/>
          <w:sz w:val="28"/>
        </w:rPr>
        <w:t>непрерывный контроль целостности измерительных цепей 4-20 мА по стандарту NAMUR NE43 (обнаружение обрыва линии при I &lt; 3,6 мА и короткого замыкания при I &gt; 21,0 мА); алгоритмическое выявление рассогласования каналов 2oo3 (девиация показаний между любыми двумя датчиками более 2% формирует предупреждение оператору); вибродиагностика центробежных насосов флегмы и сырья по спектру виброграмм (обнаружение дефектов подшипников и дисбаланса ротора на зарождающейся стадии);</w:t>
      </w:r>
    </w:p>
    <w:p>
      <w:pPr>
        <w:spacing w:line="276" w:lineRule="auto" w:after="40"/>
        <w:ind w:firstLine="709"/>
        <w:jc w:val="both"/>
      </w:pPr>
      <w:r>
        <w:rPr>
          <w:rFonts w:ascii="Times New Roman" w:hAnsi="Times New Roman"/>
          <w:b/>
          <w:sz w:val="28"/>
        </w:rPr>
        <w:t xml:space="preserve">• </w:t>
      </w:r>
      <w:r>
        <w:rPr>
          <w:rFonts w:ascii="Times New Roman" w:hAnsi="Times New Roman"/>
          <w:b/>
          <w:sz w:val="28"/>
        </w:rPr>
        <w:t xml:space="preserve">Тестовое диагностирование: </w:t>
      </w:r>
      <w:r>
        <w:rPr>
          <w:rFonts w:ascii="Times New Roman" w:hAnsi="Times New Roman"/>
          <w:sz w:val="28"/>
        </w:rPr>
        <w:t>автоматический циклический тест целостности ОЗУ/ПЗУ контроллеров ПАЗ на основе расчета контрольных сумм CRC32; сторожевые таймеры (Watchdog) процессорных модулей; автоматизированное тестирование хода штоков быстродействующих отсечных клапанов ПАЗ (Partial Stroke Testing – PST) каждые 336 часов без прерывания подачи сырья.</w:t>
      </w:r>
    </w:p>
    <w:p>
      <w:pPr>
        <w:spacing w:before="280" w:after="120"/>
        <w:ind w:firstLine="0"/>
        <w:jc w:val="center"/>
      </w:pPr>
      <w:r>
        <w:rPr>
          <w:rFonts w:ascii="Times New Roman" w:hAnsi="Times New Roman"/>
          <w:b/>
          <w:color w:val="1A252F"/>
          <w:sz w:val="30"/>
        </w:rPr>
        <w:t>4. Выводы</w:t>
      </w:r>
    </w:p>
    <w:p>
      <w:pPr>
        <w:spacing w:line="276" w:lineRule="auto" w:after="80"/>
        <w:ind w:firstLine="709"/>
        <w:jc w:val="both"/>
      </w:pPr>
      <w:r>
        <w:rPr>
          <w:rFonts w:ascii="Times New Roman" w:hAnsi="Times New Roman"/>
          <w:i w:val="0"/>
          <w:sz w:val="28"/>
        </w:rPr>
        <w:t>1. В ходе выполнения лабораторной работы освоены методы анализа видов, последствий и критичности отказов (АВПКО / FMECA) и структурного анализа надежности и безопасности автоматизированных систем (FTA – Fault Tree Analysis) в соответствии с требованиями ГОСТ 27.310-95, ГОСТ Р МЭК 60812 и ГОСТ Р МЭК 61508.</w:t>
      </w:r>
    </w:p>
    <w:p>
      <w:pPr>
        <w:spacing w:line="276" w:lineRule="auto" w:after="80"/>
        <w:ind w:firstLine="709"/>
        <w:jc w:val="both"/>
      </w:pPr>
      <w:r>
        <w:rPr>
          <w:rFonts w:ascii="Times New Roman" w:hAnsi="Times New Roman"/>
          <w:i w:val="0"/>
          <w:sz w:val="28"/>
        </w:rPr>
        <w:t>2. Разработана функциональная модель процесса проведения АВПКО в нотации IDEF0 (диаграмма А0), регламентирующая этапы структурирования и кодирования компонентов КТС, определения показателей критичности C = B₁ · B₂ · B₃ и формирования перечня критичных элементов.</w:t>
      </w:r>
    </w:p>
    <w:p>
      <w:pPr>
        <w:spacing w:line="276" w:lineRule="auto" w:after="80"/>
        <w:ind w:firstLine="709"/>
        <w:jc w:val="both"/>
      </w:pPr>
      <w:r>
        <w:rPr>
          <w:rFonts w:ascii="Times New Roman" w:hAnsi="Times New Roman"/>
          <w:i w:val="0"/>
          <w:sz w:val="28"/>
        </w:rPr>
        <w:t>3. На примере АСУ ТП и системы ПАЗ блока ректификации установки ЭЛОУ-АВТ составлена детальная таблица АВПКО для 12 ключевых компонентов системы, построены матрица критичности отказов (Risk Matrix) и диаграмма Парето. Выявлены наиболее критичные узлы: отсечной клапан ПАЗ XV-101 (C = 200) и датчик давления РСУ PT-101 (C = 128). Предложены проектные компенсирующие меры (внедрение PST-тестирования, регламентная азотная продувка, алгоритм noise-check), позволившие перевести систему в область допустимого риска (C &lt; 100).</w:t>
      </w:r>
    </w:p>
    <w:p>
      <w:pPr>
        <w:spacing w:line="276" w:lineRule="auto" w:after="80"/>
        <w:ind w:firstLine="709"/>
        <w:jc w:val="both"/>
      </w:pPr>
      <w:r>
        <w:rPr>
          <w:rFonts w:ascii="Times New Roman" w:hAnsi="Times New Roman"/>
          <w:i w:val="0"/>
          <w:sz w:val="28"/>
        </w:rPr>
        <w:t>4. Построено многоуровневое дерево отказов (FTA) функции защиты ректификационной колонны от избыточного давления. В результате качественного анализа методом булевой алгебры доказано отсутствие однократных аварийных сочетаний (МАС 1-го порядка), что подтверждает выполнение принципа единичного отказа благодаря горячему дублированию РСУ (1oo2D) и мажорированию ПАЗ (2oo3).</w:t>
      </w:r>
    </w:p>
    <w:p>
      <w:pPr>
        <w:spacing w:line="276" w:lineRule="auto" w:after="80"/>
        <w:ind w:firstLine="709"/>
        <w:jc w:val="both"/>
      </w:pPr>
      <w:r>
        <w:rPr>
          <w:rFonts w:ascii="Times New Roman" w:hAnsi="Times New Roman"/>
          <w:i w:val="0"/>
          <w:sz w:val="28"/>
        </w:rPr>
        <w:t>5. В результате количественного вероятностного расчета показано, что применение мажоритарной структуры 2oo3 в измерительном контуре ПАЗ снизило вероятность отказа измерения в 22 раза (с 0,015 до 6,68 · 10⁻⁴), а суммарная расчетная вероятность головного аварийного события составила P(T) = 1,33 · 10⁻³ год⁻¹ (с последующим снижением до 3,5 · 10⁻⁴ год⁻¹ при использовании PST), что строго удовлетворяет уровню полноты безопасности SIL 3 и нормам промышленной безопасности.</w:t>
      </w:r>
    </w:p>
    <w:p>
      <w:pPr>
        <w:spacing w:before="280" w:after="120"/>
        <w:ind w:firstLine="0"/>
        <w:jc w:val="center"/>
      </w:pPr>
      <w:r>
        <w:rPr>
          <w:rFonts w:ascii="Times New Roman" w:hAnsi="Times New Roman"/>
          <w:b/>
          <w:color w:val="1A252F"/>
          <w:sz w:val="30"/>
        </w:rPr>
        <w:t>5. Контрольные вопросы и ответы</w:t>
      </w:r>
    </w:p>
    <w:p>
      <w:pPr>
        <w:spacing w:line="276" w:lineRule="auto" w:after="80"/>
        <w:ind w:firstLine="709"/>
        <w:jc w:val="both"/>
      </w:pPr>
      <w:r>
        <w:rPr>
          <w:rFonts w:ascii="Times New Roman" w:hAnsi="Times New Roman"/>
          <w:i w:val="0"/>
          <w:sz w:val="28"/>
        </w:rPr>
        <w:t>Вопрос 1. В чем заключается цель и сущность метода АВПКО (FMECA) и как вычисляется показатель критичности отказа?</w:t>
      </w:r>
    </w:p>
    <w:p>
      <w:pPr>
        <w:spacing w:line="276" w:lineRule="auto" w:after="80"/>
        <w:ind w:firstLine="709"/>
        <w:jc w:val="both"/>
      </w:pPr>
      <w:r>
        <w:rPr>
          <w:rFonts w:ascii="Times New Roman" w:hAnsi="Times New Roman"/>
          <w:i w:val="0"/>
          <w:sz w:val="28"/>
        </w:rPr>
        <w:t>Ответ: Цель АВПКО (FMECA – Failure Mode, Effects and Criticality Analysis) – заблаговременное выявление потенциальных видов отказов элементов сложной системы, исследование причин и механизмов их возникновения, качественная и количественная оценка тяжести их последствий на всех уровнях и разработка обоснованных компенсирующих проектных решений. Показатель критичности отказа (приоритетное число риска ПЧР / RPN) определяется как произведение трех составляющих в шкалах от 1 до 10: C = B₁ · B₂ · B₃, где B₁ – вероятность возникновения отказа за период эксплуатации, B₂ – тяжесть последствий отказа для объекта и персонала, B₃ – вероятность необнаружения отказа средствами диагностики до наступления аварии.</w:t>
      </w:r>
    </w:p>
    <w:p>
      <w:pPr>
        <w:spacing w:line="276" w:lineRule="auto" w:after="80"/>
        <w:ind w:firstLine="709"/>
        <w:jc w:val="both"/>
      </w:pPr>
      <w:r>
        <w:rPr>
          <w:rFonts w:ascii="Times New Roman" w:hAnsi="Times New Roman"/>
          <w:i w:val="0"/>
          <w:sz w:val="28"/>
        </w:rPr>
        <w:t>Вопрос 2. Каковы основные эвристические правила построения дерева отказов (FTA)?</w:t>
      </w:r>
    </w:p>
    <w:p>
      <w:pPr>
        <w:spacing w:line="276" w:lineRule="auto" w:after="80"/>
        <w:ind w:firstLine="709"/>
        <w:jc w:val="both"/>
      </w:pPr>
      <w:r>
        <w:rPr>
          <w:rFonts w:ascii="Times New Roman" w:hAnsi="Times New Roman"/>
          <w:i w:val="0"/>
          <w:sz w:val="28"/>
        </w:rPr>
        <w:t>Ответ: Ключевые эвристические правила построения дерева отказов включают: 1) замену абстрактных событий менее абстрактными и физически конкретными (например, «двигатель работает слишком долго» заменяется на «ток через двигатель протекает слишком долго»); 2) разделение событий на элементарные причины; 3) точное определение места и механизма отказа; 4) связывание инициирующих событий с событием типа «отсутствие защитных действий» через логический элемент «И»; 5) поиск совместно действующих причин; 6) детальную разработку отказов до уровня состояния элемента; 7) упрощение дерева путем исключения ветвей с пренебрежимо малой вероятностью.</w:t>
      </w:r>
    </w:p>
    <w:p>
      <w:pPr>
        <w:spacing w:line="276" w:lineRule="auto" w:after="80"/>
        <w:ind w:firstLine="709"/>
        <w:jc w:val="both"/>
      </w:pPr>
      <w:r>
        <w:rPr>
          <w:rFonts w:ascii="Times New Roman" w:hAnsi="Times New Roman"/>
          <w:i w:val="0"/>
          <w:sz w:val="28"/>
        </w:rPr>
        <w:t>Вопрос 3. Что такое минимальные аварийные сочетания (МАС) и каков их физический смысл при анализе надежности АС?</w:t>
      </w:r>
    </w:p>
    <w:p>
      <w:pPr>
        <w:spacing w:line="276" w:lineRule="auto" w:after="80"/>
        <w:ind w:firstLine="709"/>
        <w:jc w:val="both"/>
      </w:pPr>
      <w:r>
        <w:rPr>
          <w:rFonts w:ascii="Times New Roman" w:hAnsi="Times New Roman"/>
          <w:i w:val="0"/>
          <w:sz w:val="28"/>
        </w:rPr>
        <w:t>Ответ: Минимальное аварийное сочетание (МАС / Minimal Cut Set) – это наименьший набор исходных (базовых) событий дерева отказов, при совместном наступлении которых неизбежно возникает головное (аварийное) событие. Если хотя бы одно событие из МАС не произойдет, авария по данной траектории исключена. Порядок МАС определяется числом входящих в него событий: МАС 1-го порядка означают уязвимость системы к единичному отказу, МАС 2-го порядка требуют совпадения двух независимых отказов, МАС 3-го порядка – трех отказов. Проектирование надежных систем ответственного назначения требует полного исключения МАС 1-го порядка за счет резервирования.</w:t>
      </w:r>
    </w:p>
    <w:p>
      <w:pPr>
        <w:spacing w:line="276" w:lineRule="auto" w:after="80"/>
        <w:ind w:firstLine="709"/>
        <w:jc w:val="both"/>
      </w:pPr>
      <w:r>
        <w:rPr>
          <w:rFonts w:ascii="Times New Roman" w:hAnsi="Times New Roman"/>
          <w:i w:val="0"/>
          <w:sz w:val="28"/>
        </w:rPr>
        <w:t>Вопрос 4. Как логический элемент мажоритарного голосования «2 из 3» (2oo3) выражается через базис «И» и «ИЛИ» и как рассчитывается его вероятность отказа?</w:t>
      </w:r>
    </w:p>
    <w:p>
      <w:pPr>
        <w:spacing w:line="276" w:lineRule="auto" w:after="80"/>
        <w:ind w:firstLine="709"/>
        <w:jc w:val="both"/>
      </w:pPr>
      <w:r>
        <w:rPr>
          <w:rFonts w:ascii="Times New Roman" w:hAnsi="Times New Roman"/>
          <w:i w:val="0"/>
          <w:sz w:val="28"/>
        </w:rPr>
        <w:t>Ответ: Логический знак «2 из 3» (Two out of Three) для трех каналов X₁, X₂, X₃ означает, что выходное событие наступает при отказе любых двух или всех трех каналов. В базисе элементов «И» и «ИЛИ» он эквивалентен схеме: (X₁ ∧ X₂) ∨ (X₁ ∧ X₃) ∨ (X₂ ∧ X₃). При условии независимости каналов и одинаковой вероятности отказа одного канала P вероятность отказа схемы рассчитывается по формуле: P_2oo3 = C₃² · P² · (1 - P) + C₃³ · P³ = 3·P²·(1 - P) + P³ = 3·P² - 2·P³. При малых P (P &lt;&lt; 1) значение P_2oo3 ≈ 3·P², что на порядки меньше вероятности отказа одиночного канала P.</w:t>
      </w:r>
    </w:p>
    <w:p>
      <w:pPr>
        <w:spacing w:line="276" w:lineRule="auto" w:after="80"/>
        <w:ind w:firstLine="709"/>
        <w:jc w:val="both"/>
      </w:pPr>
      <w:r>
        <w:rPr>
          <w:rFonts w:ascii="Times New Roman" w:hAnsi="Times New Roman"/>
          <w:i w:val="0"/>
          <w:sz w:val="28"/>
        </w:rPr>
        <w:t>Вопрос 5. В чем заключаются принципиальные различия между функциональным и тестовым диагностированием в системах технического диагностирования (СТД)?</w:t>
      </w:r>
    </w:p>
    <w:p>
      <w:pPr>
        <w:spacing w:line="276" w:lineRule="auto" w:after="80"/>
        <w:ind w:firstLine="709"/>
        <w:jc w:val="both"/>
      </w:pPr>
      <w:r>
        <w:rPr>
          <w:rFonts w:ascii="Times New Roman" w:hAnsi="Times New Roman"/>
          <w:i w:val="0"/>
          <w:sz w:val="28"/>
        </w:rPr>
        <w:t>Ответ: Функциональное диагностирование проводится непрерывно в процессе штатного функционирования объекта по сигналам его рабочих входов и выходов x(t), y(t) без подачи специальных возмущений (например, контроль диапазона 4-20 мА NAMUR NE43, кросс-валидация каналов 2oo3, спектральный анализ виброграмм). Тестовое диагностирование предполагает подачу на систему или ее компонент специально сформированных тестовых сигналов x_т и сравнение отклика с эталонным (например, аппаратный тест ОЗУ контроллера, тестирование частичного хода штока клапана PST – Partial Stroke Testing). Для технологических аппаратов преобладает функциональное диагностирование, а для микропроцессорных средств и защитной арматуры обязательно сочетание обоих видов.</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ind w:firstLine="709"/>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