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2D4D" w:val="clear"/>
            <w:tcMar>
              <w:top w:type="dxa" w:w="400"/>
              <w:left w:type="dxa" w:w="320"/>
              <w:bottom w:type="dxa" w:w="400"/>
              <w:right w:type="dxa" w:w="320"/>
            </w:tcMar>
          </w:tcPr>
          <w:p>
            <w:pPr>
              <w:jc w:val="left"/>
            </w:pPr>
            <w:r>
              <w:rPr>
                <w:rFonts w:ascii="Arial" w:cs="Arial" w:eastAsia="Arial" w:hAnsi="Arial"/>
                <w:b/>
                <w:bCs/>
                <w:color w:val="FFFFFF"/>
                <w:sz w:val="22"/>
                <w:szCs w:val="22"/>
              </w:rPr>
              <w:t xml:space="preserve">CARES CONSULTING, INC.</w:t>
            </w:r>
          </w:p>
          <w:p>
            <w:pPr>
              <w:spacing w:before="60"/>
              <w:jc w:val="left"/>
            </w:pPr>
            <w:r>
              <w:rPr>
                <w:rFonts w:ascii="Arial" w:cs="Arial" w:eastAsia="Arial" w:hAnsi="Arial"/>
                <w:b/>
                <w:bCs/>
                <w:color w:val="FFFFFF"/>
                <w:sz w:val="44"/>
                <w:szCs w:val="44"/>
              </w:rPr>
              <w:t xml:space="preserve">Bookkeeping Services Agreement</w:t>
            </w:r>
          </w:p>
          <w:p>
            <w:pPr>
              <w:spacing w:before="60"/>
              <w:jc w:val="left"/>
            </w:pPr>
            <w:r>
              <w:rPr>
                <w:rFonts w:ascii="Arial" w:cs="Arial" w:eastAsia="Arial" w:hAnsi="Arial"/>
                <w:color w:val="E8C547"/>
                <w:sz w:val="22"/>
                <w:szCs w:val="22"/>
              </w:rPr>
              <w:t xml:space="preserve">Three-Tier Service Engagement</w:t>
            </w:r>
          </w:p>
        </w:tc>
      </w:tr>
    </w:tbl>
    <w:p>
      <w:pPr>
        <w:spacing w:after="200" w:before="200"/>
      </w:pPr>
      <w:r>
        <w:t xml:space="preserve"/>
      </w:r>
    </w:p>
    <w:p>
      <w:pPr>
        <w:spacing w:after="80" w:before="80" w:line="300"/>
        <w:jc w:val="left"/>
      </w:pPr>
      <w:r>
        <w:rPr>
          <w:rFonts w:ascii="Arial" w:cs="Arial" w:eastAsia="Arial" w:hAnsi="Arial"/>
          <w:b w:val="false"/>
          <w:bCs w:val="false"/>
          <w:i w:val="false"/>
          <w:iCs w:val="false"/>
          <w:color w:val="1A1A1A"/>
          <w:sz w:val="22"/>
          <w:szCs w:val="22"/>
        </w:rPr>
        <w:t xml:space="preserve">This Bookkeeping Services Agreement (the “Agreement”) is entered into as of June 1, 2026 between:</w:t>
      </w:r>
    </w:p>
    <w:p>
      <w:pPr>
        <w:spacing w:after="40" w:before="40"/>
      </w:pPr>
      <w:r>
        <w:t xml:space="preserve"/>
      </w:r>
    </w:p>
    <w:p>
      <w:pPr>
        <w:spacing w:after="80" w:before="80" w:line="300"/>
        <w:jc w:val="left"/>
      </w:pPr>
      <w:r>
        <w:rPr>
          <w:rFonts w:ascii="Arial" w:cs="Arial" w:eastAsia="Arial" w:hAnsi="Arial"/>
          <w:b/>
          <w:bCs/>
          <w:i w:val="false"/>
          <w:iCs w:val="false"/>
          <w:color w:val="1A1A1A"/>
          <w:sz w:val="22"/>
          <w:szCs w:val="22"/>
        </w:rPr>
        <w:t xml:space="preserve">CARES Consulting, Inc. (“Consultant”)</w:t>
      </w:r>
    </w:p>
    <w:p>
      <w:pPr>
        <w:spacing w:after="80" w:before="80" w:line="300"/>
        <w:jc w:val="left"/>
      </w:pPr>
      <w:r>
        <w:rPr>
          <w:rFonts w:ascii="Arial" w:cs="Arial" w:eastAsia="Arial" w:hAnsi="Arial"/>
          <w:b w:val="false"/>
          <w:bCs w:val="false"/>
          <w:i w:val="false"/>
          <w:iCs w:val="false"/>
          <w:color w:val="1A1A1A"/>
          <w:sz w:val="22"/>
          <w:szCs w:val="22"/>
        </w:rPr>
        <w:t xml:space="preserve">Kari Hoglund Kounkel</w:t>
      </w:r>
    </w:p>
    <w:p>
      <w:pPr>
        <w:spacing w:after="80" w:before="80" w:line="300"/>
        <w:jc w:val="left"/>
      </w:pPr>
      <w:r>
        <w:rPr>
          <w:rFonts w:ascii="Arial" w:cs="Arial" w:eastAsia="Arial" w:hAnsi="Arial"/>
          <w:b w:val="false"/>
          <w:bCs w:val="false"/>
          <w:i w:val="false"/>
          <w:iCs w:val="false"/>
          <w:color w:val="1A1A1A"/>
          <w:sz w:val="22"/>
          <w:szCs w:val="22"/>
        </w:rPr>
        <w:t xml:space="preserve">Saint Paul, Minnesota</w:t>
      </w:r>
    </w:p>
    <w:p>
      <w:pPr>
        <w:spacing w:after="40" w:before="40"/>
      </w:pPr>
      <w:r>
        <w:t xml:space="preserve"/>
      </w:r>
    </w:p>
    <w:p>
      <w:pPr>
        <w:spacing w:after="80" w:before="80" w:line="300"/>
        <w:jc w:val="left"/>
      </w:pPr>
      <w:r>
        <w:rPr>
          <w:rFonts w:ascii="Arial" w:cs="Arial" w:eastAsia="Arial" w:hAnsi="Arial"/>
          <w:b w:val="false"/>
          <w:bCs w:val="false"/>
          <w:i/>
          <w:iCs/>
          <w:color w:val="1A1A1A"/>
          <w:sz w:val="22"/>
          <w:szCs w:val="22"/>
        </w:rPr>
        <w:t xml:space="preserve">and</w:t>
      </w:r>
    </w:p>
    <w:p>
      <w:pPr>
        <w:spacing w:after="40" w:before="40"/>
      </w:pPr>
      <w:r>
        <w:t xml:space="preserve"/>
      </w:r>
    </w:p>
    <w:p>
      <w:pPr>
        <w:spacing w:after="80" w:before="80" w:line="300"/>
        <w:jc w:val="left"/>
      </w:pPr>
      <w:r>
        <w:rPr>
          <w:rFonts w:ascii="Arial" w:cs="Arial" w:eastAsia="Arial" w:hAnsi="Arial"/>
          <w:b/>
          <w:bCs/>
          <w:i w:val="false"/>
          <w:iCs w:val="false"/>
          <w:color w:val="1A1A1A"/>
          <w:sz w:val="22"/>
          <w:szCs w:val="22"/>
        </w:rPr>
        <w:t xml:space="preserve">I A Z Corporation dba Minuteman Press Uptown (“Client”)</w:t>
      </w:r>
    </w:p>
    <w:p>
      <w:pPr>
        <w:spacing w:after="80" w:before="80" w:line="300"/>
        <w:jc w:val="left"/>
      </w:pPr>
      <w:r>
        <w:rPr>
          <w:rFonts w:ascii="Arial" w:cs="Arial" w:eastAsia="Arial" w:hAnsi="Arial"/>
          <w:b w:val="false"/>
          <w:bCs w:val="false"/>
          <w:i w:val="false"/>
          <w:iCs w:val="false"/>
          <w:color w:val="1A1A1A"/>
          <w:sz w:val="22"/>
          <w:szCs w:val="22"/>
        </w:rPr>
        <w:t xml:space="preserve">Attn: Frank Brown</w:t>
      </w:r>
    </w:p>
    <w:p>
      <w:pPr>
        <w:spacing w:after="80" w:before="80" w:line="300"/>
        <w:jc w:val="left"/>
      </w:pPr>
      <w:r>
        <w:rPr>
          <w:rFonts w:ascii="Arial" w:cs="Arial" w:eastAsia="Arial" w:hAnsi="Arial"/>
          <w:b w:val="false"/>
          <w:bCs w:val="false"/>
          <w:i w:val="false"/>
          <w:iCs w:val="false"/>
          <w:color w:val="666666"/>
          <w:sz w:val="22"/>
          <w:szCs w:val="22"/>
        </w:rPr>
        <w:t xml:space="preserve">4024 Washington Ave N, Minneapolis, MN 55412</w:t>
      </w:r>
    </w:p>
    <w:p>
      <w:pPr>
        <w:spacing w:after="200" w:before="200"/>
      </w:pPr>
      <w:r>
        <w:t xml:space="preserve"/>
      </w:r>
    </w:p>
    <w:p>
      <w:pPr>
        <w:pStyle w:val="Heading2"/>
        <w:spacing w:after="100" w:before="240"/>
      </w:pPr>
      <w:r>
        <w:rPr>
          <w:rFonts w:ascii="Arial" w:cs="Arial" w:eastAsia="Arial" w:hAnsi="Arial"/>
          <w:b/>
          <w:bCs/>
          <w:color w:val="1F2D4D"/>
          <w:sz w:val="24"/>
          <w:szCs w:val="24"/>
        </w:rPr>
        <w:t xml:space="preserve">1. Background</w:t>
      </w:r>
    </w:p>
    <w:p>
      <w:pPr>
        <w:spacing w:after="80" w:before="80" w:line="300"/>
        <w:jc w:val="left"/>
      </w:pPr>
      <w:r>
        <w:rPr>
          <w:rFonts w:ascii="Arial" w:cs="Arial" w:eastAsia="Arial" w:hAnsi="Arial"/>
          <w:b w:val="false"/>
          <w:bCs w:val="false"/>
          <w:i w:val="false"/>
          <w:iCs w:val="false"/>
          <w:color w:val="1A1A1A"/>
          <w:sz w:val="22"/>
          <w:szCs w:val="22"/>
        </w:rPr>
        <w:t xml:space="preserve">Client engages Consultant to provide ongoing bookkeeping, accounting, and related administrative services for two affiliated entities: I A Z Corporation dba Minuteman Press Uptown and Infinity Alpha Omega LLC (collectively, the “Entities”). This Agreement replaces all bookkeeping services previously provided to Client by Laura Mills / ProResources.</w:t>
      </w:r>
    </w:p>
    <w:p>
      <w:pPr>
        <w:pStyle w:val="Heading2"/>
        <w:spacing w:after="100" w:before="240"/>
      </w:pPr>
      <w:r>
        <w:rPr>
          <w:rFonts w:ascii="Arial" w:cs="Arial" w:eastAsia="Arial" w:hAnsi="Arial"/>
          <w:b/>
          <w:bCs/>
          <w:color w:val="1F2D4D"/>
          <w:sz w:val="24"/>
          <w:szCs w:val="24"/>
        </w:rPr>
        <w:t xml:space="preserve">2. Scope of Services</w:t>
      </w:r>
    </w:p>
    <w:p>
      <w:pPr>
        <w:spacing w:after="80" w:before="80" w:line="300"/>
        <w:jc w:val="left"/>
      </w:pPr>
      <w:r>
        <w:rPr>
          <w:rFonts w:ascii="Arial" w:cs="Arial" w:eastAsia="Arial" w:hAnsi="Arial"/>
          <w:b w:val="false"/>
          <w:bCs w:val="false"/>
          <w:i w:val="false"/>
          <w:iCs w:val="false"/>
          <w:color w:val="1A1A1A"/>
          <w:sz w:val="22"/>
          <w:szCs w:val="22"/>
        </w:rPr>
        <w:t xml:space="preserve">Client may select Tier 1 or Tier 2 below. Tier 3 (Hourly) is available to all clients for work outside the selected tier.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2D4D" w:val="clear"/>
            <w:tcMar>
              <w:top w:type="dxa" w:w="120"/>
              <w:left w:type="dxa" w:w="160"/>
              <w:bottom w:type="dxa" w:w="120"/>
              <w:right w:type="dxa" w:w="160"/>
            </w:tcMar>
            <w:vAlign w:val="center"/>
          </w:tcPr>
          <w:p>
            <w:pPr>
              <w:jc w:val="left"/>
            </w:pPr>
            <w:r>
              <w:rPr>
                <w:rFonts w:ascii="Arial" w:cs="Arial" w:eastAsia="Arial" w:hAnsi="Arial"/>
                <w:b/>
                <w:bCs/>
                <w:color w:val="FFFFFF"/>
                <w:sz w:val="22"/>
                <w:szCs w:val="22"/>
              </w:rPr>
              <w:t xml:space="preserve">Component</w:t>
            </w:r>
          </w:p>
        </w:tc>
        <w:tc>
          <w:tcPr>
            <w:tcW w:type="dxa" w:w="3120"/>
            <w:tcBorders>
              <w:top w:val="single" w:color="BFBFBF" w:sz="4"/>
              <w:left w:val="single" w:color="BFBFBF" w:sz="4"/>
              <w:bottom w:val="single" w:color="BFBFBF" w:sz="4"/>
              <w:right w:val="single" w:color="BFBFBF" w:sz="4"/>
            </w:tcBorders>
            <w:shd w:fill="1F2D4D"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Tier 1: Bookkeeping</w:t>
            </w:r>
          </w:p>
        </w:tc>
        <w:tc>
          <w:tcPr>
            <w:tcW w:type="dxa" w:w="3120"/>
            <w:tcBorders>
              <w:top w:val="single" w:color="BFBFBF" w:sz="4"/>
              <w:left w:val="single" w:color="BFBFBF" w:sz="4"/>
              <w:bottom w:val="single" w:color="BFBFBF" w:sz="4"/>
              <w:right w:val="single" w:color="BFBFBF" w:sz="4"/>
            </w:tcBorders>
            <w:shd w:fill="1F2D4D"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Tier 2: Bookkeeping Plus</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bCs/>
                <w:color w:val="1A1A1A"/>
                <w:sz w:val="22"/>
                <w:szCs w:val="22"/>
              </w:rPr>
              <w:t xml:space="preserve">Monthly Fee</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$3,000</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$5,000</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Accounts Payable processing</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AR journal entries (monthly from Flex)</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Sales tax payments + recording</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Bank reconciliations (6 accounts)</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Tenant billing + CAM tracking</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Payroll processing + products</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Financial statements</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Monthly, by 15th</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Weekly + monthly</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Business meeting attendance</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Not included</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HR monitoring with appointed staff</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Not included</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General business administration</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Not included</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On-site presence</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Up to 6 hrs/week</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Up to 15 hrs/week, as needed</w:t>
            </w:r>
          </w:p>
        </w:tc>
      </w:tr>
    </w:tbl>
    <w:p>
      <w:pPr>
        <w:spacing w:after="120" w:before="120"/>
      </w:pPr>
      <w:r>
        <w:t xml:space="preserve"/>
      </w:r>
    </w:p>
    <w:p>
      <w:pPr>
        <w:pStyle w:val="Heading2"/>
        <w:spacing w:after="100" w:before="240"/>
      </w:pPr>
      <w:r>
        <w:rPr>
          <w:rFonts w:ascii="Arial" w:cs="Arial" w:eastAsia="Arial" w:hAnsi="Arial"/>
          <w:b/>
          <w:bCs/>
          <w:color w:val="1F2D4D"/>
          <w:sz w:val="24"/>
          <w:szCs w:val="24"/>
        </w:rPr>
        <w:t xml:space="preserve">3. Tier 1 — Bookkeeping ($3,000 per month)</w:t>
      </w:r>
    </w:p>
    <w:p>
      <w:pPr>
        <w:spacing w:after="80" w:before="80" w:line="300"/>
        <w:jc w:val="left"/>
      </w:pPr>
      <w:r>
        <w:rPr>
          <w:rFonts w:ascii="Arial" w:cs="Arial" w:eastAsia="Arial" w:hAnsi="Arial"/>
          <w:b w:val="false"/>
          <w:bCs w:val="false"/>
          <w:i w:val="false"/>
          <w:iCs w:val="false"/>
          <w:color w:val="1A1A1A"/>
          <w:sz w:val="22"/>
          <w:szCs w:val="22"/>
        </w:rPr>
        <w:t xml:space="preserve">Tier 1 includes the following routine bookkeeping services across both Entities:</w:t>
      </w:r>
    </w:p>
    <w:p>
      <w:pPr>
        <w:pStyle w:val="ListParagraph"/>
        <w:numPr>
          <w:ilvl w:val="0"/>
          <w:numId w:val="2"/>
        </w:numPr>
        <w:spacing w:after="40" w:before="40" w:line="280"/>
      </w:pPr>
      <w:r>
        <w:rPr>
          <w:rFonts w:ascii="Arial" w:cs="Arial" w:eastAsia="Arial" w:hAnsi="Arial"/>
          <w:color w:val="1A1A1A"/>
          <w:sz w:val="22"/>
          <w:szCs w:val="22"/>
        </w:rPr>
        <w:t xml:space="preserve">Accounts Payable: bill entry, payment processing, vendor email correspondence, and AP recording in QuickBooks Online.</w:t>
      </w:r>
    </w:p>
    <w:p>
      <w:pPr>
        <w:pStyle w:val="ListParagraph"/>
        <w:numPr>
          <w:ilvl w:val="0"/>
          <w:numId w:val="2"/>
        </w:numPr>
        <w:spacing w:after="40" w:before="40" w:line="280"/>
      </w:pPr>
      <w:r>
        <w:rPr>
          <w:rFonts w:ascii="Arial" w:cs="Arial" w:eastAsia="Arial" w:hAnsi="Arial"/>
          <w:color w:val="1A1A1A"/>
          <w:sz w:val="22"/>
          <w:szCs w:val="22"/>
        </w:rPr>
        <w:t xml:space="preserve">Accounts Receivable: monthly AR journal entry import from Flex into QuickBooks Online.</w:t>
      </w:r>
    </w:p>
    <w:p>
      <w:pPr>
        <w:pStyle w:val="ListParagraph"/>
        <w:numPr>
          <w:ilvl w:val="0"/>
          <w:numId w:val="2"/>
        </w:numPr>
        <w:spacing w:after="40" w:before="40" w:line="280"/>
      </w:pPr>
      <w:r>
        <w:rPr>
          <w:rFonts w:ascii="Arial" w:cs="Arial" w:eastAsia="Arial" w:hAnsi="Arial"/>
          <w:color w:val="1A1A1A"/>
          <w:sz w:val="22"/>
          <w:szCs w:val="22"/>
        </w:rPr>
        <w:t xml:space="preserve">Sales tax: payment preparation, submission tracking, and recording.</w:t>
      </w:r>
    </w:p>
    <w:p>
      <w:pPr>
        <w:pStyle w:val="ListParagraph"/>
        <w:numPr>
          <w:ilvl w:val="0"/>
          <w:numId w:val="2"/>
        </w:numPr>
        <w:spacing w:after="40" w:before="40" w:line="280"/>
      </w:pPr>
      <w:r>
        <w:rPr>
          <w:rFonts w:ascii="Arial" w:cs="Arial" w:eastAsia="Arial" w:hAnsi="Arial"/>
          <w:color w:val="1A1A1A"/>
          <w:sz w:val="22"/>
          <w:szCs w:val="22"/>
        </w:rPr>
        <w:t xml:space="preserve">Income recording across all revenue sources.</w:t>
      </w:r>
    </w:p>
    <w:p>
      <w:pPr>
        <w:pStyle w:val="ListParagraph"/>
        <w:numPr>
          <w:ilvl w:val="0"/>
          <w:numId w:val="2"/>
        </w:numPr>
        <w:spacing w:after="40" w:before="40" w:line="280"/>
      </w:pPr>
      <w:r>
        <w:rPr>
          <w:rFonts w:ascii="Arial" w:cs="Arial" w:eastAsia="Arial" w:hAnsi="Arial"/>
          <w:color w:val="1A1A1A"/>
          <w:sz w:val="22"/>
          <w:szCs w:val="22"/>
        </w:rPr>
        <w:t xml:space="preserve">Bank reconciliations for six (6) accounts: three (3) on I A Z Corporation and three (3) on Infinity Alpha Omega LLC.</w:t>
      </w:r>
    </w:p>
    <w:p>
      <w:pPr>
        <w:pStyle w:val="ListParagraph"/>
        <w:numPr>
          <w:ilvl w:val="0"/>
          <w:numId w:val="2"/>
        </w:numPr>
        <w:spacing w:after="40" w:before="40" w:line="280"/>
      </w:pPr>
      <w:r>
        <w:rPr>
          <w:rFonts w:ascii="Arial" w:cs="Arial" w:eastAsia="Arial" w:hAnsi="Arial"/>
          <w:color w:val="1A1A1A"/>
          <w:sz w:val="22"/>
          <w:szCs w:val="22"/>
        </w:rPr>
        <w:t xml:space="preserve">Tenant/rent billing and Common Area Maintenance (CAM) tracking.</w:t>
      </w:r>
    </w:p>
    <w:p>
      <w:pPr>
        <w:pStyle w:val="ListParagraph"/>
        <w:numPr>
          <w:ilvl w:val="0"/>
          <w:numId w:val="2"/>
        </w:numPr>
        <w:spacing w:after="40" w:before="40" w:line="280"/>
      </w:pPr>
      <w:r>
        <w:rPr>
          <w:rFonts w:ascii="Arial" w:cs="Arial" w:eastAsia="Arial" w:hAnsi="Arial"/>
          <w:color w:val="1A1A1A"/>
          <w:sz w:val="22"/>
          <w:szCs w:val="22"/>
        </w:rPr>
        <w:t xml:space="preserve">Payroll processing and payroll product management.</w:t>
      </w:r>
    </w:p>
    <w:p>
      <w:pPr>
        <w:pStyle w:val="ListParagraph"/>
        <w:numPr>
          <w:ilvl w:val="0"/>
          <w:numId w:val="2"/>
        </w:numPr>
        <w:spacing w:after="40" w:before="40" w:line="280"/>
      </w:pPr>
      <w:r>
        <w:rPr>
          <w:rFonts w:ascii="Arial" w:cs="Arial" w:eastAsia="Arial" w:hAnsi="Arial"/>
          <w:color w:val="1A1A1A"/>
          <w:sz w:val="22"/>
          <w:szCs w:val="22"/>
        </w:rPr>
        <w:t xml:space="preserve">Miscellaneous routine bookkeeping consistent with prior service standards.</w:t>
      </w:r>
    </w:p>
    <w:p>
      <w:pPr>
        <w:pStyle w:val="ListParagraph"/>
        <w:numPr>
          <w:ilvl w:val="0"/>
          <w:numId w:val="2"/>
        </w:numPr>
        <w:spacing w:after="40" w:before="40" w:line="280"/>
      </w:pPr>
      <w:r>
        <w:rPr>
          <w:rFonts w:ascii="Arial" w:cs="Arial" w:eastAsia="Arial" w:hAnsi="Arial"/>
          <w:color w:val="1A1A1A"/>
          <w:sz w:val="22"/>
          <w:szCs w:val="22"/>
        </w:rPr>
        <w:t xml:space="preserve">Monthly financial statements delivered by the 15th day of the following month.</w:t>
      </w:r>
    </w:p>
    <w:p>
      <w:pPr>
        <w:pStyle w:val="ListParagraph"/>
        <w:numPr>
          <w:ilvl w:val="0"/>
          <w:numId w:val="2"/>
        </w:numPr>
        <w:spacing w:after="40" w:before="40" w:line="280"/>
      </w:pPr>
      <w:r>
        <w:rPr>
          <w:rFonts w:ascii="Arial" w:cs="Arial" w:eastAsia="Arial" w:hAnsi="Arial"/>
          <w:color w:val="1A1A1A"/>
          <w:sz w:val="22"/>
          <w:szCs w:val="22"/>
        </w:rPr>
        <w:t xml:space="preserve">On-site presence at Client's place of business up to six (6) hours per week.</w:t>
      </w:r>
    </w:p>
    <w:p>
      <w:pPr>
        <w:pStyle w:val="Heading2"/>
        <w:spacing w:after="100" w:before="240"/>
      </w:pPr>
      <w:r>
        <w:rPr>
          <w:rFonts w:ascii="Arial" w:cs="Arial" w:eastAsia="Arial" w:hAnsi="Arial"/>
          <w:b/>
          <w:bCs/>
          <w:color w:val="1F2D4D"/>
          <w:sz w:val="24"/>
          <w:szCs w:val="24"/>
        </w:rPr>
        <w:t xml:space="preserve">4. Tier 2 — Bookkeeping Plus ($5,000 per month)</w:t>
      </w:r>
    </w:p>
    <w:p>
      <w:pPr>
        <w:spacing w:after="80" w:before="80" w:line="300"/>
        <w:jc w:val="left"/>
      </w:pPr>
      <w:r>
        <w:rPr>
          <w:rFonts w:ascii="Arial" w:cs="Arial" w:eastAsia="Arial" w:hAnsi="Arial"/>
          <w:b w:val="false"/>
          <w:bCs w:val="false"/>
          <w:i w:val="false"/>
          <w:iCs w:val="false"/>
          <w:color w:val="1A1A1A"/>
          <w:sz w:val="22"/>
          <w:szCs w:val="22"/>
        </w:rPr>
        <w:t xml:space="preserve">Tier 2 includes all Tier 1 services, plus the following expanded operational support:</w:t>
      </w:r>
    </w:p>
    <w:p>
      <w:pPr>
        <w:pStyle w:val="ListParagraph"/>
        <w:numPr>
          <w:ilvl w:val="0"/>
          <w:numId w:val="2"/>
        </w:numPr>
        <w:spacing w:after="40" w:before="40" w:line="280"/>
      </w:pPr>
      <w:r>
        <w:rPr>
          <w:rFonts w:ascii="Arial" w:cs="Arial" w:eastAsia="Arial" w:hAnsi="Arial"/>
          <w:color w:val="1A1A1A"/>
          <w:sz w:val="22"/>
          <w:szCs w:val="22"/>
        </w:rPr>
        <w:t xml:space="preserve">Weekly financial statement preparation in addition to monthly financials.</w:t>
      </w:r>
    </w:p>
    <w:p>
      <w:pPr>
        <w:pStyle w:val="ListParagraph"/>
        <w:numPr>
          <w:ilvl w:val="0"/>
          <w:numId w:val="2"/>
        </w:numPr>
        <w:spacing w:after="40" w:before="40" w:line="280"/>
      </w:pPr>
      <w:r>
        <w:rPr>
          <w:rFonts w:ascii="Arial" w:cs="Arial" w:eastAsia="Arial" w:hAnsi="Arial"/>
          <w:color w:val="1A1A1A"/>
          <w:sz w:val="22"/>
          <w:szCs w:val="22"/>
        </w:rPr>
        <w:t xml:space="preserve">Attendance at scheduled business and operations meetings.</w:t>
      </w:r>
    </w:p>
    <w:p>
      <w:pPr>
        <w:pStyle w:val="ListParagraph"/>
        <w:numPr>
          <w:ilvl w:val="0"/>
          <w:numId w:val="2"/>
        </w:numPr>
        <w:spacing w:after="40" w:before="40" w:line="280"/>
      </w:pPr>
      <w:r>
        <w:rPr>
          <w:rFonts w:ascii="Arial" w:cs="Arial" w:eastAsia="Arial" w:hAnsi="Arial"/>
          <w:color w:val="1A1A1A"/>
          <w:sz w:val="22"/>
          <w:szCs w:val="22"/>
        </w:rPr>
        <w:t xml:space="preserve">HR monitoring in coordination with Client’s designated staff.</w:t>
      </w:r>
    </w:p>
    <w:p>
      <w:pPr>
        <w:pStyle w:val="ListParagraph"/>
        <w:numPr>
          <w:ilvl w:val="0"/>
          <w:numId w:val="2"/>
        </w:numPr>
        <w:spacing w:after="40" w:before="40" w:line="280"/>
      </w:pPr>
      <w:r>
        <w:rPr>
          <w:rFonts w:ascii="Arial" w:cs="Arial" w:eastAsia="Arial" w:hAnsi="Arial"/>
          <w:color w:val="1A1A1A"/>
          <w:sz w:val="22"/>
          <w:szCs w:val="22"/>
        </w:rPr>
        <w:t xml:space="preserve">General business administration oversight.</w:t>
      </w:r>
    </w:p>
    <w:p>
      <w:pPr>
        <w:pStyle w:val="ListParagraph"/>
        <w:numPr>
          <w:ilvl w:val="0"/>
          <w:numId w:val="2"/>
        </w:numPr>
        <w:spacing w:after="40" w:before="40" w:line="280"/>
      </w:pPr>
      <w:r>
        <w:rPr>
          <w:rFonts w:ascii="Arial" w:cs="Arial" w:eastAsia="Arial" w:hAnsi="Arial"/>
          <w:color w:val="1A1A1A"/>
          <w:sz w:val="22"/>
          <w:szCs w:val="22"/>
        </w:rPr>
        <w:t xml:space="preserve">In-person attendance at Client’s place of business as needed, up to fifteen (15) hours per week.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8"/>
              <w:left w:val="single" w:color="BFBFBF" w:sz="4"/>
              <w:bottom w:val="single" w:color="BFBFBF" w:sz="4"/>
              <w:right w:val="single" w:color="BFBFBF" w:sz="4"/>
            </w:tcBorders>
            <w:shd w:fill="FAF6E8" w:val="clear"/>
            <w:tcMar>
              <w:top w:type="dxa" w:w="200"/>
              <w:left w:type="dxa" w:w="280"/>
              <w:bottom w:type="dxa" w:w="200"/>
              <w:right w:type="dxa" w:w="280"/>
            </w:tcMar>
          </w:tcPr>
          <w:p>
            <w:r>
              <w:rPr>
                <w:rFonts w:ascii="Arial" w:cs="Arial" w:eastAsia="Arial" w:hAnsi="Arial"/>
                <w:b/>
                <w:bCs/>
                <w:color w:val="1F2D4D"/>
                <w:sz w:val="22"/>
                <w:szCs w:val="22"/>
              </w:rPr>
              <w:t xml:space="preserve">Sidebar Note</w:t>
            </w:r>
          </w:p>
          <w:p>
            <w:pPr>
              <w:spacing w:before="80" w:line="280"/>
            </w:pPr>
            <w:r>
              <w:rPr>
                <w:rFonts w:ascii="Arial" w:cs="Arial" w:eastAsia="Arial" w:hAnsi="Arial"/>
                <w:i/>
                <w:iCs/>
                <w:color w:val="1A1A1A"/>
                <w:sz w:val="21"/>
                <w:szCs w:val="21"/>
              </w:rPr>
              <w:t xml:space="preserve">Tier 2 caps on-site presence at fifteen (15) hours per week. Consultant is currently averaging 15 to 35 hours per week on-site under prior, undocumented arrangements; this Agreement establishes a sustainable cap. Any sustained on-site work above 15 hours per week becomes Tier 3 hourly work, or triggers renegotiation of the monthly fee in writing.</w:t>
            </w:r>
          </w:p>
        </w:tc>
      </w:tr>
    </w:tbl>
    <w:p>
      <w:pPr>
        <w:spacing w:after="80" w:before="80"/>
      </w:pPr>
      <w:r>
        <w:t xml:space="preserve"/>
      </w:r>
    </w:p>
    <w:p>
      <w:pPr>
        <w:pStyle w:val="Heading2"/>
        <w:spacing w:after="100" w:before="240"/>
      </w:pPr>
      <w:r>
        <w:rPr>
          <w:rFonts w:ascii="Arial" w:cs="Arial" w:eastAsia="Arial" w:hAnsi="Arial"/>
          <w:b/>
          <w:bCs/>
          <w:color w:val="1F2D4D"/>
          <w:sz w:val="24"/>
          <w:szCs w:val="24"/>
        </w:rPr>
        <w:t xml:space="preserve">5. Tier 3 — Hourly Additional Work ($125 per hour)</w:t>
      </w:r>
    </w:p>
    <w:p>
      <w:pPr>
        <w:spacing w:after="80" w:before="80" w:line="300"/>
        <w:jc w:val="left"/>
      </w:pPr>
      <w:r>
        <w:rPr>
          <w:rFonts w:ascii="Arial" w:cs="Arial" w:eastAsia="Arial" w:hAnsi="Arial"/>
          <w:b w:val="false"/>
          <w:bCs w:val="false"/>
          <w:i w:val="false"/>
          <w:iCs w:val="false"/>
          <w:color w:val="1A1A1A"/>
          <w:sz w:val="22"/>
          <w:szCs w:val="22"/>
        </w:rPr>
        <w:t xml:space="preserve">Work outside the scope of the selected tier is billed at $125 per hour. Before any additional work begins, Consultant will deliver to Client a written estimate of anticipated time and total cost. No additional work will commence until Client provides written approval of the estimate.</w:t>
      </w:r>
    </w:p>
    <w:p>
      <w:pPr>
        <w:spacing w:after="40" w:before="40"/>
      </w:pPr>
      <w:r>
        <w:t xml:space="preserve"/>
      </w:r>
    </w:p>
    <w:p>
      <w:pPr>
        <w:spacing w:after="80" w:before="80" w:line="300"/>
        <w:jc w:val="left"/>
      </w:pPr>
      <w:r>
        <w:rPr>
          <w:rFonts w:ascii="Arial" w:cs="Arial" w:eastAsia="Arial" w:hAnsi="Arial"/>
          <w:b w:val="false"/>
          <w:bCs w:val="false"/>
          <w:i w:val="false"/>
          <w:iCs w:val="false"/>
          <w:color w:val="1A1A1A"/>
          <w:sz w:val="22"/>
          <w:szCs w:val="22"/>
        </w:rPr>
        <w:t xml:space="preserve">Examples of work typically billed under Tier 3 include, but are not limited to:</w:t>
      </w:r>
    </w:p>
    <w:p>
      <w:pPr>
        <w:pStyle w:val="ListParagraph"/>
        <w:numPr>
          <w:ilvl w:val="0"/>
          <w:numId w:val="2"/>
        </w:numPr>
        <w:spacing w:after="40" w:before="40" w:line="280"/>
      </w:pPr>
      <w:r>
        <w:rPr>
          <w:rFonts w:ascii="Arial" w:cs="Arial" w:eastAsia="Arial" w:hAnsi="Arial"/>
          <w:color w:val="1A1A1A"/>
          <w:sz w:val="22"/>
          <w:szCs w:val="22"/>
        </w:rPr>
        <w:t xml:space="preserve">Direct conversations and meetings with Client’s customers or vendors on Client’s behalf.</w:t>
      </w:r>
    </w:p>
    <w:p>
      <w:pPr>
        <w:pStyle w:val="ListParagraph"/>
        <w:numPr>
          <w:ilvl w:val="0"/>
          <w:numId w:val="2"/>
        </w:numPr>
        <w:spacing w:after="40" w:before="40" w:line="280"/>
      </w:pPr>
      <w:r>
        <w:rPr>
          <w:rFonts w:ascii="Arial" w:cs="Arial" w:eastAsia="Arial" w:hAnsi="Arial"/>
          <w:color w:val="1A1A1A"/>
          <w:sz w:val="22"/>
          <w:szCs w:val="22"/>
        </w:rPr>
        <w:t xml:space="preserve">Negotiation of financial arrangements, payment plans, settlements, or vendor terms.</w:t>
      </w:r>
    </w:p>
    <w:p>
      <w:pPr>
        <w:pStyle w:val="ListParagraph"/>
        <w:numPr>
          <w:ilvl w:val="0"/>
          <w:numId w:val="2"/>
        </w:numPr>
        <w:spacing w:after="40" w:before="40" w:line="280"/>
      </w:pPr>
      <w:r>
        <w:rPr>
          <w:rFonts w:ascii="Arial" w:cs="Arial" w:eastAsia="Arial" w:hAnsi="Arial"/>
          <w:color w:val="1A1A1A"/>
          <w:sz w:val="22"/>
          <w:szCs w:val="22"/>
        </w:rPr>
        <w:t xml:space="preserve">Real estate matters, including landlord/tenant negotiations, lease review, and CAM disputes.</w:t>
      </w:r>
    </w:p>
    <w:p>
      <w:pPr>
        <w:pStyle w:val="ListParagraph"/>
        <w:numPr>
          <w:ilvl w:val="0"/>
          <w:numId w:val="2"/>
        </w:numPr>
        <w:spacing w:after="40" w:before="40" w:line="280"/>
      </w:pPr>
      <w:r>
        <w:rPr>
          <w:rFonts w:ascii="Arial" w:cs="Arial" w:eastAsia="Arial" w:hAnsi="Arial"/>
          <w:color w:val="1A1A1A"/>
          <w:sz w:val="22"/>
          <w:szCs w:val="22"/>
        </w:rPr>
        <w:t xml:space="preserve">Crisis management, urgent operational issues, and time-sensitive interventions.</w:t>
      </w:r>
    </w:p>
    <w:p>
      <w:pPr>
        <w:pStyle w:val="ListParagraph"/>
        <w:numPr>
          <w:ilvl w:val="0"/>
          <w:numId w:val="2"/>
        </w:numPr>
        <w:spacing w:after="40" w:before="40" w:line="280"/>
      </w:pPr>
      <w:r>
        <w:rPr>
          <w:rFonts w:ascii="Arial" w:cs="Arial" w:eastAsia="Arial" w:hAnsi="Arial"/>
          <w:color w:val="1A1A1A"/>
          <w:sz w:val="22"/>
          <w:szCs w:val="22"/>
        </w:rPr>
        <w:t xml:space="preserve">Meetings with labor unions, including contract discussions and grievance response.</w:t>
      </w:r>
    </w:p>
    <w:p>
      <w:pPr>
        <w:pStyle w:val="ListParagraph"/>
        <w:numPr>
          <w:ilvl w:val="0"/>
          <w:numId w:val="2"/>
        </w:numPr>
        <w:spacing w:after="40" w:before="40" w:line="280"/>
      </w:pPr>
      <w:r>
        <w:rPr>
          <w:rFonts w:ascii="Arial" w:cs="Arial" w:eastAsia="Arial" w:hAnsi="Arial"/>
          <w:color w:val="1A1A1A"/>
          <w:sz w:val="22"/>
          <w:szCs w:val="22"/>
        </w:rPr>
        <w:t xml:space="preserve">Historical cleanup of prior-period books or chart of accounts restructuring.</w:t>
      </w:r>
    </w:p>
    <w:p>
      <w:pPr>
        <w:pStyle w:val="ListParagraph"/>
        <w:numPr>
          <w:ilvl w:val="0"/>
          <w:numId w:val="2"/>
        </w:numPr>
        <w:spacing w:after="40" w:before="40" w:line="280"/>
      </w:pPr>
      <w:r>
        <w:rPr>
          <w:rFonts w:ascii="Arial" w:cs="Arial" w:eastAsia="Arial" w:hAnsi="Arial"/>
          <w:color w:val="1A1A1A"/>
          <w:sz w:val="22"/>
          <w:szCs w:val="22"/>
        </w:rPr>
        <w:t xml:space="preserve">Audit response, IRS or state agency correspondence.</w:t>
      </w:r>
    </w:p>
    <w:p>
      <w:pPr>
        <w:pStyle w:val="ListParagraph"/>
        <w:numPr>
          <w:ilvl w:val="0"/>
          <w:numId w:val="2"/>
        </w:numPr>
        <w:spacing w:after="40" w:before="40" w:line="280"/>
      </w:pPr>
      <w:r>
        <w:rPr>
          <w:rFonts w:ascii="Arial" w:cs="Arial" w:eastAsia="Arial" w:hAnsi="Arial"/>
          <w:color w:val="1A1A1A"/>
          <w:sz w:val="22"/>
          <w:szCs w:val="22"/>
        </w:rPr>
        <w:t xml:space="preserve">Special projects (loan applications, financial modeling, ad-hoc reporting).</w:t>
      </w:r>
    </w:p>
    <w:p>
      <w:pPr>
        <w:pStyle w:val="ListParagraph"/>
        <w:numPr>
          <w:ilvl w:val="0"/>
          <w:numId w:val="2"/>
        </w:numPr>
        <w:spacing w:after="40" w:before="40" w:line="280"/>
      </w:pPr>
      <w:r>
        <w:rPr>
          <w:rFonts w:ascii="Arial" w:cs="Arial" w:eastAsia="Arial" w:hAnsi="Arial"/>
          <w:color w:val="1A1A1A"/>
          <w:sz w:val="22"/>
          <w:szCs w:val="22"/>
        </w:rPr>
        <w:t xml:space="preserve">Software migrations, integrations, or new module implementations.</w:t>
      </w:r>
    </w:p>
    <w:p>
      <w:pPr>
        <w:pStyle w:val="ListParagraph"/>
        <w:numPr>
          <w:ilvl w:val="0"/>
          <w:numId w:val="2"/>
        </w:numPr>
        <w:spacing w:after="40" w:before="40" w:line="280"/>
      </w:pPr>
      <w:r>
        <w:rPr>
          <w:rFonts w:ascii="Arial" w:cs="Arial" w:eastAsia="Arial" w:hAnsi="Arial"/>
          <w:color w:val="1A1A1A"/>
          <w:sz w:val="22"/>
          <w:szCs w:val="22"/>
        </w:rPr>
        <w:t xml:space="preserve">Year-end tax preparation support beyond standard bookkeeping close.</w:t>
      </w:r>
    </w:p>
    <w:p>
      <w:pPr>
        <w:pStyle w:val="Heading2"/>
        <w:spacing w:after="100" w:before="240"/>
      </w:pPr>
      <w:r>
        <w:rPr>
          <w:rFonts w:ascii="Arial" w:cs="Arial" w:eastAsia="Arial" w:hAnsi="Arial"/>
          <w:b/>
          <w:bCs/>
          <w:color w:val="1F2D4D"/>
          <w:sz w:val="24"/>
          <w:szCs w:val="24"/>
        </w:rPr>
        <w:t xml:space="preserve">6. Transaction Volume</w:t>
      </w:r>
    </w:p>
    <w:p>
      <w:pPr>
        <w:spacing w:after="80" w:before="80" w:line="300"/>
        <w:jc w:val="left"/>
      </w:pPr>
      <w:r>
        <w:rPr>
          <w:rFonts w:ascii="Arial" w:cs="Arial" w:eastAsia="Arial" w:hAnsi="Arial"/>
          <w:b w:val="false"/>
          <w:bCs w:val="false"/>
          <w:i w:val="false"/>
          <w:iCs w:val="false"/>
          <w:color w:val="1A1A1A"/>
          <w:sz w:val="22"/>
          <w:szCs w:val="22"/>
        </w:rPr>
        <w:t xml:space="preserve">Tier 1 and Tier 2 monthly fees assume a combined transaction volume of up to six hundred (600) recorded transactions per month across both Entities. Sustained volume above this threshold for two (2) or more consecutive months may, at Consultant’s discretion, trigger either (a) renegotiation of the monthly fee in writing or (b) billing of overage transactions at the Tier 3 hourly rate. “Transaction” means any posted entry to a bank, credit card, loan, or general ledger account, including AP bills, payments, deposits, journal entries, and payroll postings.</w:t>
      </w:r>
    </w:p>
    <w:p>
      <w:pPr>
        <w:pStyle w:val="Heading2"/>
        <w:spacing w:after="100" w:before="240"/>
      </w:pPr>
      <w:r>
        <w:rPr>
          <w:rFonts w:ascii="Arial" w:cs="Arial" w:eastAsia="Arial" w:hAnsi="Arial"/>
          <w:b/>
          <w:bCs/>
          <w:color w:val="1F2D4D"/>
          <w:sz w:val="24"/>
          <w:szCs w:val="24"/>
        </w:rPr>
        <w:t xml:space="preserve">7. Selected Tier</w:t>
      </w:r>
    </w:p>
    <w:p>
      <w:pPr>
        <w:spacing w:after="80" w:before="80" w:line="300"/>
        <w:jc w:val="left"/>
      </w:pPr>
      <w:r>
        <w:rPr>
          <w:rFonts w:ascii="Arial" w:cs="Arial" w:eastAsia="Arial" w:hAnsi="Arial"/>
          <w:b w:val="false"/>
          <w:bCs w:val="false"/>
          <w:i w:val="false"/>
          <w:iCs w:val="false"/>
          <w:color w:val="1A1A1A"/>
          <w:sz w:val="22"/>
          <w:szCs w:val="22"/>
        </w:rPr>
        <w:t xml:space="preserve">Client selects the following service tier as of the Effective Date:</w:t>
      </w:r>
    </w:p>
    <w:p>
      <w:pPr>
        <w:pStyle w:val="ListParagraph"/>
        <w:numPr>
          <w:ilvl w:val="0"/>
          <w:numId w:val="2"/>
        </w:numPr>
        <w:spacing w:after="40" w:before="40" w:line="280"/>
      </w:pPr>
      <w:r>
        <w:rPr>
          <w:rFonts w:ascii="Arial" w:cs="Arial" w:eastAsia="Arial" w:hAnsi="Arial"/>
          <w:color w:val="1A1A1A"/>
          <w:sz w:val="22"/>
          <w:szCs w:val="22"/>
        </w:rPr>
        <w:t xml:space="preserve">☐  Tier 1 — Bookkeeping — $3,000 per month</w:t>
      </w:r>
    </w:p>
    <w:p>
      <w:pPr>
        <w:pStyle w:val="ListParagraph"/>
        <w:numPr>
          <w:ilvl w:val="0"/>
          <w:numId w:val="2"/>
        </w:numPr>
        <w:spacing w:after="40" w:before="40" w:line="280"/>
      </w:pPr>
      <w:r>
        <w:rPr>
          <w:rFonts w:ascii="Arial" w:cs="Arial" w:eastAsia="Arial" w:hAnsi="Arial"/>
          <w:color w:val="1A1A1A"/>
          <w:sz w:val="22"/>
          <w:szCs w:val="22"/>
        </w:rPr>
        <w:t xml:space="preserve">☐  Tier 2 — Bookkeeping Plus — $5,000 per month</w:t>
      </w:r>
    </w:p>
    <w:p>
      <w:pPr>
        <w:spacing w:after="40" w:before="40"/>
      </w:pPr>
      <w:r>
        <w:t xml:space="preserve"/>
      </w:r>
    </w:p>
    <w:p>
      <w:pPr>
        <w:spacing w:after="80" w:before="80" w:line="300"/>
        <w:jc w:val="left"/>
      </w:pPr>
      <w:r>
        <w:rPr>
          <w:rFonts w:ascii="Arial" w:cs="Arial" w:eastAsia="Arial" w:hAnsi="Arial"/>
          <w:b w:val="false"/>
          <w:bCs w:val="false"/>
          <w:i w:val="false"/>
          <w:iCs w:val="false"/>
          <w:color w:val="1A1A1A"/>
          <w:sz w:val="22"/>
          <w:szCs w:val="22"/>
        </w:rPr>
        <w:t xml:space="preserve">Tier 3 hourly billing applies to additional work regardless of selected tier.</w:t>
      </w:r>
    </w:p>
    <w:p>
      <w:pPr>
        <w:pStyle w:val="Heading2"/>
        <w:spacing w:after="100" w:before="240"/>
      </w:pPr>
      <w:r>
        <w:rPr>
          <w:rFonts w:ascii="Arial" w:cs="Arial" w:eastAsia="Arial" w:hAnsi="Arial"/>
          <w:b/>
          <w:bCs/>
          <w:color w:val="1F2D4D"/>
          <w:sz w:val="24"/>
          <w:szCs w:val="24"/>
        </w:rPr>
        <w:t xml:space="preserve">8. Fees, Invoicing &amp; Payment</w:t>
      </w:r>
    </w:p>
    <w:p>
      <w:pPr>
        <w:pStyle w:val="ListParagraph"/>
        <w:numPr>
          <w:ilvl w:val="0"/>
          <w:numId w:val="2"/>
        </w:numPr>
        <w:spacing w:after="40" w:before="40" w:line="280"/>
      </w:pPr>
      <w:r>
        <w:rPr>
          <w:rFonts w:ascii="Arial" w:cs="Arial" w:eastAsia="Arial" w:hAnsi="Arial"/>
          <w:color w:val="1A1A1A"/>
          <w:sz w:val="22"/>
          <w:szCs w:val="22"/>
        </w:rPr>
        <w:t xml:space="preserve">Monthly fees are invoiced no later than the twenty-fifth (25th) day of the prior month and are due on or before the first (1st) day of the month of service.</w:t>
      </w:r>
    </w:p>
    <w:p>
      <w:pPr>
        <w:pStyle w:val="ListParagraph"/>
        <w:numPr>
          <w:ilvl w:val="0"/>
          <w:numId w:val="2"/>
        </w:numPr>
        <w:spacing w:after="40" w:before="40" w:line="280"/>
      </w:pPr>
      <w:r>
        <w:rPr>
          <w:rFonts w:ascii="Arial" w:cs="Arial" w:eastAsia="Arial" w:hAnsi="Arial"/>
          <w:color w:val="1A1A1A"/>
          <w:sz w:val="22"/>
          <w:szCs w:val="22"/>
        </w:rPr>
        <w:t xml:space="preserve">Hourly work (Tier 3) is invoiced upon completion of approved work and is due net fifteen (15) days from invoice date.</w:t>
      </w:r>
    </w:p>
    <w:p>
      <w:pPr>
        <w:pStyle w:val="ListParagraph"/>
        <w:numPr>
          <w:ilvl w:val="0"/>
          <w:numId w:val="2"/>
        </w:numPr>
        <w:spacing w:after="40" w:before="40" w:line="280"/>
      </w:pPr>
      <w:r>
        <w:rPr>
          <w:rFonts w:ascii="Arial" w:cs="Arial" w:eastAsia="Arial" w:hAnsi="Arial"/>
          <w:color w:val="1A1A1A"/>
          <w:sz w:val="22"/>
          <w:szCs w:val="22"/>
        </w:rPr>
        <w:t xml:space="preserve">Invoices not paid within thirty (30) days of invoice date will accrue a late fee of 1.5% per month or the maximum permitted by law, whichever is lower.</w:t>
      </w:r>
    </w:p>
    <w:p>
      <w:pPr>
        <w:pStyle w:val="ListParagraph"/>
        <w:numPr>
          <w:ilvl w:val="0"/>
          <w:numId w:val="2"/>
        </w:numPr>
        <w:spacing w:after="40" w:before="40" w:line="280"/>
      </w:pPr>
      <w:r>
        <w:rPr>
          <w:rFonts w:ascii="Arial" w:cs="Arial" w:eastAsia="Arial" w:hAnsi="Arial"/>
          <w:color w:val="1A1A1A"/>
          <w:sz w:val="22"/>
          <w:szCs w:val="22"/>
        </w:rPr>
        <w:t xml:space="preserve">Consultant may suspend services after any invoice becomes thirty (30) days past due, upon five (5) days’ written notice to Client.</w:t>
      </w:r>
    </w:p>
    <w:p>
      <w:pPr>
        <w:pStyle w:val="Heading2"/>
        <w:spacing w:after="100" w:before="240"/>
      </w:pPr>
      <w:r>
        <w:rPr>
          <w:rFonts w:ascii="Arial" w:cs="Arial" w:eastAsia="Arial" w:hAnsi="Arial"/>
          <w:b/>
          <w:bCs/>
          <w:color w:val="1F2D4D"/>
          <w:sz w:val="24"/>
          <w:szCs w:val="24"/>
        </w:rPr>
        <w:t xml:space="preserve">9. Changes Between Tiers</w:t>
      </w:r>
    </w:p>
    <w:p>
      <w:pPr>
        <w:spacing w:after="80" w:before="80" w:line="300"/>
        <w:jc w:val="left"/>
      </w:pPr>
      <w:r>
        <w:rPr>
          <w:rFonts w:ascii="Arial" w:cs="Arial" w:eastAsia="Arial" w:hAnsi="Arial"/>
          <w:b w:val="false"/>
          <w:bCs w:val="false"/>
          <w:i w:val="false"/>
          <w:iCs w:val="false"/>
          <w:color w:val="1A1A1A"/>
          <w:sz w:val="22"/>
          <w:szCs w:val="22"/>
        </w:rPr>
        <w:t xml:space="preserve">Client may change between Tier 1 and Tier 2 with thirty (30) days’ written notice. The new tier fee applies beginning the month following the notice period.</w:t>
      </w:r>
    </w:p>
    <w:p>
      <w:pPr>
        <w:pStyle w:val="Heading2"/>
        <w:spacing w:after="100" w:before="240"/>
      </w:pPr>
      <w:r>
        <w:rPr>
          <w:rFonts w:ascii="Arial" w:cs="Arial" w:eastAsia="Arial" w:hAnsi="Arial"/>
          <w:b/>
          <w:bCs/>
          <w:color w:val="1F2D4D"/>
          <w:sz w:val="24"/>
          <w:szCs w:val="24"/>
        </w:rPr>
        <w:t xml:space="preserve">10. Term &amp; Termination</w:t>
      </w:r>
    </w:p>
    <w:p>
      <w:pPr>
        <w:spacing w:after="80" w:before="80" w:line="300"/>
        <w:jc w:val="left"/>
      </w:pPr>
      <w:r>
        <w:rPr>
          <w:rFonts w:ascii="Arial" w:cs="Arial" w:eastAsia="Arial" w:hAnsi="Arial"/>
          <w:b w:val="false"/>
          <w:bCs w:val="false"/>
          <w:i w:val="false"/>
          <w:iCs w:val="false"/>
          <w:color w:val="1A1A1A"/>
          <w:sz w:val="22"/>
          <w:szCs w:val="22"/>
        </w:rPr>
        <w:t xml:space="preserve">This Agreement begins on the Effective Date and continues month-to-month until terminated. Either party may terminate this Agreement with thirty (30) days’ written notice. Outstanding work and any unpaid fees through the termination date remain due. Consultant will deliver final reconciled books and reports through the last day of the final paid month.</w:t>
      </w:r>
    </w:p>
    <w:p>
      <w:pPr>
        <w:pStyle w:val="Heading2"/>
        <w:spacing w:after="100" w:before="240"/>
      </w:pPr>
      <w:r>
        <w:rPr>
          <w:rFonts w:ascii="Arial" w:cs="Arial" w:eastAsia="Arial" w:hAnsi="Arial"/>
          <w:b/>
          <w:bCs/>
          <w:color w:val="1F2D4D"/>
          <w:sz w:val="24"/>
          <w:szCs w:val="24"/>
        </w:rPr>
        <w:t xml:space="preserve">11. Client Responsibilities</w:t>
      </w:r>
    </w:p>
    <w:p>
      <w:pPr>
        <w:pStyle w:val="ListParagraph"/>
        <w:numPr>
          <w:ilvl w:val="0"/>
          <w:numId w:val="2"/>
        </w:numPr>
        <w:spacing w:after="40" w:before="40" w:line="280"/>
      </w:pPr>
      <w:r>
        <w:rPr>
          <w:rFonts w:ascii="Arial" w:cs="Arial" w:eastAsia="Arial" w:hAnsi="Arial"/>
          <w:color w:val="1A1A1A"/>
          <w:sz w:val="22"/>
          <w:szCs w:val="22"/>
        </w:rPr>
        <w:t xml:space="preserve">Provide timely access to all bank statements, credit card statements, loan documents, payroll records, and supporting documentation.</w:t>
      </w:r>
    </w:p>
    <w:p>
      <w:pPr>
        <w:pStyle w:val="ListParagraph"/>
        <w:numPr>
          <w:ilvl w:val="0"/>
          <w:numId w:val="2"/>
        </w:numPr>
        <w:spacing w:after="40" w:before="40" w:line="280"/>
      </w:pPr>
      <w:r>
        <w:rPr>
          <w:rFonts w:ascii="Arial" w:cs="Arial" w:eastAsia="Arial" w:hAnsi="Arial"/>
          <w:color w:val="1A1A1A"/>
          <w:sz w:val="22"/>
          <w:szCs w:val="22"/>
        </w:rPr>
        <w:t xml:space="preserve">Provide ongoing access to QuickBooks Online, Flex, payroll systems, and any other software required to perform the services.</w:t>
      </w:r>
    </w:p>
    <w:p>
      <w:pPr>
        <w:pStyle w:val="ListParagraph"/>
        <w:numPr>
          <w:ilvl w:val="0"/>
          <w:numId w:val="2"/>
        </w:numPr>
        <w:spacing w:after="40" w:before="40" w:line="280"/>
      </w:pPr>
      <w:r>
        <w:rPr>
          <w:rFonts w:ascii="Arial" w:cs="Arial" w:eastAsia="Arial" w:hAnsi="Arial"/>
          <w:color w:val="1A1A1A"/>
          <w:sz w:val="22"/>
          <w:szCs w:val="22"/>
        </w:rPr>
        <w:t xml:space="preserve">Respond to Consultant’s questions and approval requests within five (5) business days to keep the monthly close on schedule.</w:t>
      </w:r>
    </w:p>
    <w:p>
      <w:pPr>
        <w:pStyle w:val="ListParagraph"/>
        <w:numPr>
          <w:ilvl w:val="0"/>
          <w:numId w:val="2"/>
        </w:numPr>
        <w:spacing w:after="40" w:before="40" w:line="280"/>
      </w:pPr>
      <w:r>
        <w:rPr>
          <w:rFonts w:ascii="Arial" w:cs="Arial" w:eastAsia="Arial" w:hAnsi="Arial"/>
          <w:color w:val="1A1A1A"/>
          <w:sz w:val="22"/>
          <w:szCs w:val="22"/>
        </w:rPr>
        <w:t xml:space="preserve">Designate a primary point of contact authorized to approve estimates, invoices, and operational decisions.</w:t>
      </w:r>
    </w:p>
    <w:p>
      <w:pPr>
        <w:pStyle w:val="ListParagraph"/>
        <w:numPr>
          <w:ilvl w:val="0"/>
          <w:numId w:val="2"/>
        </w:numPr>
        <w:spacing w:after="40" w:before="40" w:line="280"/>
      </w:pPr>
      <w:r>
        <w:rPr>
          <w:rFonts w:ascii="Arial" w:cs="Arial" w:eastAsia="Arial" w:hAnsi="Arial"/>
          <w:color w:val="1A1A1A"/>
          <w:sz w:val="22"/>
          <w:szCs w:val="22"/>
        </w:rPr>
        <w:t xml:space="preserve">Notify Consultant in writing of any material change to Client’s entities, banking relationships, or financial structure.</w:t>
      </w:r>
    </w:p>
    <w:p>
      <w:pPr>
        <w:pStyle w:val="Heading2"/>
        <w:spacing w:after="100" w:before="240"/>
      </w:pPr>
      <w:r>
        <w:rPr>
          <w:rFonts w:ascii="Arial" w:cs="Arial" w:eastAsia="Arial" w:hAnsi="Arial"/>
          <w:b/>
          <w:bCs/>
          <w:color w:val="1F2D4D"/>
          <w:sz w:val="24"/>
          <w:szCs w:val="24"/>
        </w:rPr>
        <w:t xml:space="preserve">12. Out of Scope</w:t>
      </w:r>
    </w:p>
    <w:p>
      <w:pPr>
        <w:spacing w:after="80" w:before="80" w:line="300"/>
        <w:jc w:val="left"/>
      </w:pPr>
      <w:r>
        <w:rPr>
          <w:rFonts w:ascii="Arial" w:cs="Arial" w:eastAsia="Arial" w:hAnsi="Arial"/>
          <w:b w:val="false"/>
          <w:bCs w:val="false"/>
          <w:i w:val="false"/>
          <w:iCs w:val="false"/>
          <w:color w:val="1A1A1A"/>
          <w:sz w:val="22"/>
          <w:szCs w:val="22"/>
        </w:rPr>
        <w:t xml:space="preserve">This Agreement does not include the following services, which require a separate written engagement:</w:t>
      </w:r>
    </w:p>
    <w:p>
      <w:pPr>
        <w:pStyle w:val="ListParagraph"/>
        <w:numPr>
          <w:ilvl w:val="0"/>
          <w:numId w:val="2"/>
        </w:numPr>
        <w:spacing w:after="40" w:before="40" w:line="280"/>
      </w:pPr>
      <w:r>
        <w:rPr>
          <w:rFonts w:ascii="Arial" w:cs="Arial" w:eastAsia="Arial" w:hAnsi="Arial"/>
          <w:color w:val="1A1A1A"/>
          <w:sz w:val="22"/>
          <w:szCs w:val="22"/>
        </w:rPr>
        <w:t xml:space="preserve">Tax return preparation or filing for any entity or individual.</w:t>
      </w:r>
    </w:p>
    <w:p>
      <w:pPr>
        <w:pStyle w:val="ListParagraph"/>
        <w:numPr>
          <w:ilvl w:val="0"/>
          <w:numId w:val="2"/>
        </w:numPr>
        <w:spacing w:after="40" w:before="40" w:line="280"/>
      </w:pPr>
      <w:r>
        <w:rPr>
          <w:rFonts w:ascii="Arial" w:cs="Arial" w:eastAsia="Arial" w:hAnsi="Arial"/>
          <w:color w:val="1A1A1A"/>
          <w:sz w:val="22"/>
          <w:szCs w:val="22"/>
        </w:rPr>
        <w:t xml:space="preserve">Audit, review, or compilation services as defined by the AICPA.</w:t>
      </w:r>
    </w:p>
    <w:p>
      <w:pPr>
        <w:pStyle w:val="ListParagraph"/>
        <w:numPr>
          <w:ilvl w:val="0"/>
          <w:numId w:val="2"/>
        </w:numPr>
        <w:spacing w:after="40" w:before="40" w:line="280"/>
      </w:pPr>
      <w:r>
        <w:rPr>
          <w:rFonts w:ascii="Arial" w:cs="Arial" w:eastAsia="Arial" w:hAnsi="Arial"/>
          <w:color w:val="1A1A1A"/>
          <w:sz w:val="22"/>
          <w:szCs w:val="22"/>
        </w:rPr>
        <w:t xml:space="preserve">Legal, investment, or fiduciary advice.</w:t>
      </w:r>
    </w:p>
    <w:p>
      <w:pPr>
        <w:pStyle w:val="ListParagraph"/>
        <w:numPr>
          <w:ilvl w:val="0"/>
          <w:numId w:val="2"/>
        </w:numPr>
        <w:spacing w:after="40" w:before="40" w:line="280"/>
      </w:pPr>
      <w:r>
        <w:rPr>
          <w:rFonts w:ascii="Arial" w:cs="Arial" w:eastAsia="Arial" w:hAnsi="Arial"/>
          <w:color w:val="1A1A1A"/>
          <w:sz w:val="22"/>
          <w:szCs w:val="22"/>
        </w:rPr>
        <w:t xml:space="preserve">Forensic accounting or fraud investigation services.</w:t>
      </w:r>
    </w:p>
    <w:p>
      <w:pPr>
        <w:pStyle w:val="ListParagraph"/>
        <w:numPr>
          <w:ilvl w:val="0"/>
          <w:numId w:val="2"/>
        </w:numPr>
        <w:spacing w:after="40" w:before="40" w:line="280"/>
      </w:pPr>
      <w:r>
        <w:rPr>
          <w:rFonts w:ascii="Arial" w:cs="Arial" w:eastAsia="Arial" w:hAnsi="Arial"/>
          <w:color w:val="1A1A1A"/>
          <w:sz w:val="22"/>
          <w:szCs w:val="22"/>
        </w:rPr>
        <w:t xml:space="preserve">Software development, website design, or other technical builds (see separate proposals).</w:t>
      </w:r>
    </w:p>
    <w:p>
      <w:pPr>
        <w:pStyle w:val="Heading2"/>
        <w:spacing w:after="100" w:before="240"/>
      </w:pPr>
      <w:r>
        <w:rPr>
          <w:rFonts w:ascii="Arial" w:cs="Arial" w:eastAsia="Arial" w:hAnsi="Arial"/>
          <w:b/>
          <w:bCs/>
          <w:color w:val="1F2D4D"/>
          <w:sz w:val="24"/>
          <w:szCs w:val="24"/>
        </w:rPr>
        <w:t xml:space="preserve">13. Confidentiality</w:t>
      </w:r>
    </w:p>
    <w:p>
      <w:pPr>
        <w:spacing w:after="80" w:before="80" w:line="300"/>
        <w:jc w:val="left"/>
      </w:pPr>
      <w:r>
        <w:rPr>
          <w:rFonts w:ascii="Arial" w:cs="Arial" w:eastAsia="Arial" w:hAnsi="Arial"/>
          <w:b w:val="false"/>
          <w:bCs w:val="false"/>
          <w:i w:val="false"/>
          <w:iCs w:val="false"/>
          <w:color w:val="1A1A1A"/>
          <w:sz w:val="22"/>
          <w:szCs w:val="22"/>
        </w:rPr>
        <w:t xml:space="preserve">Consultant agrees to keep all Client financial, customer, vendor, employee, and operational information strictly confidential, and to use such information only for the purpose of performing the services under this Agreement. This obligation survives termination of the Agreement.</w:t>
      </w:r>
    </w:p>
    <w:p>
      <w:pPr>
        <w:pStyle w:val="Heading2"/>
        <w:spacing w:after="100" w:before="240"/>
      </w:pPr>
      <w:r>
        <w:rPr>
          <w:rFonts w:ascii="Arial" w:cs="Arial" w:eastAsia="Arial" w:hAnsi="Arial"/>
          <w:b/>
          <w:bCs/>
          <w:color w:val="1F2D4D"/>
          <w:sz w:val="24"/>
          <w:szCs w:val="24"/>
        </w:rPr>
        <w:t xml:space="preserve">14. Limitation of Liability</w:t>
      </w:r>
    </w:p>
    <w:p>
      <w:pPr>
        <w:spacing w:after="80" w:before="80" w:line="300"/>
        <w:jc w:val="left"/>
      </w:pPr>
      <w:r>
        <w:rPr>
          <w:rFonts w:ascii="Arial" w:cs="Arial" w:eastAsia="Arial" w:hAnsi="Arial"/>
          <w:b w:val="false"/>
          <w:bCs w:val="false"/>
          <w:i w:val="false"/>
          <w:iCs w:val="false"/>
          <w:color w:val="1A1A1A"/>
          <w:sz w:val="22"/>
          <w:szCs w:val="22"/>
        </w:rPr>
        <w:t xml:space="preserve">Consultant is not responsible for: (a) incomplete or missing records not provided by Client; (b) actions or decisions taken by Client based on Consultant’s deliverables; (c) errors or omissions resulting from inaccurate information provided by Client; or (d) any third-party software outages, data losses, or integration failures outside Consultant’s control. Consultant’s total liability under this Agreement is limited to fees paid by Client in the ninety (90) days immediately preceding any claim.</w:t>
      </w:r>
    </w:p>
    <w:p>
      <w:pPr>
        <w:spacing w:after="80" w:before="80" w:line="300"/>
        <w:jc w:val="left"/>
      </w:pPr>
      <w:r>
        <w:rPr>
          <w:rFonts w:ascii="Arial" w:cs="Arial" w:eastAsia="Arial" w:hAnsi="Arial"/>
          <w:b w:val="false"/>
          <w:bCs w:val="false"/>
          <w:i w:val="false"/>
          <w:iCs w:val="false"/>
          <w:color w:val="1A1A1A"/>
          <w:sz w:val="22"/>
          <w:szCs w:val="22"/>
        </w:rPr>
        <w:t xml:space="preserve">Consultant provides bookkeeping and financial record-keeping services and does not perform an audit, examination, or fraud investigation. In the ordinary course of its work, Consultant will promptly notify Client of any transaction, balance, or pattern that appears irregular, unusual, or inconsistent. Responsibility for internal controls, for safeguarding assets, and for the honesty and conduct of Client’s employees, officers, and representatives rests solely with Client. Consultant shall not be liable for any loss, shortage, or damage resulting from employee or third-party dishonesty, theft, misappropriation, or fraud, including, without limitation, any such loss occurring after Consultant has advised Client of a concern relating to a transaction, an account, or an individual. The decision to investigate, act upon, or disregard any such notice remains Client’s, and Client assumes the consequences of that decision.</w:t>
      </w:r>
    </w:p>
    <w:p>
      <w:pPr>
        <w:spacing w:after="80" w:before="80" w:line="300"/>
        <w:jc w:val="left"/>
      </w:pPr>
      <w:r>
        <w:rPr>
          <w:rFonts w:ascii="Arial" w:cs="Arial" w:eastAsia="Arial" w:hAnsi="Arial"/>
          <w:b w:val="false"/>
          <w:bCs w:val="false"/>
          <w:i w:val="false"/>
          <w:iCs w:val="false"/>
          <w:color w:val="1A1A1A"/>
          <w:sz w:val="22"/>
          <w:szCs w:val="22"/>
        </w:rPr>
        <w:t xml:space="preserve">Client shall defend, indemnify, and hold harmless Consultant from and against any claim, demand, or proceeding brought by a third party arising out of or related to the matters described in this Section, including the conduct of Client’s employees, officers, representatives, contractors, or vendors, together with any resulting losses, damages, costs, and reasonable attorneys’ fees.</w:t>
      </w:r>
    </w:p>
    <w:p>
      <w:pPr>
        <w:spacing w:after="80" w:before="80" w:line="300"/>
        <w:jc w:val="left"/>
      </w:pPr>
      <w:r>
        <w:rPr>
          <w:rFonts w:ascii="Arial" w:cs="Arial" w:eastAsia="Arial" w:hAnsi="Arial"/>
          <w:b w:val="false"/>
          <w:bCs w:val="false"/>
          <w:i w:val="false"/>
          <w:iCs w:val="false"/>
          <w:color w:val="1A1A1A"/>
          <w:sz w:val="22"/>
          <w:szCs w:val="22"/>
        </w:rPr>
        <w:t xml:space="preserve">Consultant’s notification duty under this Section runs solely to the Client. Consultant has no obligation to report any concern to law enforcement, regulators, third parties, or any other person, and shall not be liable for declining to do so.</w:t>
      </w:r>
    </w:p>
    <w:p>
      <w:pPr>
        <w:spacing w:after="80" w:before="80" w:line="300"/>
        <w:jc w:val="left"/>
      </w:pPr>
      <w:r>
        <w:rPr>
          <w:rFonts w:ascii="Arial" w:cs="Arial" w:eastAsia="Arial" w:hAnsi="Arial"/>
          <w:b w:val="false"/>
          <w:bCs w:val="false"/>
          <w:i w:val="false"/>
          <w:iCs w:val="false"/>
          <w:color w:val="1A1A1A"/>
          <w:sz w:val="22"/>
          <w:szCs w:val="22"/>
        </w:rPr>
        <w:t xml:space="preserve">Notwithstanding the notice period set out in Section 10 (Term &amp; Termination), Consultant may terminate this engagement immediately, without further notice, if it determines in its sole professional judgment that continued performance would create a material risk to its reputation, legal standing, or professional integrity.</w:t>
      </w:r>
    </w:p>
    <w:p>
      <w:pPr>
        <w:pStyle w:val="Heading2"/>
        <w:spacing w:after="100" w:before="240"/>
      </w:pPr>
      <w:r>
        <w:rPr>
          <w:rFonts w:ascii="Arial" w:cs="Arial" w:eastAsia="Arial" w:hAnsi="Arial"/>
          <w:b/>
          <w:bCs/>
          <w:color w:val="1F2D4D"/>
          <w:sz w:val="24"/>
          <w:szCs w:val="24"/>
        </w:rPr>
        <w:t xml:space="preserve">15. Independent Contractor &amp; Corporate Status</w:t>
      </w:r>
    </w:p>
    <w:p>
      <w:pPr>
        <w:spacing w:after="80" w:before="80" w:line="300"/>
        <w:jc w:val="left"/>
      </w:pPr>
      <w:r>
        <w:rPr>
          <w:rFonts w:ascii="Arial" w:cs="Arial" w:eastAsia="Arial" w:hAnsi="Arial"/>
          <w:b w:val="false"/>
          <w:bCs w:val="false"/>
          <w:i w:val="false"/>
          <w:iCs w:val="false"/>
          <w:color w:val="1A1A1A"/>
          <w:sz w:val="22"/>
          <w:szCs w:val="22"/>
        </w:rPr>
        <w:t xml:space="preserve">Consultant is CARES Consulting, Inc., a Minnesota C-corporation, engaged by Client as an independent contractor. As a corporate entity, Consultant is generally exempt from IRS Form 1099-NEC and Form 1099-MISC reporting requirements. Consultant will provide a completed Form W-9 to Client upon request to document corporate status.</w:t>
      </w:r>
    </w:p>
    <w:p>
      <w:pPr>
        <w:spacing w:after="80" w:before="80" w:line="300"/>
        <w:jc w:val="left"/>
      </w:pPr>
      <w:r>
        <w:rPr>
          <w:rFonts w:ascii="Arial" w:cs="Arial" w:eastAsia="Arial" w:hAnsi="Arial"/>
          <w:b w:val="false"/>
          <w:bCs w:val="false"/>
          <w:i w:val="false"/>
          <w:iCs w:val="false"/>
          <w:color w:val="1A1A1A"/>
          <w:sz w:val="22"/>
          <w:szCs w:val="22"/>
        </w:rPr>
        <w:t xml:space="preserve">Consultant is not an employee, partner, or agent of Client. Consultant is responsible for its own taxes, insurance, employee compensation, and business expenses. Nothing in this Agreement creates a partnership, joint venture, or employment relationship between the parties or between Client and any individual employee, officer, or representative of Consultant.</w:t>
      </w:r>
    </w:p>
    <w:p>
      <w:pPr>
        <w:pStyle w:val="Heading2"/>
        <w:spacing w:after="100" w:before="240"/>
      </w:pPr>
      <w:r>
        <w:rPr>
          <w:rFonts w:ascii="Arial" w:cs="Arial" w:eastAsia="Arial" w:hAnsi="Arial"/>
          <w:b/>
          <w:bCs/>
          <w:color w:val="1F2D4D"/>
          <w:sz w:val="24"/>
          <w:szCs w:val="24"/>
        </w:rPr>
        <w:t xml:space="preserve">16. General Provisions</w:t>
      </w:r>
    </w:p>
    <w:p>
      <w:pPr>
        <w:pStyle w:val="ListParagraph"/>
        <w:numPr>
          <w:ilvl w:val="0"/>
          <w:numId w:val="2"/>
        </w:numPr>
        <w:spacing w:after="40" w:before="40" w:line="280"/>
      </w:pPr>
      <w:r>
        <w:rPr>
          <w:rFonts w:ascii="Arial" w:cs="Arial" w:eastAsia="Arial" w:hAnsi="Arial"/>
          <w:color w:val="1A1A1A"/>
          <w:sz w:val="22"/>
          <w:szCs w:val="22"/>
        </w:rPr>
        <w:t xml:space="preserve">Entire Agreement: This document represents the entire agreement between the parties regarding bookkeeping services and supersedes any prior verbal or written understandings.</w:t>
      </w:r>
    </w:p>
    <w:p>
      <w:pPr>
        <w:pStyle w:val="ListParagraph"/>
        <w:numPr>
          <w:ilvl w:val="0"/>
          <w:numId w:val="2"/>
        </w:numPr>
        <w:spacing w:after="40" w:before="40" w:line="280"/>
      </w:pPr>
      <w:r>
        <w:rPr>
          <w:rFonts w:ascii="Arial" w:cs="Arial" w:eastAsia="Arial" w:hAnsi="Arial"/>
          <w:color w:val="1A1A1A"/>
          <w:sz w:val="22"/>
          <w:szCs w:val="22"/>
        </w:rPr>
        <w:t xml:space="preserve">Amendment: Any change to this Agreement must be in writing and signed by both parties.</w:t>
      </w:r>
    </w:p>
    <w:p>
      <w:pPr>
        <w:pStyle w:val="ListParagraph"/>
        <w:numPr>
          <w:ilvl w:val="0"/>
          <w:numId w:val="2"/>
        </w:numPr>
        <w:spacing w:after="40" w:before="40" w:line="280"/>
      </w:pPr>
      <w:r>
        <w:rPr>
          <w:rFonts w:ascii="Arial" w:cs="Arial" w:eastAsia="Arial" w:hAnsi="Arial"/>
          <w:color w:val="1A1A1A"/>
          <w:sz w:val="22"/>
          <w:szCs w:val="22"/>
        </w:rPr>
        <w:t xml:space="preserve">Governing Law: This Agreement is governed by the laws of the State of Minnesota.</w:t>
      </w:r>
    </w:p>
    <w:p>
      <w:pPr>
        <w:pStyle w:val="ListParagraph"/>
        <w:numPr>
          <w:ilvl w:val="0"/>
          <w:numId w:val="2"/>
        </w:numPr>
        <w:spacing w:after="40" w:before="40" w:line="280"/>
      </w:pPr>
      <w:r>
        <w:rPr>
          <w:rFonts w:ascii="Arial" w:cs="Arial" w:eastAsia="Arial" w:hAnsi="Arial"/>
          <w:color w:val="1A1A1A"/>
          <w:sz w:val="22"/>
          <w:szCs w:val="22"/>
        </w:rPr>
        <w:t xml:space="preserve">Severability: If any provision is found unenforceable, the remaining provisions remain in full effect.</w:t>
      </w:r>
    </w:p>
    <w:p>
      <w:pPr>
        <w:pStyle w:val="ListParagraph"/>
        <w:numPr>
          <w:ilvl w:val="0"/>
          <w:numId w:val="2"/>
        </w:numPr>
        <w:spacing w:after="40" w:before="40" w:line="280"/>
      </w:pPr>
      <w:r>
        <w:rPr>
          <w:rFonts w:ascii="Arial" w:cs="Arial" w:eastAsia="Arial" w:hAnsi="Arial"/>
          <w:color w:val="1A1A1A"/>
          <w:sz w:val="22"/>
          <w:szCs w:val="22"/>
        </w:rPr>
        <w:t xml:space="preserve">Electronic Signatures: This Agreement may be executed electronically, and electronic signatures have the same legal effect as wet signatures.</w:t>
      </w:r>
    </w:p>
    <w:p>
      <w:pPr>
        <w:pStyle w:val="Heading2"/>
        <w:spacing w:after="100" w:before="240"/>
      </w:pPr>
      <w:r>
        <w:rPr>
          <w:rFonts w:ascii="Arial" w:cs="Arial" w:eastAsia="Arial" w:hAnsi="Arial"/>
          <w:b/>
          <w:bCs/>
          <w:color w:val="1F2D4D"/>
          <w:sz w:val="24"/>
          <w:szCs w:val="24"/>
        </w:rPr>
        <w:t xml:space="preserve">17. Acceptance</w:t>
      </w:r>
    </w:p>
    <w:p>
      <w:pPr>
        <w:spacing w:after="80" w:before="80" w:line="300"/>
        <w:jc w:val="left"/>
      </w:pPr>
      <w:r>
        <w:rPr>
          <w:rFonts w:ascii="Arial" w:cs="Arial" w:eastAsia="Arial" w:hAnsi="Arial"/>
          <w:b w:val="false"/>
          <w:bCs w:val="false"/>
          <w:i w:val="false"/>
          <w:iCs w:val="false"/>
          <w:color w:val="1A1A1A"/>
          <w:sz w:val="22"/>
          <w:szCs w:val="22"/>
        </w:rPr>
        <w:t xml:space="preserve">By signing below, the parties agree to be bound by the terms of this Agreement as of the Effective Date written above.</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560"/>
        <w:gridCol w:w="4400"/>
      </w:tblGrid>
      <w:tr>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c>
          <w:tcPr>
            <w:tcW w:type="dxa" w:w="560"/>
            <w:tcBorders>
              <w:top w:val="none"/>
              <w:left w:val="none"/>
              <w:bottom w:val="none"/>
              <w:right w:val="none"/>
            </w:tcBorders>
          </w:tcPr>
          <w:p>
            <w:r>
              <w:t xml:space="preserve"/>
            </w:r>
          </w:p>
        </w:tc>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r>
      <w:tr>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Client Signature</w:t>
            </w:r>
          </w:p>
        </w:tc>
        <w:tc>
          <w:tcPr>
            <w:tcW w:type="dxa" w:w="560"/>
            <w:tcBorders>
              <w:top w:val="none"/>
              <w:left w:val="none"/>
              <w:bottom w:val="none"/>
              <w:right w:val="none"/>
            </w:tcBorders>
          </w:tcPr>
          <w:p>
            <w:r>
              <w:t xml:space="preserve"/>
            </w:r>
          </w:p>
        </w:tc>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Consultant Signature</w:t>
            </w:r>
          </w:p>
        </w:tc>
      </w:tr>
      <w:tr>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c>
          <w:tcPr>
            <w:tcW w:type="dxa" w:w="560"/>
            <w:tcBorders>
              <w:top w:val="none"/>
              <w:left w:val="none"/>
              <w:bottom w:val="none"/>
              <w:right w:val="none"/>
            </w:tcBorders>
          </w:tcPr>
          <w:p>
            <w:r>
              <w:t xml:space="preserve"/>
            </w:r>
          </w:p>
        </w:tc>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r>
      <w:tr>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Printed Name / Title</w:t>
            </w:r>
          </w:p>
        </w:tc>
        <w:tc>
          <w:tcPr>
            <w:tcW w:type="dxa" w:w="560"/>
            <w:tcBorders>
              <w:top w:val="none"/>
              <w:left w:val="none"/>
              <w:bottom w:val="none"/>
              <w:right w:val="none"/>
            </w:tcBorders>
          </w:tcPr>
          <w:p>
            <w:r>
              <w:t xml:space="preserve"/>
            </w:r>
          </w:p>
        </w:tc>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Kari Hoglund Kounkel</w:t>
            </w:r>
          </w:p>
        </w:tc>
      </w:tr>
      <w:tr>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c>
          <w:tcPr>
            <w:tcW w:type="dxa" w:w="560"/>
            <w:tcBorders>
              <w:top w:val="none"/>
              <w:left w:val="none"/>
              <w:bottom w:val="none"/>
              <w:right w:val="none"/>
            </w:tcBorders>
          </w:tcPr>
          <w:p>
            <w:r>
              <w:t xml:space="preserve"/>
            </w:r>
          </w:p>
        </w:tc>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r>
      <w:tr>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Date</w:t>
            </w:r>
          </w:p>
        </w:tc>
        <w:tc>
          <w:tcPr>
            <w:tcW w:type="dxa" w:w="560"/>
            <w:tcBorders>
              <w:top w:val="none"/>
              <w:left w:val="none"/>
              <w:bottom w:val="none"/>
              <w:right w:val="none"/>
            </w:tcBorders>
          </w:tcPr>
          <w:p>
            <w:r>
              <w:t xml:space="preserve"/>
            </w:r>
          </w:p>
        </w:tc>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Date</w:t>
            </w:r>
          </w:p>
        </w:tc>
      </w:tr>
    </w:tbl>
    <w:p>
      <w:pPr>
        <w:spacing w:after="160" w:before="160"/>
      </w:pPr>
      <w:r>
        <w:t xml:space="preserve"/>
      </w:r>
    </w:p>
    <w:p>
      <w:pPr>
        <w:spacing w:after="80" w:before="80" w:line="300"/>
        <w:jc w:val="center"/>
      </w:pPr>
      <w:r>
        <w:rPr>
          <w:rFonts w:ascii="Arial" w:cs="Arial" w:eastAsia="Arial" w:hAnsi="Arial"/>
          <w:b w:val="false"/>
          <w:bCs w:val="false"/>
          <w:i w:val="false"/>
          <w:iCs w:val="false"/>
          <w:color w:val="666666"/>
          <w:sz w:val="18"/>
          <w:szCs w:val="18"/>
        </w:rPr>
        <w:t xml:space="preserve">CARES Consulting, Inc.  •  Saint Paul, Minnesota  •  caresmn.com</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D4D"/>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2D4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2026-05-13T18:07:56.637Z</dcterms:created>
  <dcterms:modified xsi:type="dcterms:W3CDTF">2026-05-13T18:07:56.652Z</dcterms:modified>
</cp:coreProperties>
</file>

<file path=docProps/custom.xml><?xml version="1.0" encoding="utf-8"?>
<Properties xmlns="http://schemas.openxmlformats.org/officeDocument/2006/custom-properties" xmlns:vt="http://schemas.openxmlformats.org/officeDocument/2006/docPropsVTypes"/>
</file>