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6" w:space="1" w:color="B87333"/>
        </w:pBdr>
      </w:pPr>
      <w:r>
        <w:rPr>
          <w:rFonts w:ascii="Montserrat" w:hAnsi="Montserrat"/>
          <w:b/>
          <w:color w:val="0D1F2D"/>
          <w:sz w:val="30"/>
        </w:rPr>
        <w:t>Checklist de Gestão de Publicações e Prazos</w:t>
      </w:r>
    </w:p>
    <w:p>
      <w:pPr>
        <w:spacing w:after="100"/>
      </w:pPr>
      <w:r>
        <w:rPr>
          <w:rFonts w:ascii="Montserrat" w:hAnsi="Montserrat"/>
          <w:sz w:val="21"/>
        </w:rPr>
        <w:t>Rotina operacional para Controllers Jurídicos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spacing w:after="100"/>
      </w:pPr>
      <w:r>
        <w:rPr>
          <w:rFonts w:ascii="Montserrat" w:hAnsi="Montserrat"/>
          <w:sz w:val="21"/>
        </w:rPr>
        <w:t>Este checklist organiza a rotina de leitura de publicações, controle de prazos e acompanhamento de protocolos. Use-o como referência para estruturar o fluxo no escritório onde você atua — adapte para o sistema jurídico e o volume de processos do escritório.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Rotina Diária — Início do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Hora sugerida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Feito?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Início do expediente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Verificar publicações do dia no [SISTEMA DO TRIBUNAL]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Classificar publicações: prazo / ciência / despacho / sentença / outro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Encaminhar para o advogado responsável conforme distribuição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Cadastrar prazos identificados no sistema jurídico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Verificar prazos com vencimento em até 3 dias úteis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Confirmar que o advogado está ciente de prazos próximos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Rotina Diária — Durante o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Feito?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Registrar protocolos realizados (número, data, comprovante)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Verificar retorno de correspondentes em campo (audiências do dia)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Atualizar andamentos processuais de audiências realizadas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Responder demandas internas da equipe relacionadas à operação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Rotina Diária — Final do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Feito?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Confirmar que todas as publicações do dia foram tratadas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Verificar se há prazos sem advogado responsável definido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Registrar pendências para o dia seguinte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Rotina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Dia sugerido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Feito?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Segunda-feira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Revisar prazos da semana inteira no sistema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Confirmar audiências da semana com pautas e correspondentes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Sexta-feira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Verificar prazos com vencimento na semana seguinte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Fechar registro semanal de publicações e protocolos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Enviar resumo semanal para o(a) sócio(a) responsável (se aplicável)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Rotina Mensal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Feito?</w:t>
            </w:r>
          </w:p>
        </w:tc>
        <w:tc>
          <w:tcPr>
            <w:tcW w:type="dxa" w:w="219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Primeira semana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Consolidar indicadores do mês anterior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Elaborar relatório mensal para a gestão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Última semana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Mapear audiências e prazos críticos do mês seguinte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Revisar lista de correspondentes e confirmar disponibilidade para datas previstas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  <w:t>☐</w:t>
            </w:r>
          </w:p>
        </w:tc>
        <w:tc>
          <w:tcPr>
            <w:tcW w:type="dxa" w:w="219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Alertas e Pontos Críticos</w:t>
      </w: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Prazo sem advogado responsável é risco imediato. Nunca deixe um prazo sem dono definido — se ninguém está cuidando, você precisa escalar para a gestão agora.</w:t>
      </w: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Publicação não lida é risco silencioso. Se o volume aumenta, o primeiro passo é escalar — não é trabalhar mais rápido e torcer para não perder nada.</w:t>
      </w: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Correspondente acionado sem confirmação de aceite é correspondente não contratado. Sempre registre o aceite antes de considerar a audiência coberta.</w:t>
      </w:r>
    </w:p>
    <w:p>
      <w:pPr>
        <w:spacing w:after="100"/>
      </w:pPr>
    </w:p>
    <w:p>
      <w:pPr>
        <w:spacing w:after="100"/>
      </w:pPr>
      <w:r>
        <w:rPr>
          <w:rFonts w:ascii="Montserrat" w:hAnsi="Montserrat"/>
          <w:sz w:val="21"/>
        </w:rPr>
        <w:t>Escritório: ___________________________________</w:t>
      </w:r>
    </w:p>
    <w:p>
      <w:pPr>
        <w:spacing w:after="100"/>
      </w:pPr>
      <w:r>
        <w:rPr>
          <w:rFonts w:ascii="Montserrat" w:hAnsi="Montserrat"/>
          <w:sz w:val="21"/>
        </w:rPr>
        <w:t>Responsável: ___________________________________</w:t>
      </w:r>
    </w:p>
    <w:p>
      <w:pPr>
        <w:spacing w:after="100"/>
      </w:pPr>
      <w:r>
        <w:rPr>
          <w:rFonts w:ascii="Montserrat" w:hAnsi="Montserrat"/>
          <w:sz w:val="21"/>
        </w:rPr>
        <w:t>Sistema jurídico utilizado: ___________________________________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Montserrat" w:hAnsi="Montserrat"/>
          <w:sz w:val="21"/>
        </w:rPr>
        <w:t>K Controllers  |  Ferramenta de uso exclusivo do(a) controller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555555"/>
        <w:sz w:val="16"/>
      </w:rPr>
      <w:t xml:space="preserve">Ferramenta de uso exclusivo do(a) controller   |   </w:t>
    </w:r>
    <w:r>
      <w:rPr>
        <w:rFonts w:ascii="Montserrat" w:hAnsi="Montserrat"/>
        <w:color w:val="555555"/>
        <w:sz w:val="16"/>
      </w:rPr>
      <w:fldChar w:fldCharType="begin"/>
    </w:r>
    <w:r>
      <w:rPr>
        <w:rFonts w:ascii="Montserrat" w:hAnsi="Montserrat"/>
        <w:color w:val="555555"/>
        <w:sz w:val="16"/>
      </w:rPr>
      <w:instrText> PAGE </w:instrText>
    </w:r>
    <w:r>
      <w:rPr>
        <w:rFonts w:ascii="Montserrat" w:hAnsi="Montserrat"/>
        <w:color w:val="555555"/>
        <w:sz w:val="16"/>
      </w:rPr>
      <w:fldChar w:fldCharType="separate"/>
    </w:r>
    <w:r>
      <w:rPr>
        <w:rFonts w:ascii="Montserrat" w:hAnsi="Montserrat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0D1F2D"/>
      </w:pBdr>
    </w:pPr>
    <w:r>
      <w:rPr>
        <w:rFonts w:ascii="Montserrat" w:hAnsi="Montserrat"/>
        <w:b/>
        <w:color w:val="0D1F2D"/>
        <w:sz w:val="20"/>
      </w:rPr>
      <w:t>K Controllers</w:t>
    </w:r>
    <w:r>
      <w:rPr>
        <w:rFonts w:ascii="Montserrat" w:hAnsi="Montserrat"/>
        <w:color w:val="B87333"/>
        <w:sz w:val="18"/>
      </w:rPr>
      <w:t xml:space="preserve">  |  </w:t>
    </w:r>
    <w:r>
      <w:rPr>
        <w:rFonts w:ascii="Montserrat" w:hAnsi="Montserrat"/>
        <w:color w:val="555555"/>
        <w:sz w:val="18"/>
      </w:rPr>
      <w:t>Checklist — Publicações e Prazos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