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8A2B" w14:textId="77777777" w:rsidR="00470E50" w:rsidRDefault="006123DF">
      <w:pPr>
        <w:spacing w:before="1200"/>
      </w:pPr>
      <w:r>
        <w:rPr>
          <w:rFonts w:ascii="Montserrat" w:eastAsia="Montserrat" w:hAnsi="Montserrat" w:cs="Montserrat"/>
          <w:b/>
          <w:bCs/>
          <w:color w:val="0D1F2D"/>
          <w:sz w:val="52"/>
          <w:szCs w:val="52"/>
        </w:rPr>
        <w:t>POLÍTICA DE GUARDA,</w:t>
      </w:r>
    </w:p>
    <w:p w14:paraId="41259BEA" w14:textId="77777777" w:rsidR="00470E50" w:rsidRDefault="006123DF">
      <w:r>
        <w:rPr>
          <w:rFonts w:ascii="Montserrat" w:eastAsia="Montserrat" w:hAnsi="Montserrat" w:cs="Montserrat"/>
          <w:b/>
          <w:bCs/>
          <w:color w:val="0D1F2D"/>
          <w:sz w:val="52"/>
          <w:szCs w:val="52"/>
        </w:rPr>
        <w:t>DEVOLUÇÃO E DESCARTE</w:t>
      </w:r>
    </w:p>
    <w:p w14:paraId="5ADB496E" w14:textId="77777777" w:rsidR="00470E50" w:rsidRDefault="006123DF">
      <w:pPr>
        <w:spacing w:after="80"/>
      </w:pPr>
      <w:r>
        <w:rPr>
          <w:rFonts w:ascii="Montserrat" w:eastAsia="Montserrat" w:hAnsi="Montserrat" w:cs="Montserrat"/>
          <w:b/>
          <w:bCs/>
          <w:color w:val="0D1F2D"/>
          <w:sz w:val="52"/>
          <w:szCs w:val="52"/>
        </w:rPr>
        <w:t>DE DOCUMENTOS</w:t>
      </w:r>
    </w:p>
    <w:p w14:paraId="299CF09B" w14:textId="77777777" w:rsidR="00470E50" w:rsidRDefault="00470E50">
      <w:pPr>
        <w:pBdr>
          <w:top w:val="single" w:sz="8" w:space="1" w:color="B87333"/>
        </w:pBdr>
        <w:spacing w:before="80" w:after="40"/>
      </w:pPr>
    </w:p>
    <w:p w14:paraId="04C73684" w14:textId="2281F1BB" w:rsidR="00470E50" w:rsidRDefault="006123DF">
      <w:pPr>
        <w:spacing w:before="40" w:after="600"/>
      </w:pPr>
      <w:r>
        <w:rPr>
          <w:rFonts w:ascii="Montserrat" w:eastAsia="Montserrat" w:hAnsi="Montserrat" w:cs="Montserrat"/>
          <w:color w:val="B87333"/>
          <w:sz w:val="20"/>
          <w:szCs w:val="20"/>
        </w:rPr>
        <w:t>Gestão Documental Estratégica   |   Versão 1.0   |   202</w:t>
      </w:r>
      <w:r w:rsidR="00A5686A">
        <w:rPr>
          <w:rFonts w:ascii="Montserrat" w:eastAsia="Montserrat" w:hAnsi="Montserrat" w:cs="Montserrat"/>
          <w:color w:val="B87333"/>
          <w:sz w:val="20"/>
          <w:szCs w:val="20"/>
        </w:rPr>
        <w:t>6</w:t>
      </w:r>
    </w:p>
    <w:p w14:paraId="69830F03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63E3D49B" w14:textId="77777777" w:rsidR="00470E50" w:rsidRDefault="006123DF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1. OBJETIVO</w:t>
      </w:r>
    </w:p>
    <w:p w14:paraId="36603B71" w14:textId="77777777" w:rsidR="00470E50" w:rsidRDefault="006123DF">
      <w:pPr>
        <w:spacing w:before="100" w:after="100"/>
        <w:jc w:val="both"/>
      </w:pPr>
      <w:r>
        <w:rPr>
          <w:color w:val="4A4A4A"/>
        </w:rPr>
        <w:t>Esta política estabelece as diretrizes para o ciclo de vida dos documentos do escritório, abrangendo o período de guarda, os critérios para devolução ao cliente e os procedimentos de descarte seguro. O objetivo é garantir conformidade legal, segurança da informação e organização estruturada do ambiente digital.</w:t>
      </w:r>
    </w:p>
    <w:p w14:paraId="24D51E91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1F026337" w14:textId="77777777" w:rsidR="00470E50" w:rsidRDefault="006123DF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2. ABRANGÊNCIA</w:t>
      </w:r>
    </w:p>
    <w:p w14:paraId="39A4F3D9" w14:textId="77777777" w:rsidR="00470E50" w:rsidRDefault="006123DF">
      <w:pPr>
        <w:spacing w:before="100" w:after="100"/>
      </w:pPr>
      <w:r>
        <w:rPr>
          <w:color w:val="4A4A4A"/>
        </w:rPr>
        <w:t>Aplica-se a todos os colaboradores, sócios e prestadores de serviço que manuseiem documentos do escritório ou de clientes, em qualquer formato eletrônico, incluindo arquivos armazenados em nuvem, e-mails com anexos e sistemas de gestão.</w:t>
      </w:r>
    </w:p>
    <w:p w14:paraId="082B8E86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0A07511F" w14:textId="77777777" w:rsidR="00470E50" w:rsidRDefault="006123DF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3. DEFINIÇÕES</w:t>
      </w:r>
    </w:p>
    <w:p w14:paraId="55BFCCB4" w14:textId="77777777" w:rsidR="00470E50" w:rsidRDefault="006123DF">
      <w:pPr>
        <w:spacing w:before="100" w:after="80"/>
      </w:pPr>
      <w:r>
        <w:rPr>
          <w:color w:val="4A4A4A"/>
        </w:rPr>
        <w:t>Para fins desta política, considera-se:</w:t>
      </w:r>
    </w:p>
    <w:p w14:paraId="3A1D094E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Guarda: período em que o documento deve ser retido pelo escritório por exigência legal, contratual ou estratégica.</w:t>
      </w:r>
    </w:p>
    <w:p w14:paraId="06FACF1B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Devolução: retorno formal do documento original ou de cópia ao cliente, mediante protocolo.</w:t>
      </w:r>
    </w:p>
    <w:p w14:paraId="5EE7E326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lastRenderedPageBreak/>
        <w:t>Descarte: eliminação segura e definitiva de documentos que encerraram seu ciclo de vida.</w:t>
      </w:r>
    </w:p>
    <w:p w14:paraId="01020652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Documento digital: qualquer arquivo eletrônico com valor jurídico, probatório ou administrativo.</w:t>
      </w:r>
    </w:p>
    <w:p w14:paraId="45B91F47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69F1B611" w14:textId="77777777" w:rsidR="00470E50" w:rsidRDefault="006123DF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4. RESPONSABILIDADES</w:t>
      </w:r>
    </w:p>
    <w:p w14:paraId="78E29638" w14:textId="77777777" w:rsidR="00470E50" w:rsidRDefault="006123DF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4.1 Gestão e Coordenação</w:t>
      </w:r>
    </w:p>
    <w:p w14:paraId="27A9DFB3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Sócio responsável ou gestor designado: supervisionam o cumprimento desta política.</w:t>
      </w:r>
    </w:p>
    <w:p w14:paraId="3AF7AB85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Controller Jurídico (quando aplicável): orienta tecnicamente os fluxos documentais e a maturidade da gestão.</w:t>
      </w:r>
    </w:p>
    <w:p w14:paraId="4A7BF0D2" w14:textId="77777777" w:rsidR="00470E50" w:rsidRDefault="006123DF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4.2 Equipe Interna</w:t>
      </w:r>
    </w:p>
    <w:p w14:paraId="0FD28A86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Cada colaborador é responsável pela correta classificação, armazenamento e não exclusão indevida de documentos sob sua responsabilidade.</w:t>
      </w:r>
    </w:p>
    <w:p w14:paraId="1B18EF2E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Em caso de dúvida sobre a destinação de um documento, o colaborador deve consultar o responsável designado antes de qualquer ação.</w:t>
      </w:r>
    </w:p>
    <w:p w14:paraId="447DF99F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2FDE2B98" w14:textId="21467879" w:rsidR="00470E50" w:rsidRDefault="00A5686A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5</w:t>
      </w:r>
      <w:r w:rsidR="006123DF"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. ARMAZENAMENTO E ORGANIZAÇÃO NO DRIVE</w:t>
      </w:r>
    </w:p>
    <w:p w14:paraId="793B3018" w14:textId="77777777" w:rsidR="00470E50" w:rsidRDefault="006123DF">
      <w:pPr>
        <w:spacing w:before="100" w:after="100"/>
      </w:pPr>
      <w:r>
        <w:rPr>
          <w:color w:val="4A4A4A"/>
        </w:rPr>
        <w:t>O escritório adota o Google Drive (ou plataforma equivalente de nuvem) como repositório oficial de documentos digitais. O correto uso do Drive é condição essencial para a eficiência desta política.</w:t>
      </w:r>
    </w:p>
    <w:p w14:paraId="6EB10CAA" w14:textId="3CFCB1E5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5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.1 Estrutura de Pastas Recomendada</w:t>
      </w:r>
    </w:p>
    <w:p w14:paraId="193FD104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Pasta raiz por cliente ou processo, com nomenclatura padronizada.</w:t>
      </w:r>
    </w:p>
    <w:p w14:paraId="404258A6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Subpastas por fase processual ou tipo documental (ex.: Petições, Contratos, Decisões, Correspondências).</w:t>
      </w:r>
    </w:p>
    <w:p w14:paraId="4C4FBC1C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Documentos finalizados ou arquivados em pasta específica de Arquivo Encerrado.</w:t>
      </w:r>
    </w:p>
    <w:p w14:paraId="29F055EA" w14:textId="7B0E436E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5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.2 Nomenclatura de Arquivos</w:t>
      </w:r>
    </w:p>
    <w:p w14:paraId="041CC063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Adotar padrão: AAAA-MM-</w:t>
      </w:r>
      <w:proofErr w:type="spellStart"/>
      <w:r>
        <w:rPr>
          <w:color w:val="4A4A4A"/>
        </w:rPr>
        <w:t>DD_Tipo_NomeCliente_Descrição</w:t>
      </w:r>
      <w:proofErr w:type="spellEnd"/>
      <w:r>
        <w:rPr>
          <w:color w:val="4A4A4A"/>
        </w:rPr>
        <w:t xml:space="preserve"> (ex.: 2025-06-10_Contrato_ClienteXYZ_Honorarios).</w:t>
      </w:r>
    </w:p>
    <w:p w14:paraId="5E0D494A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lastRenderedPageBreak/>
        <w:t>Evitar nomes genéricos como 'documento1', 'final', 'versão nova'.</w:t>
      </w:r>
    </w:p>
    <w:p w14:paraId="3EC185FB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Manter controle de versões por data no nome do arquivo, sem sobrescrever versões anteriores quando relevante.</w:t>
      </w:r>
    </w:p>
    <w:p w14:paraId="213DCFD1" w14:textId="76063902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5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.3 Controle de Acesso</w:t>
      </w:r>
    </w:p>
    <w:p w14:paraId="5B5A5266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Acesso aos documentos de clientes restrito aos advogados e colaboradores vinculados ao caso.</w:t>
      </w:r>
    </w:p>
    <w:p w14:paraId="33180C37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Compartilhamentos externos devem ser feitos com permissão somente leitura, salvo exceções justificadas.</w:t>
      </w:r>
    </w:p>
    <w:p w14:paraId="3C9968CE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Revisão semestral dos acessos compartilhados por responsável designado.</w:t>
      </w:r>
    </w:p>
    <w:p w14:paraId="645683F8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6611B8D4" w14:textId="2F64FA51" w:rsidR="00470E50" w:rsidRDefault="00A5686A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6</w:t>
      </w:r>
      <w:r w:rsidR="006123DF"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. DEVOLUÇÃO DE DOCUMENTOS AO CLIENTE</w:t>
      </w:r>
    </w:p>
    <w:p w14:paraId="50EC80E5" w14:textId="6FAD6B3A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6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.1 Condições para Devolução</w:t>
      </w:r>
    </w:p>
    <w:p w14:paraId="1C19AFE7" w14:textId="77777777" w:rsidR="00470E50" w:rsidRDefault="006123DF">
      <w:pPr>
        <w:spacing w:before="100" w:after="100"/>
      </w:pPr>
      <w:r>
        <w:rPr>
          <w:color w:val="4A4A4A"/>
        </w:rPr>
        <w:t>A devolução de documentos originais ou digitais ao cliente ocorre nas seguintes situações:</w:t>
      </w:r>
    </w:p>
    <w:p w14:paraId="207DFB2D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Encerramento da relação contratual entre cliente e escritório.</w:t>
      </w:r>
    </w:p>
    <w:p w14:paraId="1C19A10D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Solicitação formal do cliente, mediante análise de eventual impacto nos processos ativos.</w:t>
      </w:r>
    </w:p>
    <w:p w14:paraId="1E442FF0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Conclusão de processo com trânsito em julgado, quando o documento não seja mais necessário ao escritório.</w:t>
      </w:r>
    </w:p>
    <w:p w14:paraId="38EFD737" w14:textId="373875A9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6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.2 Procedimento de Devolução</w:t>
      </w:r>
    </w:p>
    <w:p w14:paraId="64202854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Registrar a solicitação por e-mail ou sistema, com identificação do cliente, documentos e data.</w:t>
      </w:r>
    </w:p>
    <w:p w14:paraId="40B80611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Verificar se há processos ativos que impeçam ou limitem a devolução imediata.</w:t>
      </w:r>
    </w:p>
    <w:p w14:paraId="6ECD9510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Gerar protocolo de devolução assinado pelo cliente (físico ou digital).</w:t>
      </w:r>
    </w:p>
    <w:p w14:paraId="5FDC6D50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Manter cópia digital dos documentos devolvidos pelo prazo mínimo legal, antes de qualquer exclusão.</w:t>
      </w:r>
    </w:p>
    <w:p w14:paraId="265A827C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Registrar a devolução no histórico do cliente no sistema do escritório.</w:t>
      </w:r>
    </w:p>
    <w:p w14:paraId="794CA284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0C038922" w14:textId="78317BA3" w:rsidR="00470E50" w:rsidRDefault="00A5686A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7</w:t>
      </w:r>
      <w:r w:rsidR="006123DF"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. DESCARTE SEGURO DE DOCUMENTOS</w:t>
      </w:r>
    </w:p>
    <w:p w14:paraId="7EB09578" w14:textId="30895242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lastRenderedPageBreak/>
        <w:t>7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.1 Critérios para Descarte</w:t>
      </w:r>
    </w:p>
    <w:p w14:paraId="57631EAB" w14:textId="77777777" w:rsidR="00470E50" w:rsidRDefault="006123DF">
      <w:pPr>
        <w:spacing w:before="100" w:after="100"/>
      </w:pPr>
      <w:r>
        <w:rPr>
          <w:color w:val="4A4A4A"/>
        </w:rPr>
        <w:t>O descarte é autorizado quando o documento atende cumulativamente aos seguintes critérios:</w:t>
      </w:r>
    </w:p>
    <w:p w14:paraId="109C6C8D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O prazo mínimo de guarda estabelecido na Tabela de Retenção foi cumprido.</w:t>
      </w:r>
    </w:p>
    <w:p w14:paraId="5BFD1C50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Não há processo judicial, administrativo ou investigação em andamento que exija a manutenção do documento.</w:t>
      </w:r>
    </w:p>
    <w:p w14:paraId="183400A8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O cliente foi formalmente notificado, quando aplicável, sobre a eliminação iminente.</w:t>
      </w:r>
    </w:p>
    <w:p w14:paraId="1E09ED79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A autorização do sócio responsável foi registrada.</w:t>
      </w:r>
    </w:p>
    <w:p w14:paraId="7DE7F686" w14:textId="7CE99954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7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.2 Procedimento de Descarte Digital</w:t>
      </w:r>
    </w:p>
    <w:p w14:paraId="46E95C07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Localizar os arquivos no Drive com base na data de criação e categoria.</w:t>
      </w:r>
    </w:p>
    <w:p w14:paraId="017C615F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Gerar lista dos documentos a descartar para validação interna antes da exclusão.</w:t>
      </w:r>
    </w:p>
    <w:p w14:paraId="1BB03169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Excluir permanentemente os arquivos, incluindo da lixeira da nuvem.</w:t>
      </w:r>
    </w:p>
    <w:p w14:paraId="51644FF4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Registrar a exclusão em log interno com: data, responsável, documentos eliminados e justificativa.</w:t>
      </w:r>
    </w:p>
    <w:p w14:paraId="105C1B92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Em casos de dados pessoais regidos pela LGPD, garantir que o descarte contemple todas as cópias e backups.</w:t>
      </w:r>
    </w:p>
    <w:p w14:paraId="389A7C9E" w14:textId="6F892A00" w:rsidR="00470E50" w:rsidRDefault="00A5686A">
      <w:pPr>
        <w:pStyle w:val="Ttulo2"/>
        <w:spacing w:before="320" w:after="120"/>
      </w:pPr>
      <w:r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7</w:t>
      </w:r>
      <w:r w:rsidR="006123DF">
        <w:rPr>
          <w:rFonts w:ascii="Montserrat" w:eastAsia="Montserrat" w:hAnsi="Montserrat" w:cs="Montserrat"/>
          <w:b/>
          <w:bCs/>
          <w:color w:val="B87333"/>
          <w:sz w:val="24"/>
          <w:szCs w:val="24"/>
        </w:rPr>
        <w:t>.3 Vedações</w:t>
      </w:r>
    </w:p>
    <w:p w14:paraId="19AB854E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É vedado o descarte de documentos antes do prazo mínimo de guarda, salvo autorização expressa da sócia responsável com justificativa registrada.</w:t>
      </w:r>
    </w:p>
    <w:p w14:paraId="6425B4E2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É vedado o descarte de documentos vinculados a processos judiciais ou administrativos em curso.</w:t>
      </w:r>
    </w:p>
    <w:p w14:paraId="1599411C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É vedado o descarte de documentos sem registro no log de eliminação.</w:t>
      </w:r>
    </w:p>
    <w:p w14:paraId="33637E14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0AE893DE" w14:textId="074B5031" w:rsidR="00470E50" w:rsidRDefault="00A5686A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8</w:t>
      </w:r>
      <w:r w:rsidR="006123DF"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. PROTEÇÃO DE DADOS E LGPD</w:t>
      </w:r>
    </w:p>
    <w:p w14:paraId="177D73E2" w14:textId="77777777" w:rsidR="00470E50" w:rsidRDefault="006123DF">
      <w:pPr>
        <w:spacing w:before="100" w:after="100"/>
      </w:pPr>
      <w:r>
        <w:rPr>
          <w:color w:val="4A4A4A"/>
        </w:rPr>
        <w:t>O escritório reconhece que documentos de clientes frequentemente contêm dados pessoais sensíveis, sujeitos à Lei Geral de Proteção de Dados (Lei nº 13.709/2018). As seguintes diretrizes devem ser observadas:</w:t>
      </w:r>
    </w:p>
    <w:p w14:paraId="42D35C79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Dados pessoais de clientes são tratados com base nas hipóteses legais de legítimo interesse e execução de contrato.</w:t>
      </w:r>
    </w:p>
    <w:p w14:paraId="418F70B6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lastRenderedPageBreak/>
        <w:t>O armazenamento no Drive deve observar medidas de segurança, como autenticação em dois fatores e controle de acesso.</w:t>
      </w:r>
    </w:p>
    <w:p w14:paraId="36E3DF64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Solicitações de clientes para eliminação de dados pessoais devem ser analisadas pelo responsável designado no prazo de 15 dias.</w:t>
      </w:r>
    </w:p>
    <w:p w14:paraId="5EFDE108" w14:textId="77777777" w:rsidR="00470E50" w:rsidRDefault="006123DF">
      <w:pPr>
        <w:pStyle w:val="PargrafodaLista"/>
        <w:numPr>
          <w:ilvl w:val="0"/>
          <w:numId w:val="2"/>
        </w:numPr>
        <w:spacing w:before="60" w:after="60"/>
      </w:pPr>
      <w:r>
        <w:rPr>
          <w:color w:val="4A4A4A"/>
        </w:rPr>
        <w:t>O descarte de dados pessoais deve assegurar sua eliminação definitiva e irreversível, incluindo cópias de segurança.</w:t>
      </w:r>
    </w:p>
    <w:p w14:paraId="4CAEEAB7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6D6F3D27" w14:textId="557395E7" w:rsidR="00470E50" w:rsidRDefault="00A5686A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9</w:t>
      </w:r>
      <w:r w:rsidR="006123DF"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. VIGÊNCIA E REVISÃO</w:t>
      </w:r>
    </w:p>
    <w:p w14:paraId="5F89F6BB" w14:textId="77777777" w:rsidR="00470E50" w:rsidRDefault="006123DF">
      <w:pPr>
        <w:spacing w:before="100" w:after="100"/>
      </w:pPr>
      <w:r>
        <w:rPr>
          <w:color w:val="4A4A4A"/>
        </w:rPr>
        <w:t>Esta política entra em vigor na data de sua aprovação e deve ser revisada anualmente ou sempre que houver alteração relevante na legislação, na estrutura do escritório ou nos sistemas de gestão documental adotados.</w:t>
      </w:r>
    </w:p>
    <w:p w14:paraId="4ACB3D9F" w14:textId="77777777" w:rsidR="00470E50" w:rsidRDefault="006123DF">
      <w:pPr>
        <w:spacing w:before="100" w:after="100"/>
      </w:pPr>
      <w:r>
        <w:rPr>
          <w:color w:val="4A4A4A"/>
        </w:rPr>
        <w:t>Revisões e atualizações devem ser registradas com data, versão e responsável pela aprovação.</w:t>
      </w:r>
    </w:p>
    <w:p w14:paraId="7207E6DC" w14:textId="77777777" w:rsidR="00470E50" w:rsidRDefault="00470E50">
      <w:pPr>
        <w:pBdr>
          <w:bottom w:val="single" w:sz="4" w:space="1" w:color="B87333"/>
        </w:pBdr>
        <w:spacing w:before="200" w:after="200"/>
      </w:pPr>
    </w:p>
    <w:p w14:paraId="3430678E" w14:textId="77777777" w:rsidR="00470E50" w:rsidRDefault="006123DF">
      <w:pPr>
        <w:pStyle w:val="Ttulo1"/>
        <w:spacing w:before="400" w:after="160"/>
      </w:pPr>
      <w:r>
        <w:rPr>
          <w:rFonts w:ascii="Montserrat" w:eastAsia="Montserrat" w:hAnsi="Montserrat" w:cs="Montserrat"/>
          <w:b/>
          <w:bCs/>
          <w:color w:val="0D1F2D"/>
          <w:sz w:val="28"/>
          <w:szCs w:val="28"/>
        </w:rPr>
        <w:t>11. REGISTRO DE APROVAÇÃO</w:t>
      </w:r>
    </w:p>
    <w:p w14:paraId="40018023" w14:textId="77777777" w:rsidR="00470E50" w:rsidRDefault="00470E5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9"/>
        <w:gridCol w:w="3759"/>
        <w:gridCol w:w="1842"/>
      </w:tblGrid>
      <w:tr w:rsidR="00470E50" w14:paraId="3E2DD6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987B" w14:textId="77777777" w:rsidR="00470E50" w:rsidRDefault="006123DF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7162" w14:textId="77777777" w:rsidR="00470E50" w:rsidRDefault="006123DF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0"/>
                <w:szCs w:val="20"/>
              </w:rPr>
              <w:t>Aprovado por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C07B" w14:textId="77777777" w:rsidR="00470E50" w:rsidRDefault="006123DF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0"/>
                <w:szCs w:val="20"/>
              </w:rPr>
              <w:t>Data de Vigência</w:t>
            </w:r>
          </w:p>
        </w:tc>
      </w:tr>
      <w:tr w:rsidR="00470E50" w14:paraId="66E4B6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E2541" w14:textId="77777777" w:rsidR="00470E50" w:rsidRDefault="006123DF">
            <w:pPr>
              <w:jc w:val="center"/>
            </w:pPr>
            <w:r>
              <w:rPr>
                <w:color w:val="4A4A4A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83590" w14:textId="77777777" w:rsidR="00470E50" w:rsidRDefault="006123DF">
            <w:pPr>
              <w:jc w:val="center"/>
            </w:pPr>
            <w:r>
              <w:rPr>
                <w:color w:val="4A4A4A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B8E09" w14:textId="77777777" w:rsidR="00470E50" w:rsidRDefault="006123DF">
            <w:pPr>
              <w:jc w:val="center"/>
            </w:pPr>
            <w:r>
              <w:rPr>
                <w:color w:val="4A4A4A"/>
                <w:sz w:val="20"/>
                <w:szCs w:val="20"/>
              </w:rPr>
              <w:t>_____ / _____ / _______</w:t>
            </w:r>
          </w:p>
        </w:tc>
      </w:tr>
    </w:tbl>
    <w:p w14:paraId="6F2709D2" w14:textId="77777777" w:rsidR="006123DF" w:rsidRDefault="006123DF"/>
    <w:sectPr w:rsidR="006123DF">
      <w:headerReference w:type="default" r:id="rId7"/>
      <w:footerReference w:type="default" r:id="rId8"/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F8D8" w14:textId="77777777" w:rsidR="006123DF" w:rsidRDefault="006123DF">
      <w:r>
        <w:separator/>
      </w:r>
    </w:p>
  </w:endnote>
  <w:endnote w:type="continuationSeparator" w:id="0">
    <w:p w14:paraId="7EFF053B" w14:textId="77777777" w:rsidR="006123DF" w:rsidRDefault="0061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7100" w14:textId="77777777" w:rsidR="00470E50" w:rsidRDefault="006123DF">
    <w:pPr>
      <w:pBdr>
        <w:top w:val="single" w:sz="4" w:space="4" w:color="B87333"/>
      </w:pBdr>
      <w:spacing w:before="80"/>
      <w:jc w:val="center"/>
    </w:pPr>
    <w:r>
      <w:rPr>
        <w:color w:val="999999"/>
        <w:sz w:val="16"/>
        <w:szCs w:val="16"/>
      </w:rPr>
      <w:t xml:space="preserve">Documento Confidencial   | 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5686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080E" w14:textId="77777777" w:rsidR="006123DF" w:rsidRDefault="006123DF">
      <w:r>
        <w:separator/>
      </w:r>
    </w:p>
  </w:footnote>
  <w:footnote w:type="continuationSeparator" w:id="0">
    <w:p w14:paraId="06B5943F" w14:textId="77777777" w:rsidR="006123DF" w:rsidRDefault="00612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4417" w14:textId="77777777" w:rsidR="00470E50" w:rsidRDefault="006123DF">
    <w:pPr>
      <w:pBdr>
        <w:bottom w:val="single" w:sz="6" w:space="4" w:color="B87333"/>
      </w:pBdr>
      <w:spacing w:after="80"/>
    </w:pPr>
    <w:r>
      <w:rPr>
        <w:rFonts w:ascii="Montserrat" w:eastAsia="Montserrat" w:hAnsi="Montserrat" w:cs="Montserrat"/>
        <w:b/>
        <w:bCs/>
        <w:color w:val="0D1F2D"/>
        <w:sz w:val="18"/>
        <w:szCs w:val="18"/>
      </w:rPr>
      <w:t>POLÍTICA DE GUARDA, DEVOLUÇÃO E DESCARTE DE DOCUMENTOS</w:t>
    </w:r>
    <w:r>
      <w:rPr>
        <w:color w:val="999999"/>
        <w:sz w:val="16"/>
        <w:szCs w:val="16"/>
      </w:rPr>
      <w:t xml:space="preserve">   | 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E7D"/>
    <w:multiLevelType w:val="hybridMultilevel"/>
    <w:tmpl w:val="676AC13E"/>
    <w:lvl w:ilvl="0" w:tplc="08981B5C">
      <w:start w:val="1"/>
      <w:numFmt w:val="bullet"/>
      <w:lvlText w:val="•"/>
      <w:lvlJc w:val="left"/>
      <w:pPr>
        <w:ind w:left="720" w:hanging="360"/>
      </w:pPr>
    </w:lvl>
    <w:lvl w:ilvl="1" w:tplc="208E5212">
      <w:numFmt w:val="decimal"/>
      <w:lvlText w:val=""/>
      <w:lvlJc w:val="left"/>
    </w:lvl>
    <w:lvl w:ilvl="2" w:tplc="114631E2">
      <w:numFmt w:val="decimal"/>
      <w:lvlText w:val=""/>
      <w:lvlJc w:val="left"/>
    </w:lvl>
    <w:lvl w:ilvl="3" w:tplc="F8545232">
      <w:numFmt w:val="decimal"/>
      <w:lvlText w:val=""/>
      <w:lvlJc w:val="left"/>
    </w:lvl>
    <w:lvl w:ilvl="4" w:tplc="A0EAAC00">
      <w:numFmt w:val="decimal"/>
      <w:lvlText w:val=""/>
      <w:lvlJc w:val="left"/>
    </w:lvl>
    <w:lvl w:ilvl="5" w:tplc="13D4F26E">
      <w:numFmt w:val="decimal"/>
      <w:lvlText w:val=""/>
      <w:lvlJc w:val="left"/>
    </w:lvl>
    <w:lvl w:ilvl="6" w:tplc="10B424C2">
      <w:numFmt w:val="decimal"/>
      <w:lvlText w:val=""/>
      <w:lvlJc w:val="left"/>
    </w:lvl>
    <w:lvl w:ilvl="7" w:tplc="6936D8D2">
      <w:numFmt w:val="decimal"/>
      <w:lvlText w:val=""/>
      <w:lvlJc w:val="left"/>
    </w:lvl>
    <w:lvl w:ilvl="8" w:tplc="739C8B42">
      <w:numFmt w:val="decimal"/>
      <w:lvlText w:val=""/>
      <w:lvlJc w:val="left"/>
    </w:lvl>
  </w:abstractNum>
  <w:abstractNum w:abstractNumId="1" w15:restartNumberingAfterBreak="0">
    <w:nsid w:val="45F17963"/>
    <w:multiLevelType w:val="hybridMultilevel"/>
    <w:tmpl w:val="404C2816"/>
    <w:lvl w:ilvl="0" w:tplc="4A5C19B0">
      <w:start w:val="1"/>
      <w:numFmt w:val="bullet"/>
      <w:lvlText w:val="●"/>
      <w:lvlJc w:val="left"/>
      <w:pPr>
        <w:ind w:left="720" w:hanging="360"/>
      </w:pPr>
    </w:lvl>
    <w:lvl w:ilvl="1" w:tplc="DFBA9EB4">
      <w:start w:val="1"/>
      <w:numFmt w:val="bullet"/>
      <w:lvlText w:val="○"/>
      <w:lvlJc w:val="left"/>
      <w:pPr>
        <w:ind w:left="1440" w:hanging="360"/>
      </w:pPr>
    </w:lvl>
    <w:lvl w:ilvl="2" w:tplc="11068EFA">
      <w:start w:val="1"/>
      <w:numFmt w:val="bullet"/>
      <w:lvlText w:val="■"/>
      <w:lvlJc w:val="left"/>
      <w:pPr>
        <w:ind w:left="2160" w:hanging="360"/>
      </w:pPr>
    </w:lvl>
    <w:lvl w:ilvl="3" w:tplc="AB068B32">
      <w:start w:val="1"/>
      <w:numFmt w:val="bullet"/>
      <w:lvlText w:val="●"/>
      <w:lvlJc w:val="left"/>
      <w:pPr>
        <w:ind w:left="2880" w:hanging="360"/>
      </w:pPr>
    </w:lvl>
    <w:lvl w:ilvl="4" w:tplc="A0C653FC">
      <w:start w:val="1"/>
      <w:numFmt w:val="bullet"/>
      <w:lvlText w:val="○"/>
      <w:lvlJc w:val="left"/>
      <w:pPr>
        <w:ind w:left="3600" w:hanging="360"/>
      </w:pPr>
    </w:lvl>
    <w:lvl w:ilvl="5" w:tplc="59A4462E">
      <w:start w:val="1"/>
      <w:numFmt w:val="bullet"/>
      <w:lvlText w:val="■"/>
      <w:lvlJc w:val="left"/>
      <w:pPr>
        <w:ind w:left="4320" w:hanging="360"/>
      </w:pPr>
    </w:lvl>
    <w:lvl w:ilvl="6" w:tplc="B5F2B500">
      <w:start w:val="1"/>
      <w:numFmt w:val="bullet"/>
      <w:lvlText w:val="●"/>
      <w:lvlJc w:val="left"/>
      <w:pPr>
        <w:ind w:left="5040" w:hanging="360"/>
      </w:pPr>
    </w:lvl>
    <w:lvl w:ilvl="7" w:tplc="6D88610E">
      <w:start w:val="1"/>
      <w:numFmt w:val="bullet"/>
      <w:lvlText w:val="●"/>
      <w:lvlJc w:val="left"/>
      <w:pPr>
        <w:ind w:left="5760" w:hanging="360"/>
      </w:pPr>
    </w:lvl>
    <w:lvl w:ilvl="8" w:tplc="BEA430F4">
      <w:start w:val="1"/>
      <w:numFmt w:val="bullet"/>
      <w:lvlText w:val="●"/>
      <w:lvlJc w:val="left"/>
      <w:pPr>
        <w:ind w:left="6480" w:hanging="360"/>
      </w:pPr>
    </w:lvl>
  </w:abstractNum>
  <w:num w:numId="1" w16cid:durableId="550072365">
    <w:abstractNumId w:val="1"/>
    <w:lvlOverride w:ilvl="0">
      <w:startOverride w:val="1"/>
    </w:lvlOverride>
  </w:num>
  <w:num w:numId="2" w16cid:durableId="549459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50"/>
    <w:rsid w:val="00470E50"/>
    <w:rsid w:val="00522F89"/>
    <w:rsid w:val="006123DF"/>
    <w:rsid w:val="00A5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8123"/>
  <w15:docId w15:val="{72CAA0B4-29FA-461A-8CE9-91776C70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B4C6B611-E703-4C31-A145-68994751958D}"/>
</file>

<file path=customXml/itemProps2.xml><?xml version="1.0" encoding="utf-8"?>
<ds:datastoreItem xmlns:ds="http://schemas.openxmlformats.org/officeDocument/2006/customXml" ds:itemID="{6F6F140D-0A73-4230-A04D-8A4596337C18}"/>
</file>

<file path=customXml/itemProps3.xml><?xml version="1.0" encoding="utf-8"?>
<ds:datastoreItem xmlns:ds="http://schemas.openxmlformats.org/officeDocument/2006/customXml" ds:itemID="{DB497303-D61C-4664-9B98-223F0282A6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1068</Words>
  <Characters>5042</Characters>
  <Application>Microsoft Office Word</Application>
  <DocSecurity>0</DocSecurity>
  <Lines>148</Lines>
  <Paragraphs>29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Operação KARIA</cp:lastModifiedBy>
  <cp:revision>2</cp:revision>
  <dcterms:created xsi:type="dcterms:W3CDTF">2026-03-18T10:00:00Z</dcterms:created>
  <dcterms:modified xsi:type="dcterms:W3CDTF">2026-03-18T10:00:00Z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