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  <w:pBdr>
          <w:bottom w:val="single" w:sz="6" w:space="1" w:color="B87333"/>
        </w:pBdr>
      </w:pPr>
      <w:r>
        <w:rPr>
          <w:rFonts w:ascii="Montserrat" w:hAnsi="Montserrat"/>
          <w:b/>
          <w:color w:val="0D1F2D"/>
          <w:sz w:val="30"/>
        </w:rPr>
        <w:t>Template de Indicadores Operacionais</w:t>
      </w:r>
    </w:p>
    <w:p>
      <w:pPr>
        <w:pStyle w:val="Heading2"/>
        <w:spacing w:before="200" w:after="80"/>
      </w:pPr>
      <w:r>
        <w:rPr>
          <w:rFonts w:ascii="Montserrat" w:hAnsi="Montserrat"/>
          <w:b/>
          <w:color w:val="B87333"/>
          <w:sz w:val="24"/>
        </w:rPr>
        <w:t>Controladoria Jurídica</w:t>
      </w:r>
    </w:p>
    <w:p>
      <w:pPr>
        <w:spacing w:after="100"/>
      </w:pPr>
      <w:r>
        <w:rPr>
          <w:rFonts w:ascii="Montserrat" w:hAnsi="Montserrat"/>
          <w:sz w:val="21"/>
        </w:rPr>
        <w:t>Escritório: [NOME DO ESCRITÓRIO]  |  Período: [MÊS/ANO]</w:t>
      </w:r>
    </w:p>
    <w:p>
      <w:pPr>
        <w:spacing w:after="100"/>
      </w:pPr>
      <w:r>
        <w:rPr>
          <w:rFonts w:ascii="Montserrat" w:hAnsi="Montserrat"/>
          <w:sz w:val="21"/>
        </w:rPr>
        <w:t>Responsável: [NOME DO CONTROLLER]</w:t>
      </w:r>
    </w:p>
    <w:p>
      <w:r>
        <w:rPr>
          <w:rFonts w:ascii="Montserrat" w:hAnsi="Montserrat"/>
          <w:color w:val="555555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00"/>
      </w:pPr>
    </w:p>
    <w:p>
      <w:pPr>
        <w:spacing w:after="100"/>
      </w:pPr>
      <w:r>
        <w:rPr>
          <w:rFonts w:ascii="Montserrat" w:hAnsi="Montserrat"/>
          <w:sz w:val="21"/>
        </w:rPr>
        <w:t>Indicadores operacionais não são burocracia — são a forma de enxergar a operação sem depender de memória ou intuição. Este template apresenta os indicadores básicos de Controladoria Jurídica organizados por dimensão. Comece com os que você consegue medir hoje. Vá adicionando conforme a estrutura do escritório evolui.</w:t>
      </w:r>
    </w:p>
    <w:p>
      <w:pPr>
        <w:spacing w:after="100"/>
      </w:pPr>
    </w:p>
    <w:p>
      <w:pPr>
        <w:spacing w:after="100"/>
        <w:ind w:left="432"/>
      </w:pPr>
      <w:r>
        <w:rPr>
          <w:rFonts w:ascii="Montserrat" w:hAnsi="Montserrat"/>
          <w:i/>
          <w:color w:val="705020"/>
          <w:sz w:val="20"/>
        </w:rPr>
        <w:t>💡 Regra de ouro: só inclua um indicador se você sabe de onde o número vem. Um indicador sem fonte confiável é pior do que não ter indicador — gera discussão e desconfiança no relatório.</w:t>
      </w:r>
    </w:p>
    <w:p>
      <w:pPr>
        <w:spacing w:after="100"/>
      </w:pPr>
    </w:p>
    <w:p>
      <w:pPr>
        <w:pStyle w:val="Heading2"/>
        <w:spacing w:before="200" w:after="80"/>
      </w:pPr>
      <w:r>
        <w:rPr>
          <w:rFonts w:ascii="Montserrat" w:hAnsi="Montserrat"/>
          <w:b/>
          <w:color w:val="B87333"/>
          <w:sz w:val="24"/>
        </w:rPr>
        <w:t>Dimensão 1 — Publicações e Prazos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</w:tblGrid>
      <w:tr>
        <w:tc>
          <w:tcPr>
            <w:tcW w:type="dxa" w:w="97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97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Fórmula / Como medir</w:t>
            </w:r>
          </w:p>
        </w:tc>
        <w:tc>
          <w:tcPr>
            <w:tcW w:type="dxa" w:w="97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Meta</w:t>
            </w:r>
          </w:p>
        </w:tc>
        <w:tc>
          <w:tcPr>
            <w:tcW w:type="dxa" w:w="97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Jan</w:t>
            </w:r>
          </w:p>
        </w:tc>
        <w:tc>
          <w:tcPr>
            <w:tcW w:type="dxa" w:w="97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Fev</w:t>
            </w:r>
          </w:p>
        </w:tc>
        <w:tc>
          <w:tcPr>
            <w:tcW w:type="dxa" w:w="97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Mar</w:t>
            </w:r>
          </w:p>
        </w:tc>
        <w:tc>
          <w:tcPr>
            <w:tcW w:type="dxa" w:w="97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Abr</w:t>
            </w:r>
          </w:p>
        </w:tc>
        <w:tc>
          <w:tcPr>
            <w:tcW w:type="dxa" w:w="97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Mai</w:t>
            </w:r>
          </w:p>
        </w:tc>
        <w:tc>
          <w:tcPr>
            <w:tcW w:type="dxa" w:w="97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Jun</w:t>
            </w:r>
          </w:p>
        </w:tc>
      </w:tr>
      <w:tr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  <w:t>% publicações lidas no prazo</w:t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  <w:t>(lidas no dia / total do dia) x 100</w:t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  <w:t>100%</w:t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  <w:t>% prazos cadastrados no mesmo dia</w:t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  <w:t>(cadastrados no dia / identificados no dia) x 100</w:t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  <w:t>≥ 95%</w:t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  <w:t>Nº de prazos perdidos ou atrasados</w:t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  <w:t>Contagem direta — registro de ocorrências</w:t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  <w:t>% audiências com confirmação prévia</w:t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  <w:t>(confirmadas com antecedência / total do mês) x 100</w:t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  <w:t>100%</w:t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</w:tr>
    </w:tbl>
    <w:p/>
    <w:p>
      <w:pPr>
        <w:spacing w:after="100"/>
      </w:pPr>
    </w:p>
    <w:p>
      <w:pPr>
        <w:pStyle w:val="Heading2"/>
        <w:spacing w:before="200" w:after="80"/>
      </w:pPr>
      <w:r>
        <w:rPr>
          <w:rFonts w:ascii="Montserrat" w:hAnsi="Montserrat"/>
          <w:b/>
          <w:color w:val="B87333"/>
          <w:sz w:val="24"/>
        </w:rPr>
        <w:t>Dimensão 2 — Cadastro e Atualização Processual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</w:tblGrid>
      <w:tr>
        <w:tc>
          <w:tcPr>
            <w:tcW w:type="dxa" w:w="97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97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Fórmula / Como medir</w:t>
            </w:r>
          </w:p>
        </w:tc>
        <w:tc>
          <w:tcPr>
            <w:tcW w:type="dxa" w:w="97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Meta</w:t>
            </w:r>
          </w:p>
        </w:tc>
        <w:tc>
          <w:tcPr>
            <w:tcW w:type="dxa" w:w="97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Jan</w:t>
            </w:r>
          </w:p>
        </w:tc>
        <w:tc>
          <w:tcPr>
            <w:tcW w:type="dxa" w:w="97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Fev</w:t>
            </w:r>
          </w:p>
        </w:tc>
        <w:tc>
          <w:tcPr>
            <w:tcW w:type="dxa" w:w="97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Mar</w:t>
            </w:r>
          </w:p>
        </w:tc>
        <w:tc>
          <w:tcPr>
            <w:tcW w:type="dxa" w:w="97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Abr</w:t>
            </w:r>
          </w:p>
        </w:tc>
        <w:tc>
          <w:tcPr>
            <w:tcW w:type="dxa" w:w="97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Mai</w:t>
            </w:r>
          </w:p>
        </w:tc>
        <w:tc>
          <w:tcPr>
            <w:tcW w:type="dxa" w:w="97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Jun</w:t>
            </w:r>
          </w:p>
        </w:tc>
      </w:tr>
      <w:tr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  <w:t>% processos com cadastro completo</w:t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  <w:t>(processos completos / total ativo) x 100</w:t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  <w:t>≥ 90%</w:t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  <w:t>Tempo médio de cadastro de processo novo</w:t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  <w:t>Da distribuição ao cadastro no sistema (dias)</w:t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  <w:t>≤ 2 dias</w:t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  <w:t>Nº de andamentos atualizados no mês</w:t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  <w:t>Contagem de andamentos registrados no sistema</w:t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  <w:t>—</w:t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</w:tr>
    </w:tbl>
    <w:p/>
    <w:p>
      <w:pPr>
        <w:spacing w:after="100"/>
      </w:pPr>
    </w:p>
    <w:p>
      <w:pPr>
        <w:pStyle w:val="Heading2"/>
        <w:spacing w:before="200" w:after="80"/>
      </w:pPr>
      <w:r>
        <w:rPr>
          <w:rFonts w:ascii="Montserrat" w:hAnsi="Montserrat"/>
          <w:b/>
          <w:color w:val="B87333"/>
          <w:sz w:val="24"/>
        </w:rPr>
        <w:t>Dimensão 3 — Correspondentes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</w:tblGrid>
      <w:tr>
        <w:tc>
          <w:tcPr>
            <w:tcW w:type="dxa" w:w="97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97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Fórmula / Como medir</w:t>
            </w:r>
          </w:p>
        </w:tc>
        <w:tc>
          <w:tcPr>
            <w:tcW w:type="dxa" w:w="97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Meta</w:t>
            </w:r>
          </w:p>
        </w:tc>
        <w:tc>
          <w:tcPr>
            <w:tcW w:type="dxa" w:w="97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Jan</w:t>
            </w:r>
          </w:p>
        </w:tc>
        <w:tc>
          <w:tcPr>
            <w:tcW w:type="dxa" w:w="97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Fev</w:t>
            </w:r>
          </w:p>
        </w:tc>
        <w:tc>
          <w:tcPr>
            <w:tcW w:type="dxa" w:w="97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Mar</w:t>
            </w:r>
          </w:p>
        </w:tc>
        <w:tc>
          <w:tcPr>
            <w:tcW w:type="dxa" w:w="97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Abr</w:t>
            </w:r>
          </w:p>
        </w:tc>
        <w:tc>
          <w:tcPr>
            <w:tcW w:type="dxa" w:w="97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Mai</w:t>
            </w:r>
          </w:p>
        </w:tc>
        <w:tc>
          <w:tcPr>
            <w:tcW w:type="dxa" w:w="97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Jun</w:t>
            </w:r>
          </w:p>
        </w:tc>
      </w:tr>
      <w:tr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  <w:t>Nº de audiências cobertas por correspondente</w:t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  <w:t>Contagem mensal</w:t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  <w:t>—</w:t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  <w:t>% confirmações de aceite antes da audiência</w:t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  <w:t>(com aceite confirmado / total acionado) x 100</w:t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  <w:t>100%</w:t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  <w:t>Nº de ocorrências (não comparecimento, atraso)</w:t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  <w:t>Registro de incidentes</w:t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</w:tr>
    </w:tbl>
    <w:p/>
    <w:p>
      <w:pPr>
        <w:spacing w:after="100"/>
      </w:pPr>
    </w:p>
    <w:p>
      <w:pPr>
        <w:pStyle w:val="Heading2"/>
        <w:spacing w:before="200" w:after="80"/>
      </w:pPr>
      <w:r>
        <w:rPr>
          <w:rFonts w:ascii="Montserrat" w:hAnsi="Montserrat"/>
          <w:b/>
          <w:color w:val="B87333"/>
          <w:sz w:val="24"/>
        </w:rPr>
        <w:t>Dimensão 4 — Operação e Produtividade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</w:tblGrid>
      <w:tr>
        <w:tc>
          <w:tcPr>
            <w:tcW w:type="dxa" w:w="97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97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Fórmula / Como medir</w:t>
            </w:r>
          </w:p>
        </w:tc>
        <w:tc>
          <w:tcPr>
            <w:tcW w:type="dxa" w:w="97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Meta</w:t>
            </w:r>
          </w:p>
        </w:tc>
        <w:tc>
          <w:tcPr>
            <w:tcW w:type="dxa" w:w="97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Jan</w:t>
            </w:r>
          </w:p>
        </w:tc>
        <w:tc>
          <w:tcPr>
            <w:tcW w:type="dxa" w:w="97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Fev</w:t>
            </w:r>
          </w:p>
        </w:tc>
        <w:tc>
          <w:tcPr>
            <w:tcW w:type="dxa" w:w="97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Mar</w:t>
            </w:r>
          </w:p>
        </w:tc>
        <w:tc>
          <w:tcPr>
            <w:tcW w:type="dxa" w:w="97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Abr</w:t>
            </w:r>
          </w:p>
        </w:tc>
        <w:tc>
          <w:tcPr>
            <w:tcW w:type="dxa" w:w="97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Mai</w:t>
            </w:r>
          </w:p>
        </w:tc>
        <w:tc>
          <w:tcPr>
            <w:tcW w:type="dxa" w:w="976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Jun</w:t>
            </w:r>
          </w:p>
        </w:tc>
      </w:tr>
      <w:tr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  <w:t>Nº de processos ativos acompanhados</w:t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  <w:t>Contagem da carteira ativa</w:t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  <w:t>—</w:t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  <w:t>Nº de processos encerrados no mês</w:t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  <w:t>Baixas e arquivamentos realizados</w:t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  <w:t>—</w:t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  <w:t>Nº de relatórios entregues no prazo</w:t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  <w:t>Contagem por mês — meta: 1 por mês mínimo</w:t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  <w:t>≥ 1/mês</w:t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</w:tr>
      <w:tr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  <w:t>Nº de ocorrências operacionais registradas</w:t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  <w:t>Erros, retrabalhos, falhas identificadas</w:t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  <w:t>—</w:t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  <w:tc>
          <w:tcPr>
            <w:tcW w:type="dxa" w:w="976"/>
          </w:tcPr>
          <w:p>
            <w:r>
              <w:rPr>
                <w:rFonts w:ascii="Montserrat" w:hAnsi="Montserrat"/>
                <w:sz w:val="20"/>
              </w:rPr>
            </w:r>
          </w:p>
        </w:tc>
      </w:tr>
    </w:tbl>
    <w:p/>
    <w:p>
      <w:pPr>
        <w:spacing w:after="100"/>
      </w:pPr>
    </w:p>
    <w:p>
      <w:pPr>
        <w:pStyle w:val="Heading2"/>
        <w:spacing w:before="200" w:after="80"/>
      </w:pPr>
      <w:r>
        <w:rPr>
          <w:rFonts w:ascii="Montserrat" w:hAnsi="Montserrat"/>
          <w:b/>
          <w:color w:val="B87333"/>
          <w:sz w:val="24"/>
        </w:rPr>
        <w:t>Como usar este template</w:t>
      </w:r>
    </w:p>
    <w:p>
      <w:pPr>
        <w:pStyle w:val="ListBullet"/>
      </w:pPr>
      <w:r>
        <w:rPr>
          <w:rFonts w:ascii="Montserrat" w:hAnsi="Montserrat"/>
          <w:sz w:val="21"/>
        </w:rPr>
        <w:t>Preencha os campos disponíveis a cada mês. Deixe em branco o que ainda não é possível medir — isso também é informação.</w:t>
      </w:r>
    </w:p>
    <w:p>
      <w:pPr>
        <w:pStyle w:val="ListBullet"/>
      </w:pPr>
      <w:r>
        <w:rPr>
          <w:rFonts w:ascii="Montserrat" w:hAnsi="Montserrat"/>
          <w:sz w:val="21"/>
        </w:rPr>
        <w:t>No início de cada trimestre, revise as metas e adicione indicadores novos conforme a estrutura do escritório evolui.</w:t>
      </w:r>
    </w:p>
    <w:p>
      <w:pPr>
        <w:pStyle w:val="ListBullet"/>
      </w:pPr>
      <w:r>
        <w:rPr>
          <w:rFonts w:ascii="Montserrat" w:hAnsi="Montserrat"/>
          <w:sz w:val="21"/>
        </w:rPr>
        <w:t>Use os dados deste template como base para o Relatório Mensal de Controladoria.</w:t>
      </w:r>
    </w:p>
    <w:p>
      <w:pPr>
        <w:pStyle w:val="ListBullet"/>
      </w:pPr>
      <w:r>
        <w:rPr>
          <w:rFonts w:ascii="Montserrat" w:hAnsi="Montserrat"/>
          <w:sz w:val="21"/>
        </w:rPr>
        <w:t>Compartilhe apenas os indicadores relevantes com a gestão — filtre, não despeje tudo.</w:t>
      </w:r>
    </w:p>
    <w:p>
      <w:pPr>
        <w:spacing w:after="100"/>
      </w:pPr>
    </w:p>
    <w:p>
      <w:pPr>
        <w:pStyle w:val="Heading2"/>
        <w:spacing w:before="200" w:after="80"/>
      </w:pPr>
      <w:r>
        <w:rPr>
          <w:rFonts w:ascii="Montserrat" w:hAnsi="Montserrat"/>
          <w:b/>
          <w:color w:val="B87333"/>
          <w:sz w:val="24"/>
        </w:rPr>
        <w:t>Indicadores que você pode adicionar conforme o escritório cresce</w:t>
      </w:r>
    </w:p>
    <w:p>
      <w:pPr>
        <w:pStyle w:val="ListBullet"/>
      </w:pPr>
      <w:r>
        <w:rPr>
          <w:rFonts w:ascii="Montserrat" w:hAnsi="Montserrat"/>
          <w:sz w:val="21"/>
        </w:rPr>
        <w:t>Tempo médio de resposta a citações</w:t>
      </w:r>
    </w:p>
    <w:p>
      <w:pPr>
        <w:pStyle w:val="ListBullet"/>
      </w:pPr>
      <w:r>
        <w:rPr>
          <w:rFonts w:ascii="Montserrat" w:hAnsi="Montserrat"/>
          <w:sz w:val="21"/>
        </w:rPr>
        <w:t>% de peças revisadas antes do protocolo</w:t>
      </w:r>
    </w:p>
    <w:p>
      <w:pPr>
        <w:pStyle w:val="ListBullet"/>
      </w:pPr>
      <w:r>
        <w:rPr>
          <w:rFonts w:ascii="Montserrat" w:hAnsi="Montserrat"/>
          <w:sz w:val="21"/>
        </w:rPr>
        <w:t>Volume de processos por advogado (distribuição de carteira)</w:t>
      </w:r>
    </w:p>
    <w:p>
      <w:pPr>
        <w:pStyle w:val="ListBullet"/>
      </w:pPr>
      <w:r>
        <w:rPr>
          <w:rFonts w:ascii="Montserrat" w:hAnsi="Montserrat"/>
          <w:sz w:val="21"/>
        </w:rPr>
        <w:t>Custo médio por correspondente / audiência</w:t>
      </w:r>
    </w:p>
    <w:p>
      <w:pPr>
        <w:pStyle w:val="ListBullet"/>
      </w:pPr>
      <w:r>
        <w:rPr>
          <w:rFonts w:ascii="Montserrat" w:hAnsi="Montserrat"/>
          <w:sz w:val="21"/>
        </w:rPr>
        <w:t>Nº de reclamações de clientes sobre operação</w:t>
      </w:r>
    </w:p>
    <w:p>
      <w:pPr>
        <w:spacing w:after="100"/>
      </w:pPr>
    </w:p>
    <w:p>
      <w:r>
        <w:rPr>
          <w:rFonts w:ascii="Montserrat" w:hAnsi="Montserrat"/>
          <w:color w:val="555555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00"/>
      </w:pPr>
      <w:r>
        <w:rPr>
          <w:rFonts w:ascii="Montserrat" w:hAnsi="Montserrat"/>
          <w:sz w:val="21"/>
        </w:rPr>
        <w:t>K Controllers  |  Ferramenta de uso exclusivo do(a) controller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ontserrat" w:hAnsi="Montserrat"/>
        <w:color w:val="555555"/>
        <w:sz w:val="16"/>
      </w:rPr>
      <w:t xml:space="preserve">Ferramenta de uso exclusivo do(a) controller   |   </w:t>
    </w:r>
    <w:r>
      <w:rPr>
        <w:rFonts w:ascii="Montserrat" w:hAnsi="Montserrat"/>
        <w:color w:val="555555"/>
        <w:sz w:val="16"/>
      </w:rPr>
      <w:fldChar w:fldCharType="begin"/>
    </w:r>
    <w:r>
      <w:rPr>
        <w:rFonts w:ascii="Montserrat" w:hAnsi="Montserrat"/>
        <w:color w:val="555555"/>
        <w:sz w:val="16"/>
      </w:rPr>
      <w:instrText> PAGE </w:instrText>
    </w:r>
    <w:r>
      <w:rPr>
        <w:rFonts w:ascii="Montserrat" w:hAnsi="Montserrat"/>
        <w:color w:val="555555"/>
        <w:sz w:val="16"/>
      </w:rPr>
      <w:fldChar w:fldCharType="separate"/>
    </w:r>
    <w:r>
      <w:rPr>
        <w:rFonts w:ascii="Montserrat" w:hAnsi="Montserrat"/>
        <w:color w:val="555555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8" w:space="1" w:color="0D1F2D"/>
      </w:pBdr>
    </w:pPr>
    <w:r>
      <w:rPr>
        <w:rFonts w:ascii="Montserrat" w:hAnsi="Montserrat"/>
        <w:b/>
        <w:color w:val="0D1F2D"/>
        <w:sz w:val="20"/>
      </w:rPr>
      <w:t>K Controllers</w:t>
    </w:r>
    <w:r>
      <w:rPr>
        <w:rFonts w:ascii="Montserrat" w:hAnsi="Montserrat"/>
        <w:color w:val="B87333"/>
        <w:sz w:val="18"/>
      </w:rPr>
      <w:t xml:space="preserve">  |  </w:t>
    </w:r>
    <w:r>
      <w:rPr>
        <w:rFonts w:ascii="Montserrat" w:hAnsi="Montserrat"/>
        <w:color w:val="555555"/>
        <w:sz w:val="18"/>
      </w:rPr>
      <w:t>Template de Indicadores Operacionais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