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6"/>
          <w:szCs w:val="36"/>
        </w:rPr>
        <w:t xml:space="preserve">THÔNG TIN DU HỌC ĐÀI LOAN MỚI NHẤT</w:t>
      </w:r>
    </w:p>
    <w:p>
      <w:pPr>
        <w:spacing w:after="240"/>
        <w:jc w:val="center"/>
      </w:pPr>
      <w:r>
        <w:rPr>
          <w:rFonts w:ascii="Arial" w:cs="Arial" w:eastAsia="Arial" w:hAnsi="Arial"/>
          <w:i/>
          <w:iCs/>
          <w:color w:val="666666"/>
          <w:sz w:val="20"/>
          <w:szCs w:val="20"/>
        </w:rPr>
        <w:t xml:space="preserve">Tổng hợp ngày 14/10/2026 — chỉ từ nguồn chính phủ và tổ chức uy tín, có ghi chú link</w:t>
      </w:r>
    </w:p>
    <w:p>
      <w:pPr>
        <w:pStyle w:val="Heading1"/>
        <w:spacing w:after="150" w:before="300"/>
      </w:pPr>
      <w:r>
        <w:rPr>
          <w:rFonts w:ascii="Arial" w:cs="Arial" w:eastAsia="Arial" w:hAnsi="Arial"/>
          <w:b/>
          <w:bCs/>
          <w:color w:val="1F4E79"/>
          <w:sz w:val="30"/>
          <w:szCs w:val="30"/>
        </w:rPr>
        <w:t xml:space="preserve">1. Mốc thời gian quan trọng sắp tới</w:t>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626"/>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20"/>
                <w:szCs w:val="20"/>
              </w:rPr>
              <w:t xml:space="preserve">Thời gian</w:t>
            </w:r>
          </w:p>
        </w:tc>
        <w:tc>
          <w:tcPr>
            <w:tcW w:type="dxa" w:w="4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20"/>
                <w:szCs w:val="20"/>
              </w:rPr>
              <w:t xml:space="preserve">Việc cần làm</w:t>
            </w:r>
          </w:p>
        </w:tc>
        <w:tc>
          <w:tcPr>
            <w:tcW w:type="dxa" w:w="26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20"/>
                <w:szCs w:val="20"/>
              </w:rPr>
              <w:t xml:space="preserve">Mức chắc chắn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01/12/2026 – 15/03/2027</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Mở/đóng đơn học bổng TaiwanICDF 2027 (online)</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Đã công bố, cần đối chiếu trên icdf.org.tw</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Đầu tháng 2 – 31/03/2027</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Nộp hồ sơ học bổng MOE Taiwan Scholarship &amp; học bổng Hoa ngữ (HES) tại TECO</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Dự kiến theo chu kỳ hằng năm (năm 2026: 03/02–31/03)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Song song</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Nộp hồ sơ nhập học kỳ mùa thu 2027 trực tiếp tại các trường Đài Loan</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Bắt buộc với học bổng MOE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Tháng 4–5/2027</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Xét hồ sơ, phỏng vấn học bổng MOE</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Theo lịch năm 2026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Trước 10/06/2027</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Công bố kết quả TaiwanICDF</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Đã công bố</w:t>
            </w:r>
          </w:p>
        </w:tc>
      </w:tr>
    </w:tbl>
    <w:p>
      <w:pPr>
        <w:spacing w:after="120"/>
      </w:pPr>
      <w:r>
        <w:rPr>
          <w:rFonts w:ascii="Arial" w:cs="Arial" w:eastAsia="Arial" w:hAnsi="Arial"/>
          <w:sz w:val="22"/>
          <w:szCs w:val="22"/>
        </w:rPr>
        <w:t xml:space="preserve"/>
      </w:r>
    </w:p>
    <w:p>
      <w:pPr>
        <w:shd w:fill="FFF4CE" w:val="clear"/>
        <w:spacing w:after="160"/>
      </w:pPr>
      <w:r>
        <w:rPr>
          <w:rFonts w:ascii="Arial" w:cs="Arial" w:eastAsia="Arial" w:hAnsi="Arial"/>
          <w:sz w:val="20"/>
          <w:szCs w:val="20"/>
        </w:rPr>
        <w:t xml:space="preserve">⚠ Hướng dẫn chính thức năm 2027 của TECO Việt Nam chưa được tìm thấy tại thời điểm tổng hợp. Các số liệu dưới đây dựa trên bản hướng dẫn năm 2026 — hãy kiểm tra lại khi bản 2027 được phát hành (thường vào tháng 1).</w:t>
      </w:r>
    </w:p>
    <w:p>
      <w:pPr>
        <w:pStyle w:val="Heading1"/>
        <w:spacing w:after="150" w:before="300"/>
      </w:pPr>
      <w:r>
        <w:rPr>
          <w:rFonts w:ascii="Arial" w:cs="Arial" w:eastAsia="Arial" w:hAnsi="Arial"/>
          <w:b/>
          <w:bCs/>
          <w:color w:val="1F4E79"/>
          <w:sz w:val="30"/>
          <w:szCs w:val="30"/>
        </w:rPr>
        <w:t xml:space="preserve">2. Học bổng Đài Loan của Bộ Giáo dục (MOE Taiwan Scholarship)</w:t>
      </w:r>
    </w:p>
    <w:p>
      <w:pPr>
        <w:pStyle w:val="Heading2"/>
        <w:spacing w:after="100" w:before="200"/>
      </w:pPr>
      <w:r>
        <w:rPr>
          <w:rFonts w:ascii="Arial" w:cs="Arial" w:eastAsia="Arial" w:hAnsi="Arial"/>
          <w:b/>
          <w:bCs/>
          <w:color w:val="2E75B6"/>
          <w:sz w:val="25"/>
          <w:szCs w:val="25"/>
        </w:rPr>
        <w:t xml:space="preserve">Chế độ học bổng</w:t>
      </w:r>
    </w:p>
    <w:p>
      <w:pPr>
        <w:pStyle w:val="ListParagraph"/>
        <w:numPr>
          <w:ilvl w:val="0"/>
          <w:numId w:val="2"/>
        </w:numPr>
        <w:spacing w:after="60"/>
      </w:pPr>
      <w:r>
        <w:rPr>
          <w:rFonts w:ascii="Arial" w:cs="Arial" w:eastAsia="Arial" w:hAnsi="Arial"/>
          <w:b/>
          <w:bCs/>
          <w:sz w:val="22"/>
          <w:szCs w:val="22"/>
        </w:rPr>
        <w:t xml:space="preserve">Học phí &amp; tạp phí:</w:t>
      </w:r>
      <w:r>
        <w:rPr>
          <w:rFonts w:ascii="Arial" w:cs="Arial" w:eastAsia="Arial" w:hAnsi="Arial"/>
          <w:sz w:val="22"/>
          <w:szCs w:val="22"/>
        </w:rPr>
        <w:t xml:space="preserve"> tối đa 40.000 Đài tệ/học kỳ (~1.290 USD); phần vượt quá do sinh viên tự đóng.</w:t>
      </w:r>
    </w:p>
    <w:p>
      <w:pPr>
        <w:pStyle w:val="ListParagraph"/>
        <w:numPr>
          <w:ilvl w:val="0"/>
          <w:numId w:val="2"/>
        </w:numPr>
        <w:spacing w:after="60"/>
      </w:pPr>
      <w:r>
        <w:rPr>
          <w:rFonts w:ascii="Arial" w:cs="Arial" w:eastAsia="Arial" w:hAnsi="Arial"/>
          <w:b/>
          <w:bCs/>
          <w:sz w:val="22"/>
          <w:szCs w:val="22"/>
        </w:rPr>
        <w:t xml:space="preserve">Sinh hoạt phí:</w:t>
      </w:r>
      <w:r>
        <w:rPr>
          <w:rFonts w:ascii="Arial" w:cs="Arial" w:eastAsia="Arial" w:hAnsi="Arial"/>
          <w:sz w:val="22"/>
          <w:szCs w:val="22"/>
        </w:rPr>
        <w:t xml:space="preserve"> cử nhân 15.000 Đài tệ/tháng; thạc sĩ &amp; tiến sĩ 20.000 Đài tệ/tháng.</w:t>
      </w:r>
    </w:p>
    <w:p>
      <w:pPr>
        <w:pStyle w:val="ListParagraph"/>
        <w:numPr>
          <w:ilvl w:val="0"/>
          <w:numId w:val="2"/>
        </w:numPr>
        <w:spacing w:after="60"/>
      </w:pPr>
      <w:r>
        <w:rPr>
          <w:rFonts w:ascii="Arial" w:cs="Arial" w:eastAsia="Arial" w:hAnsi="Arial"/>
          <w:b/>
          <w:bCs/>
          <w:sz w:val="22"/>
          <w:szCs w:val="22"/>
        </w:rPr>
        <w:t xml:space="preserve">Thời hạn:</w:t>
      </w:r>
      <w:r>
        <w:rPr>
          <w:rFonts w:ascii="Arial" w:cs="Arial" w:eastAsia="Arial" w:hAnsi="Arial"/>
          <w:sz w:val="22"/>
          <w:szCs w:val="22"/>
        </w:rPr>
        <w:t xml:space="preserve"> cử nhân 4 năm, thạc sĩ 2 năm, tiến sĩ 4 năm; tổng cộng tối đa 5 năm cho mọi bậc.</w:t>
      </w:r>
    </w:p>
    <w:p>
      <w:pPr>
        <w:pStyle w:val="ListParagraph"/>
        <w:numPr>
          <w:ilvl w:val="0"/>
          <w:numId w:val="2"/>
        </w:numPr>
        <w:spacing w:after="60"/>
      </w:pPr>
      <w:r>
        <w:rPr>
          <w:rFonts w:ascii="Arial" w:cs="Arial" w:eastAsia="Arial" w:hAnsi="Arial"/>
          <w:b/>
          <w:bCs/>
          <w:sz w:val="22"/>
          <w:szCs w:val="22"/>
        </w:rPr>
        <w:t xml:space="preserve">Không bao gồm:</w:t>
      </w:r>
      <w:r>
        <w:rPr>
          <w:rFonts w:ascii="Arial" w:cs="Arial" w:eastAsia="Arial" w:hAnsi="Arial"/>
          <w:sz w:val="22"/>
          <w:szCs w:val="22"/>
        </w:rPr>
        <w:t xml:space="preserve"> phí bảo hiểm, ký túc xá, internet, hướng dẫn luận văn… sinh viên tự chi trả.</w:t>
      </w:r>
    </w:p>
    <w:p>
      <w:pPr>
        <w:pStyle w:val="Heading2"/>
        <w:spacing w:after="100" w:before="200"/>
      </w:pPr>
      <w:r>
        <w:rPr>
          <w:rFonts w:ascii="Arial" w:cs="Arial" w:eastAsia="Arial" w:hAnsi="Arial"/>
          <w:b/>
          <w:bCs/>
          <w:color w:val="2E75B6"/>
          <w:sz w:val="25"/>
          <w:szCs w:val="25"/>
        </w:rPr>
        <w:t xml:space="preserve">Điều kiện chính (áp dụng cho ứng viên Việt Nam)</w:t>
      </w:r>
    </w:p>
    <w:p>
      <w:pPr>
        <w:pStyle w:val="ListParagraph"/>
        <w:numPr>
          <w:ilvl w:val="0"/>
          <w:numId w:val="2"/>
        </w:numPr>
        <w:spacing w:after="60"/>
      </w:pPr>
      <w:r>
        <w:rPr>
          <w:rFonts w:ascii="Arial" w:cs="Arial" w:eastAsia="Arial" w:hAnsi="Arial"/>
          <w:sz w:val="22"/>
          <w:szCs w:val="22"/>
        </w:rPr>
        <w:t xml:space="preserve">Quốc tịch Việt Nam, tốt nghiệp THPT trở lên, học lực giỏi.</w:t>
      </w:r>
    </w:p>
    <w:p>
      <w:pPr>
        <w:pStyle w:val="ListParagraph"/>
        <w:numPr>
          <w:ilvl w:val="0"/>
          <w:numId w:val="2"/>
        </w:numPr>
        <w:spacing w:after="60"/>
      </w:pPr>
      <w:r>
        <w:rPr>
          <w:rFonts w:ascii="Arial" w:cs="Arial" w:eastAsia="Arial" w:hAnsi="Arial"/>
          <w:sz w:val="22"/>
          <w:szCs w:val="22"/>
        </w:rPr>
        <w:t xml:space="preserve">Điểm trung bình từ 7.8/10 (hoặc 3.12/4) trở lên — bậc cử nhân tính điểm từng năm THPT; bậc sau đại học tính điểm tích lũy.</w:t>
      </w:r>
    </w:p>
    <w:p>
      <w:pPr>
        <w:pStyle w:val="ListParagraph"/>
        <w:numPr>
          <w:ilvl w:val="0"/>
          <w:numId w:val="2"/>
        </w:numPr>
        <w:spacing w:after="60"/>
      </w:pPr>
      <w:r>
        <w:rPr>
          <w:rFonts w:ascii="Arial" w:cs="Arial" w:eastAsia="Arial" w:hAnsi="Arial"/>
          <w:sz w:val="22"/>
          <w:szCs w:val="22"/>
        </w:rPr>
        <w:t xml:space="preserve">Học chương trình tiếng Hoa: TOCFL cấp 3 trở lên (không chấp nhận HSK).</w:t>
      </w:r>
    </w:p>
    <w:p>
      <w:pPr>
        <w:pStyle w:val="ListParagraph"/>
        <w:numPr>
          <w:ilvl w:val="0"/>
          <w:numId w:val="2"/>
        </w:numPr>
        <w:spacing w:after="60"/>
      </w:pPr>
      <w:r>
        <w:rPr>
          <w:rFonts w:ascii="Arial" w:cs="Arial" w:eastAsia="Arial" w:hAnsi="Arial"/>
          <w:sz w:val="22"/>
          <w:szCs w:val="22"/>
        </w:rPr>
        <w:t xml:space="preserve">Học chương trình tiếng Anh: TOEFL iBT 68 / PBT 550, IELTS 6.0 hoặc TOEIC 750 trở lên.</w:t>
      </w:r>
    </w:p>
    <w:p>
      <w:pPr>
        <w:pStyle w:val="ListParagraph"/>
        <w:numPr>
          <w:ilvl w:val="0"/>
          <w:numId w:val="2"/>
        </w:numPr>
        <w:spacing w:after="60"/>
      </w:pPr>
      <w:r>
        <w:rPr>
          <w:rFonts w:ascii="Arial" w:cs="Arial" w:eastAsia="Arial" w:hAnsi="Arial"/>
          <w:sz w:val="22"/>
          <w:szCs w:val="22"/>
        </w:rPr>
        <w:t xml:space="preserve">Không được nhận đồng thời học bổng khác của chính phủ hoặc trường Đài Loan (trừ phần trường hỗ trợ học phí vượt mức).</w:t>
      </w:r>
    </w:p>
    <w:p>
      <w:pPr>
        <w:pStyle w:val="ListParagraph"/>
        <w:numPr>
          <w:ilvl w:val="0"/>
          <w:numId w:val="2"/>
        </w:numPr>
        <w:spacing w:after="60"/>
      </w:pPr>
      <w:r>
        <w:rPr>
          <w:rFonts w:ascii="Arial" w:cs="Arial" w:eastAsia="Arial" w:hAnsi="Arial"/>
          <w:sz w:val="22"/>
          <w:szCs w:val="22"/>
        </w:rPr>
        <w:t xml:space="preserve">Không được nếu đã từng học cùng bậc học đó tại Đài Loan hoặc đã nhập học tại trường Đài Loan.</w:t>
      </w:r>
    </w:p>
    <w:p>
      <w:pPr>
        <w:pStyle w:val="Heading2"/>
        <w:spacing w:after="100" w:before="200"/>
      </w:pPr>
      <w:r>
        <w:rPr>
          <w:rFonts w:ascii="Arial" w:cs="Arial" w:eastAsia="Arial" w:hAnsi="Arial"/>
          <w:b/>
          <w:bCs/>
          <w:color w:val="2E75B6"/>
          <w:sz w:val="25"/>
          <w:szCs w:val="25"/>
        </w:rPr>
        <w:t xml:space="preserve">Hồ sơ cần nộp</w:t>
      </w:r>
    </w:p>
    <w:p>
      <w:pPr>
        <w:pStyle w:val="ListParagraph"/>
        <w:numPr>
          <w:ilvl w:val="0"/>
          <w:numId w:val="2"/>
        </w:numPr>
        <w:spacing w:after="60"/>
      </w:pPr>
      <w:r>
        <w:rPr>
          <w:rFonts w:ascii="Arial" w:cs="Arial" w:eastAsia="Arial" w:hAnsi="Arial"/>
          <w:sz w:val="22"/>
          <w:szCs w:val="22"/>
        </w:rPr>
        <w:t xml:space="preserve">Bảng kiểm tra hồ sơ + đơn xin học bổng (dán ảnh 4x6 chụp trong 3 tháng).</w:t>
      </w:r>
    </w:p>
    <w:p>
      <w:pPr>
        <w:pStyle w:val="ListParagraph"/>
        <w:numPr>
          <w:ilvl w:val="0"/>
          <w:numId w:val="2"/>
        </w:numPr>
        <w:spacing w:after="60"/>
      </w:pPr>
      <w:r>
        <w:rPr>
          <w:rFonts w:ascii="Arial" w:cs="Arial" w:eastAsia="Arial" w:hAnsi="Arial"/>
          <w:sz w:val="22"/>
          <w:szCs w:val="22"/>
        </w:rPr>
        <w:t xml:space="preserve">Bản sao CCCD/căn cước điện tử VNeID hoặc hộ chiếu (còn hạn từ 2 năm trở lên).</w:t>
      </w:r>
    </w:p>
    <w:p>
      <w:pPr>
        <w:pStyle w:val="ListParagraph"/>
        <w:numPr>
          <w:ilvl w:val="0"/>
          <w:numId w:val="2"/>
        </w:numPr>
        <w:spacing w:after="60"/>
      </w:pPr>
      <w:r>
        <w:rPr>
          <w:rFonts w:ascii="Arial" w:cs="Arial" w:eastAsia="Arial" w:hAnsi="Arial"/>
          <w:sz w:val="22"/>
          <w:szCs w:val="22"/>
        </w:rPr>
        <w:t xml:space="preserve">Bằng tốt nghiệp + bảng điểm cao nhất, dịch công chứng sang tiếng Anh/Hoa và hợp pháp hóa lãnh sự tại Cục Lãnh sự Bộ Ngoại giao.</w:t>
      </w:r>
    </w:p>
    <w:p>
      <w:pPr>
        <w:pStyle w:val="ListParagraph"/>
        <w:numPr>
          <w:ilvl w:val="0"/>
          <w:numId w:val="2"/>
        </w:numPr>
        <w:spacing w:after="60"/>
      </w:pPr>
      <w:r>
        <w:rPr>
          <w:rFonts w:ascii="Arial" w:cs="Arial" w:eastAsia="Arial" w:hAnsi="Arial"/>
          <w:sz w:val="22"/>
          <w:szCs w:val="22"/>
        </w:rPr>
        <w:t xml:space="preserve">Giấy tờ chứng minh đã nộp hồ sơ nhập học kỳ mùa thu tại trường Đài Loan.</w:t>
      </w:r>
    </w:p>
    <w:p>
      <w:pPr>
        <w:pStyle w:val="ListParagraph"/>
        <w:numPr>
          <w:ilvl w:val="0"/>
          <w:numId w:val="2"/>
        </w:numPr>
        <w:spacing w:after="60"/>
      </w:pPr>
      <w:r>
        <w:rPr>
          <w:rFonts w:ascii="Arial" w:cs="Arial" w:eastAsia="Arial" w:hAnsi="Arial"/>
          <w:sz w:val="22"/>
          <w:szCs w:val="22"/>
        </w:rPr>
        <w:t xml:space="preserve">Chứng chỉ ngoại ngữ hợp lệ; 2 thư giới thiệu gốc ký tươi gửi TECO.</w:t>
      </w:r>
    </w:p>
    <w:p>
      <w:pPr>
        <w:pStyle w:val="ListParagraph"/>
        <w:numPr>
          <w:ilvl w:val="0"/>
          <w:numId w:val="2"/>
        </w:numPr>
        <w:spacing w:after="60"/>
      </w:pPr>
      <w:r>
        <w:rPr>
          <w:rFonts w:ascii="Arial" w:cs="Arial" w:eastAsia="Arial" w:hAnsi="Arial"/>
          <w:sz w:val="22"/>
          <w:szCs w:val="22"/>
        </w:rPr>
        <w:t xml:space="preserve">Kế hoạch học tập — TECO yêu cầu rõ không dùng công cụ AI để soạn.</w:t>
      </w:r>
    </w:p>
    <w:p>
      <w:pPr>
        <w:pStyle w:val="Heading2"/>
        <w:spacing w:after="100" w:before="200"/>
      </w:pPr>
      <w:r>
        <w:rPr>
          <w:rFonts w:ascii="Arial" w:cs="Arial" w:eastAsia="Arial" w:hAnsi="Arial"/>
          <w:b/>
          <w:bCs/>
          <w:color w:val="2E75B6"/>
          <w:sz w:val="25"/>
          <w:szCs w:val="25"/>
        </w:rPr>
        <w:t xml:space="preserve">Nơi nộp hồ sơ</w:t>
      </w:r>
    </w:p>
    <w:p>
      <w:pPr>
        <w:pStyle w:val="ListParagraph"/>
        <w:numPr>
          <w:ilvl w:val="0"/>
          <w:numId w:val="2"/>
        </w:numPr>
        <w:spacing w:after="60"/>
      </w:pPr>
      <w:r>
        <w:rPr>
          <w:rFonts w:ascii="Arial" w:cs="Arial" w:eastAsia="Arial" w:hAnsi="Arial"/>
          <w:b/>
          <w:bCs/>
          <w:sz w:val="22"/>
          <w:szCs w:val="22"/>
        </w:rPr>
        <w:t xml:space="preserve">Từ Huế trở ra Bắc:</w:t>
      </w:r>
      <w:r>
        <w:rPr>
          <w:rFonts w:ascii="Arial" w:cs="Arial" w:eastAsia="Arial" w:hAnsi="Arial"/>
          <w:sz w:val="22"/>
          <w:szCs w:val="22"/>
        </w:rPr>
        <w:t xml:space="preserve"> Phòng Giáo dục TECO Hà Nội — Tầng 20A, Tòa nhà PVI, Số 1 Phạm Văn Bạch, Cầu Giấy. ĐT 024-38335501 ext 8458, email tweduvn@gmail.com.</w:t>
      </w:r>
    </w:p>
    <w:p>
      <w:pPr>
        <w:pStyle w:val="ListParagraph"/>
        <w:numPr>
          <w:ilvl w:val="0"/>
          <w:numId w:val="2"/>
        </w:numPr>
        <w:spacing w:after="60"/>
      </w:pPr>
      <w:r>
        <w:rPr>
          <w:rFonts w:ascii="Arial" w:cs="Arial" w:eastAsia="Arial" w:hAnsi="Arial"/>
          <w:b/>
          <w:bCs/>
          <w:sz w:val="22"/>
          <w:szCs w:val="22"/>
        </w:rPr>
        <w:t xml:space="preserve">Phía Nam Huế:</w:t>
      </w:r>
      <w:r>
        <w:rPr>
          <w:rFonts w:ascii="Arial" w:cs="Arial" w:eastAsia="Arial" w:hAnsi="Arial"/>
          <w:sz w:val="22"/>
          <w:szCs w:val="22"/>
        </w:rPr>
        <w:t xml:space="preserve"> Phòng Giáo dục TECO TP.HCM — ĐT 028-38349160 ext 2202-2203, email eduvietnam@mail.moe.gov.tw.</w:t>
      </w:r>
    </w:p>
    <w:p>
      <w:pPr>
        <w:pStyle w:val="ListParagraph"/>
        <w:numPr>
          <w:ilvl w:val="0"/>
          <w:numId w:val="2"/>
        </w:numPr>
        <w:spacing w:after="60"/>
      </w:pPr>
      <w:r>
        <w:rPr>
          <w:rFonts w:ascii="Arial" w:cs="Arial" w:eastAsia="Arial" w:hAnsi="Arial"/>
          <w:b/>
          <w:bCs/>
          <w:sz w:val="22"/>
          <w:szCs w:val="22"/>
        </w:rPr>
        <w:t xml:space="preserve">Tiêu chí:</w:t>
      </w:r>
      <w:r>
        <w:rPr>
          <w:rFonts w:ascii="Arial" w:cs="Arial" w:eastAsia="Arial" w:hAnsi="Arial"/>
          <w:sz w:val="22"/>
          <w:szCs w:val="22"/>
        </w:rPr>
        <w:t xml:space="preserve"> xét kế hoạch học tập, thành tích, ngoại ngữ, thư giới thiệu và phỏng vấn.</w:t>
      </w:r>
    </w:p>
    <w:p>
      <w:pPr>
        <w:spacing w:after="160"/>
      </w:pPr>
      <w:r>
        <w:rPr>
          <w:rFonts w:ascii="Arial" w:cs="Arial" w:eastAsia="Arial" w:hAnsi="Arial"/>
          <w:i/>
          <w:iCs/>
          <w:color w:val="666666"/>
          <w:sz w:val="19"/>
          <w:szCs w:val="19"/>
        </w:rPr>
        <w:t xml:space="preserve">Nguồn: </w:t>
      </w:r>
      <w:hyperlink w:history="1" r:id="rId_kpzmack0um1_z3negjt6">
        <w:r>
          <w:rPr>
            <w:rStyle w:val="Hyperlink"/>
            <w:rFonts w:ascii="Arial" w:cs="Arial" w:eastAsia="Arial" w:hAnsi="Arial"/>
            <w:sz w:val="19"/>
            <w:szCs w:val="19"/>
          </w:rPr>
          <w:t xml:space="preserve">Hướng dẫn xin học bổng MOE 2026 – TECO Việt Nam (ws.moe.edu.tw)</w:t>
        </w:r>
      </w:hyperlink>
    </w:p>
    <w:p>
      <w:pPr>
        <w:spacing w:after="160"/>
      </w:pPr>
      <w:r>
        <w:rPr>
          <w:rFonts w:ascii="Arial" w:cs="Arial" w:eastAsia="Arial" w:hAnsi="Arial"/>
          <w:i/>
          <w:iCs/>
          <w:color w:val="666666"/>
          <w:sz w:val="19"/>
          <w:szCs w:val="19"/>
        </w:rPr>
        <w:t xml:space="preserve">Nguồn: </w:t>
      </w:r>
      <w:hyperlink w:history="1" r:id="rIdnqkzj5alqwmmr_fis-xlz">
        <w:r>
          <w:rPr>
            <w:rStyle w:val="Hyperlink"/>
            <w:rFonts w:ascii="Arial" w:cs="Arial" w:eastAsia="Arial" w:hAnsi="Arial"/>
            <w:sz w:val="19"/>
            <w:szCs w:val="19"/>
          </w:rPr>
          <w:t xml:space="preserve">Cổng thông tin Taiwan Scholarship &amp; Huayu Enrichment Scholarship – Bộ Giáo dục Đài Loan</w:t>
        </w:r>
      </w:hyperlink>
    </w:p>
    <w:p>
      <w:pPr>
        <w:pStyle w:val="Heading1"/>
        <w:spacing w:after="150" w:before="300"/>
      </w:pPr>
      <w:r>
        <w:rPr>
          <w:rFonts w:ascii="Arial" w:cs="Arial" w:eastAsia="Arial" w:hAnsi="Arial"/>
          <w:b/>
          <w:bCs/>
          <w:color w:val="1F4E79"/>
          <w:sz w:val="30"/>
          <w:szCs w:val="30"/>
        </w:rPr>
        <w:t xml:space="preserve">3. Học bổng Hoa ngữ (Huayu Enrichment Scholarship – HES)</w:t>
      </w:r>
    </w:p>
    <w:p>
      <w:pPr>
        <w:pStyle w:val="ListParagraph"/>
        <w:numPr>
          <w:ilvl w:val="0"/>
          <w:numId w:val="2"/>
        </w:numPr>
        <w:spacing w:after="60"/>
      </w:pPr>
      <w:r>
        <w:rPr>
          <w:rFonts w:ascii="Arial" w:cs="Arial" w:eastAsia="Arial" w:hAnsi="Arial"/>
          <w:sz w:val="22"/>
          <w:szCs w:val="22"/>
        </w:rPr>
        <w:t xml:space="preserve">Dành cho người nước ngoài học tiếng Hoa tại trung tâm Hoa ngữ của các trường đại học Đài Loan.</w:t>
      </w:r>
    </w:p>
    <w:p>
      <w:pPr>
        <w:pStyle w:val="ListParagraph"/>
        <w:numPr>
          <w:ilvl w:val="0"/>
          <w:numId w:val="2"/>
        </w:numPr>
        <w:spacing w:after="60"/>
      </w:pPr>
      <w:r>
        <w:rPr>
          <w:rFonts w:ascii="Arial" w:cs="Arial" w:eastAsia="Arial" w:hAnsi="Arial"/>
          <w:sz w:val="22"/>
          <w:szCs w:val="22"/>
        </w:rPr>
        <w:t xml:space="preserve">Thời hạn: khóa hè 2 tháng, hoặc 3/6/9/12 tháng (từ 1/9 đến 31/8 năm sau).</w:t>
      </w:r>
    </w:p>
    <w:p>
      <w:pPr>
        <w:pStyle w:val="ListParagraph"/>
        <w:numPr>
          <w:ilvl w:val="0"/>
          <w:numId w:val="2"/>
        </w:numPr>
        <w:spacing w:after="60"/>
      </w:pPr>
      <w:r>
        <w:rPr>
          <w:rFonts w:ascii="Arial" w:cs="Arial" w:eastAsia="Arial" w:hAnsi="Arial"/>
          <w:sz w:val="22"/>
          <w:szCs w:val="22"/>
        </w:rPr>
        <w:t xml:space="preserve">Kỳ nộp đơn hằng năm thường từ 1/2 đến 31/3, nộp tại Phòng Giáo dục TECO.</w:t>
      </w:r>
    </w:p>
    <w:p>
      <w:pPr>
        <w:pStyle w:val="ListParagraph"/>
        <w:numPr>
          <w:ilvl w:val="0"/>
          <w:numId w:val="2"/>
        </w:numPr>
        <w:spacing w:after="60"/>
      </w:pPr>
      <w:r>
        <w:rPr>
          <w:rFonts w:ascii="Arial" w:cs="Arial" w:eastAsia="Arial" w:hAnsi="Arial"/>
          <w:sz w:val="22"/>
          <w:szCs w:val="22"/>
        </w:rPr>
        <w:t xml:space="preserve">Không áp dụng cho người đã từng nhận HES hoặc Taiwan Scholarship trước đó.</w:t>
      </w:r>
    </w:p>
    <w:p>
      <w:pPr>
        <w:pStyle w:val="ListParagraph"/>
        <w:numPr>
          <w:ilvl w:val="0"/>
          <w:numId w:val="2"/>
        </w:numPr>
        <w:spacing w:after="60"/>
      </w:pPr>
      <w:r>
        <w:rPr>
          <w:rFonts w:ascii="Arial" w:cs="Arial" w:eastAsia="Arial" w:hAnsi="Arial"/>
          <w:sz w:val="22"/>
          <w:szCs w:val="22"/>
        </w:rPr>
        <w:t xml:space="preserve">Hồ sơ xin học bổng và hồ sơ nhập học trung tâm Hoa ngữ là hai thủ tục riêng biệt.</w:t>
      </w:r>
    </w:p>
    <w:p>
      <w:pPr>
        <w:shd w:fill="FFF4CE" w:val="clear"/>
        <w:spacing w:after="160"/>
      </w:pPr>
      <w:r>
        <w:rPr>
          <w:rFonts w:ascii="Arial" w:cs="Arial" w:eastAsia="Arial" w:hAnsi="Arial"/>
          <w:sz w:val="20"/>
          <w:szCs w:val="20"/>
        </w:rPr>
        <w:t xml:space="preserve">⚠ Mức sinh hoạt phí HES thay đổi theo từng năm và các văn phòng TECO công bố khác nhau. Hãy xem con số chính xác trong hướng dẫn HES 2027 của TECO Việt Nam khi phát hành.</w:t>
      </w:r>
    </w:p>
    <w:p>
      <w:pPr>
        <w:spacing w:after="160"/>
      </w:pPr>
      <w:r>
        <w:rPr>
          <w:rFonts w:ascii="Arial" w:cs="Arial" w:eastAsia="Arial" w:hAnsi="Arial"/>
          <w:i/>
          <w:iCs/>
          <w:color w:val="666666"/>
          <w:sz w:val="19"/>
          <w:szCs w:val="19"/>
        </w:rPr>
        <w:t xml:space="preserve">Nguồn: </w:t>
      </w:r>
      <w:hyperlink w:history="1" r:id="rIdqiva5tgjd9httopq6ligh">
        <w:r>
          <w:rPr>
            <w:rStyle w:val="Hyperlink"/>
            <w:rFonts w:ascii="Arial" w:cs="Arial" w:eastAsia="Arial" w:hAnsi="Arial"/>
            <w:sz w:val="19"/>
            <w:szCs w:val="19"/>
          </w:rPr>
          <w:t xml:space="preserve">Hướng dẫn HES 2025 – TECO TP.HCM (roc-taiwan.org)</w:t>
        </w:r>
      </w:hyperlink>
    </w:p>
    <w:p>
      <w:pPr>
        <w:spacing w:after="160"/>
      </w:pPr>
      <w:r>
        <w:rPr>
          <w:rFonts w:ascii="Arial" w:cs="Arial" w:eastAsia="Arial" w:hAnsi="Arial"/>
          <w:i/>
          <w:iCs/>
          <w:color w:val="666666"/>
          <w:sz w:val="19"/>
          <w:szCs w:val="19"/>
        </w:rPr>
        <w:t xml:space="preserve">Nguồn: </w:t>
      </w:r>
      <w:hyperlink w:history="1" r:id="rIdwhake3w1hsxjcou6juyun">
        <w:r>
          <w:rPr>
            <w:rStyle w:val="Hyperlink"/>
            <w:rFonts w:ascii="Arial" w:cs="Arial" w:eastAsia="Arial" w:hAnsi="Arial"/>
            <w:sz w:val="19"/>
            <w:szCs w:val="19"/>
          </w:rPr>
          <w:t xml:space="preserve">Hướng dẫn HES 2024 – TECO Vancouver (roc-taiwan.org)</w:t>
        </w:r>
      </w:hyperlink>
    </w:p>
    <w:p>
      <w:pPr>
        <w:pStyle w:val="Heading1"/>
        <w:spacing w:after="150" w:before="300"/>
      </w:pPr>
      <w:r>
        <w:rPr>
          <w:rFonts w:ascii="Arial" w:cs="Arial" w:eastAsia="Arial" w:hAnsi="Arial"/>
          <w:b/>
          <w:bCs/>
          <w:color w:val="1F4E79"/>
          <w:sz w:val="30"/>
          <w:szCs w:val="30"/>
        </w:rPr>
        <w:t xml:space="preserve">4. Học bổng TaiwanICDF 2027</w:t>
      </w:r>
    </w:p>
    <w:p>
      <w:pPr>
        <w:pStyle w:val="ListParagraph"/>
        <w:numPr>
          <w:ilvl w:val="0"/>
          <w:numId w:val="2"/>
        </w:numPr>
        <w:spacing w:after="60"/>
      </w:pPr>
      <w:r>
        <w:rPr>
          <w:rFonts w:ascii="Arial" w:cs="Arial" w:eastAsia="Arial" w:hAnsi="Arial"/>
          <w:sz w:val="22"/>
          <w:szCs w:val="22"/>
        </w:rPr>
        <w:t xml:space="preserve">Học bổng toàn phần bậc cử nhân, thạc sĩ, tiến sĩ của Quỹ Hợp tác và Phát triển Quốc tế Đài Loan (TaiwanICDF), học tại các trường đối tác thuộc liên minh TICA.</w:t>
      </w:r>
    </w:p>
    <w:p>
      <w:pPr>
        <w:pStyle w:val="ListParagraph"/>
        <w:numPr>
          <w:ilvl w:val="0"/>
          <w:numId w:val="2"/>
        </w:numPr>
        <w:spacing w:after="60"/>
      </w:pPr>
      <w:r>
        <w:rPr>
          <w:rFonts w:ascii="Arial" w:cs="Arial" w:eastAsia="Arial" w:hAnsi="Arial"/>
          <w:sz w:val="22"/>
          <w:szCs w:val="22"/>
        </w:rPr>
        <w:t xml:space="preserve">Nộp đơn online từ 01/12/2026 đến 15/03/2027; đồng thời nộp đơn nhập học riêng vào chương trình đã chọn.</w:t>
      </w:r>
    </w:p>
    <w:p>
      <w:pPr>
        <w:pStyle w:val="ListParagraph"/>
        <w:numPr>
          <w:ilvl w:val="0"/>
          <w:numId w:val="2"/>
        </w:numPr>
        <w:spacing w:after="60"/>
      </w:pPr>
      <w:r>
        <w:rPr>
          <w:rFonts w:ascii="Arial" w:cs="Arial" w:eastAsia="Arial" w:hAnsi="Arial"/>
          <w:sz w:val="22"/>
          <w:szCs w:val="22"/>
        </w:rPr>
        <w:t xml:space="preserve">Không được nhận cùng lúc với học bổng MOE/MOFA trong cùng năm học.</w:t>
      </w:r>
    </w:p>
    <w:p>
      <w:pPr>
        <w:pStyle w:val="ListParagraph"/>
        <w:numPr>
          <w:ilvl w:val="0"/>
          <w:numId w:val="2"/>
        </w:numPr>
        <w:spacing w:after="60"/>
      </w:pPr>
      <w:r>
        <w:rPr>
          <w:rFonts w:ascii="Arial" w:cs="Arial" w:eastAsia="Arial" w:hAnsi="Arial"/>
          <w:sz w:val="22"/>
          <w:szCs w:val="22"/>
        </w:rPr>
        <w:t xml:space="preserve">Ai đã từng nhận học bổng chính phủ Đài Loan phải tốt nghiệp trước 31/7/2026 mới được nộp cho chu kỳ 2027.</w:t>
      </w:r>
    </w:p>
    <w:p>
      <w:pPr>
        <w:shd w:fill="FFF4CE" w:val="clear"/>
        <w:spacing w:after="160"/>
      </w:pPr>
      <w:r>
        <w:rPr>
          <w:rFonts w:ascii="Arial" w:cs="Arial" w:eastAsia="Arial" w:hAnsi="Arial"/>
          <w:sz w:val="20"/>
          <w:szCs w:val="20"/>
        </w:rPr>
        <w:t xml:space="preserve">⚠ Học bổng ICDF chỉ dành cho công dân các nước đối tác. Cần kiểm tra Việt Nam có trong danh sách quốc gia đủ điều kiện năm 2027 trên trang icdf.org.tw trước khi chuẩn bị hồ sơ.</w:t>
      </w:r>
    </w:p>
    <w:p>
      <w:pPr>
        <w:spacing w:after="160"/>
      </w:pPr>
      <w:r>
        <w:rPr>
          <w:rFonts w:ascii="Arial" w:cs="Arial" w:eastAsia="Arial" w:hAnsi="Arial"/>
          <w:i/>
          <w:iCs/>
          <w:color w:val="666666"/>
          <w:sz w:val="19"/>
          <w:szCs w:val="19"/>
        </w:rPr>
        <w:t xml:space="preserve">Nguồn: </w:t>
      </w:r>
      <w:hyperlink w:history="1" r:id="rIdlkvayjxbru0siannele5z">
        <w:r>
          <w:rPr>
            <w:rStyle w:val="Hyperlink"/>
            <w:rFonts w:ascii="Arial" w:cs="Arial" w:eastAsia="Arial" w:hAnsi="Arial"/>
            <w:sz w:val="19"/>
            <w:szCs w:val="19"/>
          </w:rPr>
          <w:t xml:space="preserve">Trang chủ TaiwanICDF</w:t>
        </w:r>
      </w:hyperlink>
    </w:p>
    <w:p>
      <w:pPr>
        <w:spacing w:after="160"/>
      </w:pPr>
      <w:r>
        <w:rPr>
          <w:rFonts w:ascii="Arial" w:cs="Arial" w:eastAsia="Arial" w:hAnsi="Arial"/>
          <w:i/>
          <w:iCs/>
          <w:color w:val="666666"/>
          <w:sz w:val="19"/>
          <w:szCs w:val="19"/>
        </w:rPr>
        <w:t xml:space="preserve">Nguồn: </w:t>
      </w:r>
      <w:hyperlink w:history="1" r:id="rIdjvj31hftrv_kjc9hpep6n">
        <w:r>
          <w:rPr>
            <w:rStyle w:val="Hyperlink"/>
            <w:rFonts w:ascii="Arial" w:cs="Arial" w:eastAsia="Arial" w:hAnsi="Arial"/>
            <w:sz w:val="19"/>
            <w:szCs w:val="19"/>
          </w:rPr>
          <w:t xml:space="preserve">Hệ thống nộp đơn online TaiwanICDF Scholarship</w:t>
        </w:r>
      </w:hyperlink>
    </w:p>
    <w:p>
      <w:pPr>
        <w:pStyle w:val="Heading1"/>
        <w:spacing w:after="150" w:before="300"/>
      </w:pPr>
      <w:r>
        <w:rPr>
          <w:rFonts w:ascii="Arial" w:cs="Arial" w:eastAsia="Arial" w:hAnsi="Arial"/>
          <w:b/>
          <w:bCs/>
          <w:color w:val="1F4E79"/>
          <w:sz w:val="30"/>
          <w:szCs w:val="30"/>
        </w:rPr>
        <w:t xml:space="preserve">5. Quy định làm thêm khi đang du học</w:t>
      </w:r>
    </w:p>
    <w:p>
      <w:pPr>
        <w:pStyle w:val="ListParagraph"/>
        <w:numPr>
          <w:ilvl w:val="0"/>
          <w:numId w:val="2"/>
        </w:numPr>
        <w:spacing w:after="60"/>
      </w:pPr>
      <w:r>
        <w:rPr>
          <w:rFonts w:ascii="Arial" w:cs="Arial" w:eastAsia="Arial" w:hAnsi="Arial"/>
          <w:sz w:val="22"/>
          <w:szCs w:val="22"/>
        </w:rPr>
        <w:t xml:space="preserve">Phải có giấy phép lao động do Bộ Lao động cấp trước khi đi làm; chỉ có thẻ cư trú (ARC) là chưa đủ.</w:t>
      </w:r>
    </w:p>
    <w:p>
      <w:pPr>
        <w:pStyle w:val="ListParagraph"/>
        <w:numPr>
          <w:ilvl w:val="0"/>
          <w:numId w:val="2"/>
        </w:numPr>
        <w:spacing w:after="60"/>
      </w:pPr>
      <w:r>
        <w:rPr>
          <w:rFonts w:ascii="Arial" w:cs="Arial" w:eastAsia="Arial" w:hAnsi="Arial"/>
          <w:sz w:val="22"/>
          <w:szCs w:val="22"/>
        </w:rPr>
        <w:t xml:space="preserve">Trong học kỳ: tối đa 20 giờ/tuần. Kỳ nghỉ đông/hè: không giới hạn 20 giờ nhưng vẫn theo Luật Tiêu chuẩn Lao động.</w:t>
      </w:r>
    </w:p>
    <w:p>
      <w:pPr>
        <w:pStyle w:val="ListParagraph"/>
        <w:numPr>
          <w:ilvl w:val="0"/>
          <w:numId w:val="2"/>
        </w:numPr>
        <w:spacing w:after="60"/>
      </w:pPr>
      <w:r>
        <w:rPr>
          <w:rFonts w:ascii="Arial" w:cs="Arial" w:eastAsia="Arial" w:hAnsi="Arial"/>
          <w:sz w:val="22"/>
          <w:szCs w:val="22"/>
        </w:rPr>
        <w:t xml:space="preserve">Giấy phép có hiệu lực tối đa 1 năm, phải gia hạn.</w:t>
      </w:r>
    </w:p>
    <w:p>
      <w:pPr>
        <w:pStyle w:val="ListParagraph"/>
        <w:numPr>
          <w:ilvl w:val="0"/>
          <w:numId w:val="2"/>
        </w:numPr>
        <w:spacing w:after="60"/>
      </w:pPr>
      <w:r>
        <w:rPr>
          <w:rFonts w:ascii="Arial" w:cs="Arial" w:eastAsia="Arial" w:hAnsi="Arial"/>
          <w:sz w:val="22"/>
          <w:szCs w:val="22"/>
        </w:rPr>
        <w:t xml:space="preserve">Sinh viên hệ chính quy: xin được ngay sau khi nhập học. Sinh viên học tiếng: theo quy định cần học đủ 1 năm trở lên (một số trường hướng dẫn khác — nên hỏi phòng quốc tế của trường).</w:t>
      </w:r>
    </w:p>
    <w:p>
      <w:pPr>
        <w:pStyle w:val="ListParagraph"/>
        <w:numPr>
          <w:ilvl w:val="0"/>
          <w:numId w:val="2"/>
        </w:numPr>
        <w:spacing w:after="60"/>
      </w:pPr>
      <w:r>
        <w:rPr>
          <w:rFonts w:ascii="Arial" w:cs="Arial" w:eastAsia="Arial" w:hAnsi="Arial"/>
          <w:sz w:val="22"/>
          <w:szCs w:val="22"/>
        </w:rPr>
        <w:t xml:space="preserve">Xin online tại hệ thống ezwp.wda.gov.tw; xét duyệt khoảng 7–10 ngày làm việc.</w:t>
      </w:r>
    </w:p>
    <w:p>
      <w:pPr>
        <w:pStyle w:val="ListParagraph"/>
        <w:numPr>
          <w:ilvl w:val="0"/>
          <w:numId w:val="2"/>
        </w:numPr>
        <w:spacing w:after="60"/>
      </w:pPr>
      <w:r>
        <w:rPr>
          <w:rFonts w:ascii="Arial" w:cs="Arial" w:eastAsia="Arial" w:hAnsi="Arial"/>
          <w:b/>
          <w:bCs/>
          <w:sz w:val="22"/>
          <w:szCs w:val="22"/>
        </w:rPr>
        <w:t xml:space="preserve">Mức phạt:</w:t>
      </w:r>
      <w:r>
        <w:rPr>
          <w:rFonts w:ascii="Arial" w:cs="Arial" w:eastAsia="Arial" w:hAnsi="Arial"/>
          <w:sz w:val="22"/>
          <w:szCs w:val="22"/>
        </w:rPr>
        <w:t xml:space="preserve"> sinh viên làm việc không phép bị phạt 30.000–150.000 Đài tệ và có thể bị buộc xuất cảnh; chủ thuê bị phạt 150.000–750.000 Đài tệ.</w:t>
      </w:r>
    </w:p>
    <w:p>
      <w:pPr>
        <w:pStyle w:val="ListParagraph"/>
        <w:numPr>
          <w:ilvl w:val="0"/>
          <w:numId w:val="2"/>
        </w:numPr>
        <w:spacing w:after="60"/>
      </w:pPr>
      <w:r>
        <w:rPr>
          <w:rFonts w:ascii="Arial" w:cs="Arial" w:eastAsia="Arial" w:hAnsi="Arial"/>
          <w:sz w:val="22"/>
          <w:szCs w:val="22"/>
        </w:rPr>
        <w:t xml:space="preserve">Lương tối thiểu năm 2026: 196 Đài tệ/giờ; 29.500 Đài tệ/tháng.</w:t>
      </w:r>
    </w:p>
    <w:p>
      <w:pPr>
        <w:spacing w:after="160"/>
      </w:pPr>
      <w:r>
        <w:rPr>
          <w:rFonts w:ascii="Arial" w:cs="Arial" w:eastAsia="Arial" w:hAnsi="Arial"/>
          <w:i/>
          <w:iCs/>
          <w:color w:val="666666"/>
          <w:sz w:val="19"/>
          <w:szCs w:val="19"/>
        </w:rPr>
        <w:t xml:space="preserve">Nguồn: </w:t>
      </w:r>
      <w:hyperlink w:history="1" r:id="rIdtj15xws9cxn6nimfqz0uk">
        <w:r>
          <w:rPr>
            <w:rStyle w:val="Hyperlink"/>
            <w:rFonts w:ascii="Arial" w:cs="Arial" w:eastAsia="Arial" w:hAnsi="Arial"/>
            <w:sz w:val="19"/>
            <w:szCs w:val="19"/>
          </w:rPr>
          <w:t xml:space="preserve">Sở Lao động Đài Trung – thông báo tháng 6/2026 (qua 104.com.tw / UDN)</w:t>
        </w:r>
      </w:hyperlink>
    </w:p>
    <w:p>
      <w:pPr>
        <w:spacing w:after="160"/>
      </w:pPr>
      <w:r>
        <w:rPr>
          <w:rFonts w:ascii="Arial" w:cs="Arial" w:eastAsia="Arial" w:hAnsi="Arial"/>
          <w:i/>
          <w:iCs/>
          <w:color w:val="666666"/>
          <w:sz w:val="19"/>
          <w:szCs w:val="19"/>
        </w:rPr>
        <w:t xml:space="preserve">Nguồn: </w:t>
      </w:r>
      <w:hyperlink w:history="1" r:id="rId8zexpepxkwpo181kl3707">
        <w:r>
          <w:rPr>
            <w:rStyle w:val="Hyperlink"/>
            <w:rFonts w:ascii="Arial" w:cs="Arial" w:eastAsia="Arial" w:hAnsi="Arial"/>
            <w:sz w:val="19"/>
            <w:szCs w:val="19"/>
          </w:rPr>
          <w:t xml:space="preserve">Hướng dẫn làm thêm cho sinh viên quốc tế – ĐH Công nghệ Quốc lập Đài Bắc (NTUT)</w:t>
        </w:r>
      </w:hyperlink>
    </w:p>
    <w:p>
      <w:pPr>
        <w:spacing w:after="160"/>
      </w:pPr>
      <w:r>
        <w:rPr>
          <w:rFonts w:ascii="Arial" w:cs="Arial" w:eastAsia="Arial" w:hAnsi="Arial"/>
          <w:i/>
          <w:iCs/>
          <w:color w:val="666666"/>
          <w:sz w:val="19"/>
          <w:szCs w:val="19"/>
        </w:rPr>
        <w:t xml:space="preserve">Nguồn: </w:t>
      </w:r>
      <w:hyperlink w:history="1" r:id="rIdpccvzgyv7kd29-2qbbnq0">
        <w:r>
          <w:rPr>
            <w:rStyle w:val="Hyperlink"/>
            <w:rFonts w:ascii="Arial" w:cs="Arial" w:eastAsia="Arial" w:hAnsi="Arial"/>
            <w:sz w:val="19"/>
            <w:szCs w:val="19"/>
          </w:rPr>
          <w:t xml:space="preserve">Quy định về giấy phép lao động – ĐH Kiện Hành (UCH)</w:t>
        </w:r>
      </w:hyperlink>
    </w:p>
    <w:p>
      <w:pPr>
        <w:spacing w:after="160"/>
      </w:pPr>
      <w:r>
        <w:rPr>
          <w:rFonts w:ascii="Arial" w:cs="Arial" w:eastAsia="Arial" w:hAnsi="Arial"/>
          <w:i/>
          <w:iCs/>
          <w:color w:val="666666"/>
          <w:sz w:val="19"/>
          <w:szCs w:val="19"/>
        </w:rPr>
        <w:t xml:space="preserve">Nguồn: </w:t>
      </w:r>
      <w:hyperlink w:history="1" r:id="rIdjw8ccnptvtoihiv9ef1bt">
        <w:r>
          <w:rPr>
            <w:rStyle w:val="Hyperlink"/>
            <w:rFonts w:ascii="Arial" w:cs="Arial" w:eastAsia="Arial" w:hAnsi="Arial"/>
            <w:sz w:val="19"/>
            <w:szCs w:val="19"/>
          </w:rPr>
          <w:t xml:space="preserve">Hệ thống xin giấy phép lao động online – Bộ Lao động (WDA)</w:t>
        </w:r>
      </w:hyperlink>
    </w:p>
    <w:p>
      <w:pPr>
        <w:pStyle w:val="Heading1"/>
        <w:spacing w:after="150" w:before="300"/>
      </w:pPr>
      <w:r>
        <w:rPr>
          <w:rFonts w:ascii="Arial" w:cs="Arial" w:eastAsia="Arial" w:hAnsi="Arial"/>
          <w:b/>
          <w:bCs/>
          <w:color w:val="1F4E79"/>
          <w:sz w:val="30"/>
          <w:szCs w:val="30"/>
        </w:rPr>
        <w:t xml:space="preserve">6. CHÍNH SÁCH MỚI 2026: Ở lại Đài Loan làm việc sau tốt nghiệp</w:t>
      </w:r>
    </w:p>
    <w:p>
      <w:pPr>
        <w:spacing w:after="120"/>
      </w:pPr>
      <w:r>
        <w:rPr>
          <w:rFonts w:ascii="Arial" w:cs="Arial" w:eastAsia="Arial" w:hAnsi="Arial"/>
          <w:sz w:val="22"/>
          <w:szCs w:val="22"/>
        </w:rPr>
        <w:t xml:space="preserve">Luật Thu hút và Tuyển dụng Nhân tài Nước ngoài sửa đổi (công bố 24/9/2025) có hiệu lực từ 01/01/2026. Đây là thay đổi lớn nhất với du học sinh trong năm nay:</w:t>
      </w:r>
    </w:p>
    <w:p>
      <w:pPr>
        <w:pStyle w:val="ListParagraph"/>
        <w:numPr>
          <w:ilvl w:val="0"/>
          <w:numId w:val="2"/>
        </w:numPr>
        <w:spacing w:after="60"/>
      </w:pPr>
      <w:r>
        <w:rPr>
          <w:rFonts w:ascii="Arial" w:cs="Arial" w:eastAsia="Arial" w:hAnsi="Arial"/>
          <w:b/>
          <w:bCs/>
          <w:sz w:val="22"/>
          <w:szCs w:val="22"/>
        </w:rPr>
        <w:t xml:space="preserve">Miễn giấy phép lao động 2 năm:</w:t>
      </w:r>
      <w:r>
        <w:rPr>
          <w:rFonts w:ascii="Arial" w:cs="Arial" w:eastAsia="Arial" w:hAnsi="Arial"/>
          <w:sz w:val="22"/>
          <w:szCs w:val="22"/>
        </w:rPr>
        <w:t xml:space="preserve"> sinh viên quốc tế tốt nghiệp từ cao đẳng (副學士) trở lên, trong thời gian gia hạn cư trú (tổng cộng tối đa 2 năm), được tự do đi làm toàn thời gian hoặc bán thời gian mà KHÔNG cần xin giấy phép lao động, không giới hạn ngành nghề.</w:t>
      </w:r>
    </w:p>
    <w:p>
      <w:pPr>
        <w:pStyle w:val="ListParagraph"/>
        <w:numPr>
          <w:ilvl w:val="0"/>
          <w:numId w:val="2"/>
        </w:numPr>
        <w:spacing w:after="60"/>
      </w:pPr>
      <w:r>
        <w:rPr>
          <w:rFonts w:ascii="Arial" w:cs="Arial" w:eastAsia="Arial" w:hAnsi="Arial"/>
          <w:b/>
          <w:bCs/>
          <w:sz w:val="22"/>
          <w:szCs w:val="22"/>
        </w:rPr>
        <w:t xml:space="preserve">Lưu ý:</w:t>
      </w:r>
      <w:r>
        <w:rPr>
          <w:rFonts w:ascii="Arial" w:cs="Arial" w:eastAsia="Arial" w:hAnsi="Arial"/>
          <w:sz w:val="22"/>
          <w:szCs w:val="22"/>
        </w:rPr>
        <w:t xml:space="preserve"> sau 2 năm, nếu muốn làm tiếp, chủ thuê phải xin giấy phép lao động theo quy định hiện hành (điều kiện chuyên gia nước ngoài hoặc hệ thống tính điểm).</w:t>
      </w:r>
    </w:p>
    <w:p>
      <w:pPr>
        <w:pStyle w:val="ListParagraph"/>
        <w:numPr>
          <w:ilvl w:val="0"/>
          <w:numId w:val="2"/>
        </w:numPr>
        <w:spacing w:after="60"/>
      </w:pPr>
      <w:r>
        <w:rPr>
          <w:rFonts w:ascii="Arial" w:cs="Arial" w:eastAsia="Arial" w:hAnsi="Arial"/>
          <w:b/>
          <w:bCs/>
          <w:sz w:val="22"/>
          <w:szCs w:val="22"/>
        </w:rPr>
        <w:t xml:space="preserve">Top 1500:</w:t>
      </w:r>
      <w:r>
        <w:rPr>
          <w:rFonts w:ascii="Arial" w:cs="Arial" w:eastAsia="Arial" w:hAnsi="Arial"/>
          <w:sz w:val="22"/>
          <w:szCs w:val="22"/>
        </w:rPr>
        <w:t xml:space="preserve"> tốt nghiệp từ trường đại học nước ngoài top 1500 thế giới được miễn yêu cầu 2 năm kinh nghiệm khi làm công việc chuyên môn kỹ thuật.</w:t>
      </w:r>
    </w:p>
    <w:p>
      <w:pPr>
        <w:pStyle w:val="ListParagraph"/>
        <w:numPr>
          <w:ilvl w:val="0"/>
          <w:numId w:val="2"/>
        </w:numPr>
        <w:spacing w:after="60"/>
      </w:pPr>
      <w:r>
        <w:rPr>
          <w:rFonts w:ascii="Arial" w:cs="Arial" w:eastAsia="Arial" w:hAnsi="Arial"/>
          <w:b/>
          <w:bCs/>
          <w:sz w:val="22"/>
          <w:szCs w:val="22"/>
        </w:rPr>
        <w:t xml:space="preserve">Top 200:</w:t>
      </w:r>
      <w:r>
        <w:rPr>
          <w:rFonts w:ascii="Arial" w:cs="Arial" w:eastAsia="Arial" w:hAnsi="Arial"/>
          <w:sz w:val="22"/>
          <w:szCs w:val="22"/>
        </w:rPr>
        <w:t xml:space="preserve"> tốt nghiệp từ trường top 200 thế giới có thể tự xin giấy phép lao động cá nhân, không cần chủ thuê đứng ra.</w:t>
      </w:r>
    </w:p>
    <w:p>
      <w:pPr>
        <w:spacing w:after="120"/>
      </w:pPr>
      <w:r>
        <w:rPr>
          <w:rFonts w:ascii="Arial" w:cs="Arial" w:eastAsia="Arial" w:hAnsi="Arial"/>
          <w:sz w:val="22"/>
          <w:szCs w:val="22"/>
        </w:rPr>
        <w:t xml:space="preserve">Viện Hành chính gọi đây là chính sách "an tâm ở, dễ việc làm", kèm dịch vụ một cửa Talent Taiwan để kết nối sinh viên với doanh nghiệp.</w:t>
      </w:r>
    </w:p>
    <w:p>
      <w:pPr>
        <w:spacing w:after="160"/>
      </w:pPr>
      <w:r>
        <w:rPr>
          <w:rFonts w:ascii="Arial" w:cs="Arial" w:eastAsia="Arial" w:hAnsi="Arial"/>
          <w:i/>
          <w:iCs/>
          <w:color w:val="666666"/>
          <w:sz w:val="19"/>
          <w:szCs w:val="19"/>
        </w:rPr>
        <w:t xml:space="preserve">Nguồn: </w:t>
      </w:r>
      <w:hyperlink w:history="1" r:id="rId6ft80yfd2ly1afgwajkzw">
        <w:r>
          <w:rPr>
            <w:rStyle w:val="Hyperlink"/>
            <w:rFonts w:ascii="Arial" w:cs="Arial" w:eastAsia="Arial" w:hAnsi="Arial"/>
            <w:sz w:val="19"/>
            <w:szCs w:val="19"/>
          </w:rPr>
          <w:t xml:space="preserve">Viện Hành chính (Executive Yuan) – Hội chợ việc làm sinh viên kiều bào 2026</w:t>
        </w:r>
      </w:hyperlink>
    </w:p>
    <w:p>
      <w:pPr>
        <w:spacing w:after="160"/>
      </w:pPr>
      <w:r>
        <w:rPr>
          <w:rFonts w:ascii="Arial" w:cs="Arial" w:eastAsia="Arial" w:hAnsi="Arial"/>
          <w:i/>
          <w:iCs/>
          <w:color w:val="666666"/>
          <w:sz w:val="19"/>
          <w:szCs w:val="19"/>
        </w:rPr>
        <w:t xml:space="preserve">Nguồn: </w:t>
      </w:r>
      <w:hyperlink w:history="1" r:id="rIdhcwwhgyfqedxeji-k-mon">
        <w:r>
          <w:rPr>
            <w:rStyle w:val="Hyperlink"/>
            <w:rFonts w:ascii="Arial" w:cs="Arial" w:eastAsia="Arial" w:hAnsi="Arial"/>
            <w:sz w:val="19"/>
            <w:szCs w:val="19"/>
          </w:rPr>
          <w:t xml:space="preserve">Bộ Lao động – Tài liệu quy định mới tháng 1/2026 (đăng tại ĐH Quốc lập Đài Bắc NTPU)</w:t>
        </w:r>
      </w:hyperlink>
    </w:p>
    <w:p>
      <w:pPr>
        <w:spacing w:after="160"/>
      </w:pPr>
      <w:r>
        <w:rPr>
          <w:rFonts w:ascii="Arial" w:cs="Arial" w:eastAsia="Arial" w:hAnsi="Arial"/>
          <w:i/>
          <w:iCs/>
          <w:color w:val="666666"/>
          <w:sz w:val="19"/>
          <w:szCs w:val="19"/>
        </w:rPr>
        <w:t xml:space="preserve">Nguồn: </w:t>
      </w:r>
      <w:hyperlink w:history="1" r:id="rIdeyutrp5kayhl79ts7_qpt">
        <w:r>
          <w:rPr>
            <w:rStyle w:val="Hyperlink"/>
            <w:rFonts w:ascii="Arial" w:cs="Arial" w:eastAsia="Arial" w:hAnsi="Arial"/>
            <w:sz w:val="19"/>
            <w:szCs w:val="19"/>
          </w:rPr>
          <w:t xml:space="preserve">Trang chuyên đề Luật Thu hút Nhân tài – Hội đồng Phát triển Quốc gia (NDC)</w:t>
        </w:r>
      </w:hyperlink>
    </w:p>
    <w:p>
      <w:pPr>
        <w:spacing w:after="160"/>
      </w:pPr>
      <w:r>
        <w:rPr>
          <w:rFonts w:ascii="Arial" w:cs="Arial" w:eastAsia="Arial" w:hAnsi="Arial"/>
          <w:i/>
          <w:iCs/>
          <w:color w:val="666666"/>
          <w:sz w:val="19"/>
          <w:szCs w:val="19"/>
        </w:rPr>
        <w:t xml:space="preserve">Nguồn: </w:t>
      </w:r>
      <w:hyperlink w:history="1" r:id="rIdmvjkwzifasgp6wgavdnn3">
        <w:r>
          <w:rPr>
            <w:rStyle w:val="Hyperlink"/>
            <w:rFonts w:ascii="Arial" w:cs="Arial" w:eastAsia="Arial" w:hAnsi="Arial"/>
            <w:sz w:val="19"/>
            <w:szCs w:val="19"/>
          </w:rPr>
          <w:t xml:space="preserve">EY Đài Loan – phân tích điểm mới của luật</w:t>
        </w:r>
      </w:hyperlink>
    </w:p>
    <w:p>
      <w:pPr>
        <w:spacing w:after="160"/>
      </w:pPr>
      <w:r>
        <w:rPr>
          <w:rFonts w:ascii="Arial" w:cs="Arial" w:eastAsia="Arial" w:hAnsi="Arial"/>
          <w:i/>
          <w:iCs/>
          <w:color w:val="666666"/>
          <w:sz w:val="19"/>
          <w:szCs w:val="19"/>
        </w:rPr>
        <w:t xml:space="preserve">Nguồn: </w:t>
      </w:r>
      <w:hyperlink w:history="1" r:id="rIdxyb6jip6egtnc7bkll1n2">
        <w:r>
          <w:rPr>
            <w:rStyle w:val="Hyperlink"/>
            <w:rFonts w:ascii="Arial" w:cs="Arial" w:eastAsia="Arial" w:hAnsi="Arial"/>
            <w:sz w:val="19"/>
            <w:szCs w:val="19"/>
          </w:rPr>
          <w:t xml:space="preserve">Đài PTS – bản tin về chính sách mới</w:t>
        </w:r>
      </w:hyperlink>
    </w:p>
    <w:p>
      <w:pPr>
        <w:pStyle w:val="Heading1"/>
        <w:spacing w:after="150" w:before="300"/>
      </w:pPr>
      <w:r>
        <w:rPr>
          <w:rFonts w:ascii="Arial" w:cs="Arial" w:eastAsia="Arial" w:hAnsi="Arial"/>
          <w:b/>
          <w:bCs/>
          <w:color w:val="1F4E79"/>
          <w:sz w:val="30"/>
          <w:szCs w:val="30"/>
        </w:rPr>
        <w:t xml:space="preserve">7. Số liệu &amp; tình hình chung</w:t>
      </w:r>
    </w:p>
    <w:p>
      <w:pPr>
        <w:pStyle w:val="ListParagraph"/>
        <w:numPr>
          <w:ilvl w:val="0"/>
          <w:numId w:val="2"/>
        </w:numPr>
        <w:spacing w:after="60"/>
      </w:pPr>
      <w:r>
        <w:rPr>
          <w:rFonts w:ascii="Arial" w:cs="Arial" w:eastAsia="Arial" w:hAnsi="Arial"/>
          <w:sz w:val="22"/>
          <w:szCs w:val="22"/>
        </w:rPr>
        <w:t xml:space="preserve">Năm học 114 (2025–2026): tổng số sinh viên quốc tế tại Đài Loan đạt 140.417 người — cao nhất lịch sử.</w:t>
      </w:r>
    </w:p>
    <w:p>
      <w:pPr>
        <w:pStyle w:val="ListParagraph"/>
        <w:numPr>
          <w:ilvl w:val="0"/>
          <w:numId w:val="2"/>
        </w:numPr>
        <w:spacing w:after="60"/>
      </w:pPr>
      <w:r>
        <w:rPr>
          <w:rFonts w:ascii="Arial" w:cs="Arial" w:eastAsia="Arial" w:hAnsi="Arial"/>
          <w:sz w:val="22"/>
          <w:szCs w:val="22"/>
        </w:rPr>
        <w:t xml:space="preserve">Việt Nam là nguồn sinh viên quốc tế lớn nhất của Đài Loan từ năm học 109 (2020) đến nay; năm học 113 đã gần 40.000 người.</w:t>
      </w:r>
    </w:p>
    <w:p>
      <w:pPr>
        <w:pStyle w:val="ListParagraph"/>
        <w:numPr>
          <w:ilvl w:val="0"/>
          <w:numId w:val="2"/>
        </w:numPr>
        <w:spacing w:after="60"/>
      </w:pPr>
      <w:r>
        <w:rPr>
          <w:rFonts w:ascii="Arial" w:cs="Arial" w:eastAsia="Arial" w:hAnsi="Arial"/>
          <w:sz w:val="22"/>
          <w:szCs w:val="22"/>
        </w:rPr>
        <w:t xml:space="preserve">Theo Bộ Lao động (4/2026), người Việt chiếm 13,5% lao động chuyên môn nước ngoài tại Đài Loan, đứng thứ 2 sau Malaysia.</w:t>
      </w:r>
    </w:p>
    <w:p>
      <w:pPr>
        <w:pStyle w:val="ListParagraph"/>
        <w:numPr>
          <w:ilvl w:val="0"/>
          <w:numId w:val="2"/>
        </w:numPr>
        <w:spacing w:after="60"/>
      </w:pPr>
      <w:r>
        <w:rPr>
          <w:rFonts w:ascii="Arial" w:cs="Arial" w:eastAsia="Arial" w:hAnsi="Arial"/>
          <w:sz w:val="22"/>
          <w:szCs w:val="22"/>
        </w:rPr>
        <w:t xml:space="preserve">Từ tháng 8/2026 (năm học 115), Bộ Giáo dục áp dụng toàn quốc "hệ thống đăng ký trước" để các trường cập nhật ngay tình trạng học tập, nghỉ học, tốt nghiệp của sinh viên quốc tế — tăng cường quản lý xuất nhập cảnh.</w:t>
      </w:r>
    </w:p>
    <w:p>
      <w:pPr>
        <w:pStyle w:val="ListParagraph"/>
        <w:numPr>
          <w:ilvl w:val="0"/>
          <w:numId w:val="2"/>
        </w:numPr>
        <w:spacing w:after="60"/>
      </w:pPr>
      <w:r>
        <w:rPr>
          <w:rFonts w:ascii="Arial" w:cs="Arial" w:eastAsia="Arial" w:hAnsi="Arial"/>
          <w:sz w:val="22"/>
          <w:szCs w:val="22"/>
        </w:rPr>
        <w:t xml:space="preserve">Nhiều trường mở rộng chương trình dạy bằng tiếng Anh (EMI); ví dụ ĐH Sư phạm Quốc lập Đài Loan có 62 chương trình thạc sĩ/tiến sĩ và 6 chương trình cử nhân dạy bằng tiếng Anh.</w:t>
      </w:r>
    </w:p>
    <w:p>
      <w:pPr>
        <w:spacing w:after="160"/>
      </w:pPr>
      <w:r>
        <w:rPr>
          <w:rFonts w:ascii="Arial" w:cs="Arial" w:eastAsia="Arial" w:hAnsi="Arial"/>
          <w:i/>
          <w:iCs/>
          <w:color w:val="666666"/>
          <w:sz w:val="19"/>
          <w:szCs w:val="19"/>
        </w:rPr>
        <w:t xml:space="preserve">Nguồn: </w:t>
      </w:r>
      <w:hyperlink w:history="1" r:id="rId4ekqqplbcttbtr2xhcv8e">
        <w:r>
          <w:rPr>
            <w:rStyle w:val="Hyperlink"/>
            <w:rFonts w:ascii="Arial" w:cs="Arial" w:eastAsia="Arial" w:hAnsi="Arial"/>
            <w:sz w:val="19"/>
            <w:szCs w:val="19"/>
          </w:rPr>
          <w:t xml:space="preserve">Liberty Times – Bộ Giáo dục công bố hệ thống đăng ký trước (2026)</w:t>
        </w:r>
      </w:hyperlink>
    </w:p>
    <w:p>
      <w:pPr>
        <w:spacing w:after="160"/>
      </w:pPr>
      <w:r>
        <w:rPr>
          <w:rFonts w:ascii="Arial" w:cs="Arial" w:eastAsia="Arial" w:hAnsi="Arial"/>
          <w:i/>
          <w:iCs/>
          <w:color w:val="666666"/>
          <w:sz w:val="19"/>
          <w:szCs w:val="19"/>
        </w:rPr>
        <w:t xml:space="preserve">Nguồn: </w:t>
      </w:r>
      <w:hyperlink w:history="1" r:id="rId44a08jvs0k01bmsqj3jc-">
        <w:r>
          <w:rPr>
            <w:rStyle w:val="Hyperlink"/>
            <w:rFonts w:ascii="Arial" w:cs="Arial" w:eastAsia="Arial" w:hAnsi="Arial"/>
            <w:sz w:val="19"/>
            <w:szCs w:val="19"/>
          </w:rPr>
          <w:t xml:space="preserve">Đài PTS – thống kê sinh viên quốc tế năm học 113</w:t>
        </w:r>
      </w:hyperlink>
    </w:p>
    <w:p>
      <w:pPr>
        <w:spacing w:after="160"/>
      </w:pPr>
      <w:r>
        <w:rPr>
          <w:rFonts w:ascii="Arial" w:cs="Arial" w:eastAsia="Arial" w:hAnsi="Arial"/>
          <w:i/>
          <w:iCs/>
          <w:color w:val="666666"/>
          <w:sz w:val="19"/>
          <w:szCs w:val="19"/>
        </w:rPr>
        <w:t xml:space="preserve">Nguồn: </w:t>
      </w:r>
      <w:hyperlink w:history="1" r:id="rIdlkvuem4ifiey-hwr_tkkb">
        <w:r>
          <w:rPr>
            <w:rStyle w:val="Hyperlink"/>
            <w:rFonts w:ascii="Arial" w:cs="Arial" w:eastAsia="Arial" w:hAnsi="Arial"/>
            <w:sz w:val="19"/>
            <w:szCs w:val="19"/>
          </w:rPr>
          <w:t xml:space="preserve">UDN – ĐH Sư phạm Quốc lập Đài Loan và chương trình EMI</w:t>
        </w:r>
      </w:hyperlink>
    </w:p>
    <w:p>
      <w:pPr>
        <w:pStyle w:val="Heading1"/>
        <w:spacing w:after="150" w:before="300"/>
      </w:pPr>
      <w:r>
        <w:rPr>
          <w:rFonts w:ascii="Arial" w:cs="Arial" w:eastAsia="Arial" w:hAnsi="Arial"/>
          <w:b/>
          <w:bCs/>
          <w:color w:val="1F4E79"/>
          <w:sz w:val="30"/>
          <w:szCs w:val="30"/>
        </w:rPr>
        <w:t xml:space="preserve">8. Lời khuyên tránh rủi ro</w:t>
      </w:r>
    </w:p>
    <w:p>
      <w:pPr>
        <w:pStyle w:val="ListParagraph"/>
        <w:numPr>
          <w:ilvl w:val="0"/>
          <w:numId w:val="2"/>
        </w:numPr>
        <w:spacing w:after="60"/>
      </w:pPr>
      <w:r>
        <w:rPr>
          <w:rFonts w:ascii="Arial" w:cs="Arial" w:eastAsia="Arial" w:hAnsi="Arial"/>
          <w:sz w:val="22"/>
          <w:szCs w:val="22"/>
        </w:rPr>
        <w:t xml:space="preserve">Học bổng chính phủ Đài Loan không thu phí nộp đơn — cảnh giác với trung tâm môi giới thu tiền "đảm bảo học bổng".</w:t>
      </w:r>
    </w:p>
    <w:p>
      <w:pPr>
        <w:pStyle w:val="ListParagraph"/>
        <w:numPr>
          <w:ilvl w:val="0"/>
          <w:numId w:val="2"/>
        </w:numPr>
        <w:spacing w:after="60"/>
      </w:pPr>
      <w:r>
        <w:rPr>
          <w:rFonts w:ascii="Arial" w:cs="Arial" w:eastAsia="Arial" w:hAnsi="Arial"/>
          <w:sz w:val="22"/>
          <w:szCs w:val="22"/>
        </w:rPr>
        <w:t xml:space="preserve">Tra cứu trường và chương trình trên trang chính thức Study in Taiwan trước khi nộp hồ sơ.</w:t>
      </w:r>
    </w:p>
    <w:p>
      <w:pPr>
        <w:pStyle w:val="ListParagraph"/>
        <w:numPr>
          <w:ilvl w:val="0"/>
          <w:numId w:val="2"/>
        </w:numPr>
        <w:spacing w:after="60"/>
      </w:pPr>
      <w:r>
        <w:rPr>
          <w:rFonts w:ascii="Arial" w:cs="Arial" w:eastAsia="Arial" w:hAnsi="Arial"/>
          <w:sz w:val="22"/>
          <w:szCs w:val="22"/>
        </w:rPr>
        <w:t xml:space="preserve">Tuyệt đối không đi làm khi chưa có giấy phép lao động — vi phạm có thể ảnh hưởng đến cư trú và việc học.</w:t>
      </w:r>
    </w:p>
    <w:p>
      <w:pPr>
        <w:spacing w:after="160"/>
      </w:pPr>
      <w:r>
        <w:rPr>
          <w:rFonts w:ascii="Arial" w:cs="Arial" w:eastAsia="Arial" w:hAnsi="Arial"/>
          <w:i/>
          <w:iCs/>
          <w:color w:val="666666"/>
          <w:sz w:val="19"/>
          <w:szCs w:val="19"/>
        </w:rPr>
        <w:t xml:space="preserve">Nguồn: </w:t>
      </w:r>
      <w:hyperlink w:history="1" r:id="rId9xdsh-xndj4llik3ryrrx">
        <w:r>
          <w:rPr>
            <w:rStyle w:val="Hyperlink"/>
            <w:rFonts w:ascii="Arial" w:cs="Arial" w:eastAsia="Arial" w:hAnsi="Arial"/>
            <w:sz w:val="19"/>
            <w:szCs w:val="19"/>
          </w:rPr>
          <w:t xml:space="preserve">Study in Taiwan – Cổng thông tin chính thức</w:t>
        </w:r>
      </w:hyperlink>
    </w:p>
    <w:p>
      <w:pPr>
        <w:pStyle w:val="Heading1"/>
        <w:spacing w:after="150" w:before="300"/>
      </w:pPr>
      <w:r>
        <w:rPr>
          <w:rFonts w:ascii="Arial" w:cs="Arial" w:eastAsia="Arial" w:hAnsi="Arial"/>
          <w:b/>
          <w:bCs/>
          <w:color w:val="1F4E79"/>
          <w:sz w:val="30"/>
          <w:szCs w:val="30"/>
        </w:rPr>
        <w:t xml:space="preserve">Phụ lục: Danh sách nguồn &amp; mức độ tin cậy</w:t>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5000"/>
        <w:gridCol w:w="2600"/>
        <w:gridCol w:w="2026"/>
      </w:tblGrid>
      <w:tr>
        <w:trPr>
          <w:tblHeader/>
        </w:trPr>
        <w:tc>
          <w:tcPr>
            <w:tcW w:type="dxa" w:w="5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20"/>
                <w:szCs w:val="20"/>
              </w:rPr>
              <w:t xml:space="preserve">Nguồn</w:t>
            </w:r>
          </w:p>
        </w:tc>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20"/>
                <w:szCs w:val="20"/>
              </w:rPr>
              <w:t xml:space="preserve">Loại</w:t>
            </w:r>
          </w:p>
        </w:tc>
        <w:tc>
          <w:tcPr>
            <w:tcW w:type="dxa" w:w="20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20"/>
                <w:szCs w:val="20"/>
              </w:rPr>
              <w:t xml:space="preserve">Tin cậy</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Bộ Giáo dục Đài Loan / TECO Việt Nam (ws.moe.edu.tw, taiwanscholarship.moe.gov.tw, roc-taiwan.org)</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Chính phủ</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Rất cao</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Viện Hành chính (ey.gov.tw), Bộ Lao động (wda.gov.tw), NDC</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Chính phủ</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Rất cao</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TaiwanICDF (icdf.org.tw)</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Tổ chức thuộc chính phủ</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Rất cao</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Các trường ĐH Đài Loan (NTUT, UCH, NTPU)</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Cơ sở giáo dục công nhận</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Cao</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EY Taiwan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Doanh nghiệp tư vấn uy tín</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Cao</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PTS, Liberty Times, UDN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Báo chí chính thống (trích dẫn số liệu Bộ GD/Bộ LĐ)</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Khá cao</w:t>
            </w:r>
          </w:p>
        </w:tc>
      </w:tr>
    </w:tbl>
    <w:sectPr>
      <w:pgSz w:w="11906" w:h="16838" w:orient="portrait"/>
      <w:pgMar w:top="1100" w:right="1140" w:bottom="1100" w:left="11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kpzmack0um1_z3negjt6" Type="http://schemas.openxmlformats.org/officeDocument/2006/relationships/hyperlink" Target="https://ws.moe.edu.tw/001/Upload/53/relfile/9377/103908/38542606-346f-40e1-be46-4cb50bf0662a.pdf" TargetMode="External"/><Relationship Id="rIdnqkzj5alqwmmr_fis-xlz" Type="http://schemas.openxmlformats.org/officeDocument/2006/relationships/hyperlink" Target="https://taiwanscholarship.moe.gov.tw/" TargetMode="External"/><Relationship Id="rIdqiva5tgjd9httopq6ligh" Type="http://schemas.openxmlformats.org/officeDocument/2006/relationships/hyperlink" Target="https://roc-taiwan.org/uploads/sites/233/2025/01/2025_Huayu_Enrichment_Scholarship_HES_International_Student_Directions.pdf" TargetMode="External"/><Relationship Id="rIdwhake3w1hsxjcou6juyun" Type="http://schemas.openxmlformats.org/officeDocument/2006/relationships/hyperlink" Target="https://www.roc-taiwan.org/uploads/sites/26/2017/06/2024_Huayu_Enrichment_Scholarship_guidelines_Vancouver.pdf" TargetMode="External"/><Relationship Id="rIdlkvayjxbru0siannele5z" Type="http://schemas.openxmlformats.org/officeDocument/2006/relationships/hyperlink" Target="https://www.icdf.org.tw/" TargetMode="External"/><Relationship Id="rIdjvj31hftrv_kjc9hpep6n" Type="http://schemas.openxmlformats.org/officeDocument/2006/relationships/hyperlink" Target="https://web.icdf.org.tw/ICDF_TSP/WelcomeStart.aspx" TargetMode="External"/><Relationship Id="rIdtj15xws9cxn6nimfqz0uk" Type="http://schemas.openxmlformats.org/officeDocument/2006/relationships/hyperlink" Target="https://blog.104.com.tw/foreign-students-will-be-fined-for-illegal-summer-jobs/" TargetMode="External"/><Relationship Id="rId8zexpepxkwpo181kl3707" Type="http://schemas.openxmlformats.org/officeDocument/2006/relationships/hyperlink" Target="https://oia.ntut.edu.tw/var/file/32/1032/img/345733763.pdf" TargetMode="External"/><Relationship Id="rIdpccvzgyv7kd29-2qbbnq0" Type="http://schemas.openxmlformats.org/officeDocument/2006/relationships/hyperlink" Target="https://ico.uch.edu.tw/p/404-1007-446.php?Lang=zh-tw" TargetMode="External"/><Relationship Id="rIdjw8ccnptvtoihiv9ef1bt" Type="http://schemas.openxmlformats.org/officeDocument/2006/relationships/hyperlink" Target="https://ezwp.wda.gov.tw" TargetMode="External"/><Relationship Id="rId6ft80yfd2ly1afgwajkzw" Type="http://schemas.openxmlformats.org/officeDocument/2006/relationships/hyperlink" Target="https://www.ey.gov.tw/Page/9277F759E41CCD91/8180a0dc-5163-426d-9f09-0b94ac8b6d43" TargetMode="External"/><Relationship Id="rIdhcwwhgyfqedxeji-k-mon" Type="http://schemas.openxmlformats.org/officeDocument/2006/relationships/hyperlink" Target="https://cms-carrier.ntpu.edu.tw/uploads/20260113_2_26e82492fa.pdf" TargetMode="External"/><Relationship Id="rIdeyutrp5kayhl79ts7_qpt" Type="http://schemas.openxmlformats.org/officeDocument/2006/relationships/hyperlink" Target="https://foreigntalentact.ndc.gov.tw/" TargetMode="External"/><Relationship Id="rIdmvjkwzifasgp6wgavdnn3" Type="http://schemas.openxmlformats.org/officeDocument/2006/relationships/hyperlink" Target="https://www.ey.com/zh_tw/insights/tax/pas-newsletter-foreign-professionals-act-amendments-highlights" TargetMode="External"/><Relationship Id="rIdxyb6jip6egtnc7bkll1n2" Type="http://schemas.openxmlformats.org/officeDocument/2006/relationships/hyperlink" Target="https://news.pts.org.tw/article/817619" TargetMode="External"/><Relationship Id="rId4ekqqplbcttbtr2xhcv8e" Type="http://schemas.openxmlformats.org/officeDocument/2006/relationships/hyperlink" Target="https://news.ltn.com.tw/news/life/breakingnews/5488899" TargetMode="External"/><Relationship Id="rId44a08jvs0k01bmsqj3jc-" Type="http://schemas.openxmlformats.org/officeDocument/2006/relationships/hyperlink" Target="https://news.pts.org.tw/article/769213" TargetMode="External"/><Relationship Id="rIdlkvuem4ifiey-hwr_tkkb" Type="http://schemas.openxmlformats.org/officeDocument/2006/relationships/hyperlink" Target="https://udn.com/news/story/6925/9363536" TargetMode="External"/><Relationship Id="rId9xdsh-xndj4llik3ryrrx" Type="http://schemas.openxmlformats.org/officeDocument/2006/relationships/hyperlink" Target="https://www.studyintaiwan.org/university"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2026-10-14T02:02:35.784Z</dcterms:created>
  <dcterms:modified xsi:type="dcterms:W3CDTF">2026-10-14T02:02:35.784Z</dcterms:modified>
</cp:coreProperties>
</file>

<file path=docProps/custom.xml><?xml version="1.0" encoding="utf-8"?>
<Properties xmlns="http://schemas.openxmlformats.org/officeDocument/2006/custom-properties" xmlns:vt="http://schemas.openxmlformats.org/officeDocument/2006/docPropsVTypes"/>
</file>