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2E4A"/>
          <w:sz w:val="36"/>
        </w:rPr>
        <w:t>Segmentation de la clientèle Mobile Money — Rapport exécutif</w:t>
      </w:r>
    </w:p>
    <w:p>
      <w:r>
        <w:rPr>
          <w:i/>
          <w:color w:val="606060"/>
          <w:sz w:val="20"/>
        </w:rPr>
        <w:t>Analyse de 50 000 transactions sur 183 jours pour 5 000 clients uniques — Direction Marketing &amp; CRM</w:t>
      </w:r>
    </w:p>
    <w:p/>
    <w:p>
      <w:r>
        <w:rPr>
          <w:b/>
          <w:color w:val="1A2E4A"/>
          <w:sz w:val="26"/>
        </w:rPr>
        <w:t>1. Résumé des segments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A2E4A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2040"/>
            <w:shd w:fill="1A2E4A"/>
          </w:tcPr>
          <w:p>
            <w:r>
              <w:rPr>
                <w:b/>
                <w:color w:val="FFFFFF"/>
              </w:rPr>
              <w:t>Effectif</w:t>
            </w:r>
          </w:p>
        </w:tc>
        <w:tc>
          <w:tcPr>
            <w:tcW w:type="dxa" w:w="2040"/>
            <w:shd w:fill="1A2E4A"/>
          </w:tcPr>
          <w:p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2040"/>
            <w:shd w:fill="1A2E4A"/>
          </w:tcPr>
          <w:p>
            <w:r>
              <w:rPr>
                <w:b/>
                <w:color w:val="FFFFFF"/>
              </w:rPr>
              <w:t>Montant total moy.</w:t>
            </w:r>
          </w:p>
        </w:tc>
        <w:tc>
          <w:tcPr>
            <w:tcW w:type="dxa" w:w="2040"/>
            <w:shd w:fill="1A2E4A"/>
          </w:tcPr>
          <w:p>
            <w:r>
              <w:rPr>
                <w:b/>
                <w:color w:val="FFFFFF"/>
              </w:rPr>
              <w:t>Silhouette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Petits transactionnels quotidiens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1 069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21.4%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770 660 GNF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0.37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Acheteurs de crédit téléphonique occasionnels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609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12.2%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64 924 GNF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0.32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Épargnants / gros déposants occasionnels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8.1%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235 829 GNF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0.05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Payeurs de factures réguliers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727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14.5%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1 894 545 GNF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0.43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Retraits dominants occasionnels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760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15.2%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123 570 GNF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0.18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Épargnants / gros déposants réguliers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784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15.7%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13 784 010 GNF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0.44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Transferts sociaux dominants occasionnels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648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13.0%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84 896 GNF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0.33</w:t>
            </w:r>
          </w:p>
        </w:tc>
      </w:tr>
    </w:tbl>
    <w:p/>
    <w:p>
      <w:r>
        <w:rPr>
          <w:b/>
          <w:color w:val="1A2E4A"/>
          <w:sz w:val="26"/>
        </w:rPr>
        <w:t>2. Méthodologie</w:t>
      </w:r>
    </w:p>
    <w:p>
      <w:r>
        <w:rPr>
          <w:sz w:val="19"/>
        </w:rPr>
        <w:t>Feature engineering RFM enrichi (12 variables : récence, fréquence, montants, volatilité, répartition par type de transaction). Normalisation Z-score, ACP exploratoire (6 composantes pour 90% de variance). K-means (k=7, n_init=10) sélectionné par score de silhouette (moyenne=0.33). Validation croisée par Classification Hiérarchique Ascendante (Ward) : indice de Rand ajusté = 0.67 entre les deux méthodes, confirmant la robustesse des segments. Valeurs aberrantes traitées par winsorisation 1%/99% (documentée, aucun client exclu).</w:t>
      </w:r>
    </w:p>
    <w:p/>
    <w:p>
      <w:r>
        <w:rPr>
          <w:b/>
          <w:color w:val="1A2E4A"/>
          <w:sz w:val="26"/>
        </w:rPr>
        <w:t>3. Description détaillée des segments</w:t>
      </w:r>
    </w:p>
    <w:p>
      <w:r>
        <w:rPr>
          <w:b/>
          <w:color w:val="C88A1E"/>
          <w:sz w:val="21"/>
        </w:rPr>
        <w:t xml:space="preserve">Petits transactionnels quotidiens  </w:t>
      </w:r>
      <w:r>
        <w:rPr>
          <w:sz w:val="19"/>
        </w:rPr>
        <w:t>(1069 clients  21.4% de la base) — récence moy. 11 j  fréquence moy. 16.9 tx  montant moyen/tx 47 555 GNF  0.7 tx/semaine.</w:t>
      </w:r>
    </w:p>
    <w:p>
      <w:r>
        <w:rPr>
          <w:b/>
          <w:color w:val="C88A1E"/>
          <w:sz w:val="21"/>
        </w:rPr>
        <w:t xml:space="preserve">Acheteurs de crédit téléphonique occasionnels  </w:t>
      </w:r>
      <w:r>
        <w:rPr>
          <w:sz w:val="19"/>
        </w:rPr>
        <w:t>(609 clients  12.2% de la base) — récence moy. 56 j  fréquence moy. 2.7 tx  montant moyen/tx 35 841 GNF  0.2 tx/semaine.</w:t>
      </w:r>
    </w:p>
    <w:p>
      <w:r>
        <w:rPr>
          <w:b/>
          <w:color w:val="C88A1E"/>
          <w:sz w:val="21"/>
        </w:rPr>
        <w:t xml:space="preserve">Épargnants / gros déposants occasionnels  </w:t>
      </w:r>
      <w:r>
        <w:rPr>
          <w:sz w:val="19"/>
        </w:rPr>
        <w:t>(403 clients  8.1% de la base) — récence moy. 77 j  fréquence moy. 1.8 tx  montant moyen/tx 130 673 GNF  0.2 tx/semaine.</w:t>
      </w:r>
    </w:p>
    <w:p>
      <w:r>
        <w:rPr>
          <w:b/>
          <w:color w:val="C88A1E"/>
          <w:sz w:val="21"/>
        </w:rPr>
        <w:t xml:space="preserve">Payeurs de factures réguliers  </w:t>
      </w:r>
      <w:r>
        <w:rPr>
          <w:sz w:val="19"/>
        </w:rPr>
        <w:t>(727 clients  14.5% de la base) — récence moy. 11 j  fréquence moy. 17.1 tx  montant moyen/tx 115 163 GNF  0.7 tx/semaine.</w:t>
      </w:r>
    </w:p>
    <w:p>
      <w:r>
        <w:rPr>
          <w:b/>
          <w:color w:val="C88A1E"/>
          <w:sz w:val="21"/>
        </w:rPr>
        <w:t xml:space="preserve">Retraits dominants occasionnels  </w:t>
      </w:r>
      <w:r>
        <w:rPr>
          <w:sz w:val="19"/>
        </w:rPr>
        <w:t>(760 clients  15.2% de la base) — récence moy. 62 j  fréquence moy. 2.4 tx  montant moyen/tx 59 160 GNF  0.2 tx/semaine.</w:t>
      </w:r>
    </w:p>
    <w:p>
      <w:r>
        <w:rPr>
          <w:b/>
          <w:color w:val="C88A1E"/>
          <w:sz w:val="21"/>
        </w:rPr>
        <w:t xml:space="preserve">Épargnants / gros déposants réguliers  </w:t>
      </w:r>
      <w:r>
        <w:rPr>
          <w:sz w:val="19"/>
        </w:rPr>
        <w:t>(784 clients  15.7% de la base) — récence moy. 11 j  fréquence moy. 17.7 tx  montant moyen/tx 778 375 GNF  0.7 tx/semaine.</w:t>
      </w:r>
    </w:p>
    <w:p>
      <w:r>
        <w:rPr>
          <w:b/>
          <w:color w:val="C88A1E"/>
          <w:sz w:val="21"/>
        </w:rPr>
        <w:t xml:space="preserve">Transferts sociaux dominants occasionnels  </w:t>
      </w:r>
      <w:r>
        <w:rPr>
          <w:sz w:val="19"/>
        </w:rPr>
        <w:t>(648 clients  13.0% de la base) — récence moy. 64 j  fréquence moy. 2.2 tx  montant moyen/tx 50 089 GNF  0.2 tx/semaine.</w:t>
      </w:r>
    </w:p>
    <w:p/>
    <w:p>
      <w:r>
        <w:rPr>
          <w:b/>
          <w:color w:val="1A2E4A"/>
          <w:sz w:val="26"/>
        </w:rPr>
        <w:t>4. Recommandations marketing prioritaires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A2E4A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2550"/>
            <w:shd w:fill="1A2E4A"/>
          </w:tcPr>
          <w:p>
            <w:r>
              <w:rPr>
                <w:b/>
                <w:color w:val="FFFFFF"/>
              </w:rPr>
              <w:t>Offre</w:t>
            </w:r>
          </w:p>
        </w:tc>
        <w:tc>
          <w:tcPr>
            <w:tcW w:type="dxa" w:w="2550"/>
            <w:shd w:fill="1A2E4A"/>
          </w:tcPr>
          <w:p>
            <w:r>
              <w:rPr>
                <w:b/>
                <w:color w:val="FFFFFF"/>
              </w:rPr>
              <w:t>Canal / Message clé</w:t>
            </w:r>
          </w:p>
        </w:tc>
        <w:tc>
          <w:tcPr>
            <w:tcW w:type="dxa" w:w="2550"/>
            <w:shd w:fill="1A2E4A"/>
          </w:tcPr>
          <w:p>
            <w:r>
              <w:rPr>
                <w:b/>
                <w:color w:val="FFFFFF"/>
              </w:rPr>
              <w:t>KPI de suivi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Dormants / churn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Frais offerts sur 3 premières opérations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SMS/USSD — « Revenez, 0 frais sur vos 3 prochaines opérations »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Taux de réactivation à 30 j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Payeurs de factures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Paiement automatique + cashback 1%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USSD — « Programmez vos factures, gagnez 1% »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Taux d'adoption auto-paiement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Acheteurs crédit fréquents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Bonus data à la 5e recharge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SMS/app — « 5 recharges ce mois, bonus data offert »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Fréquence recharge/mois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Gros épargnants saisonniers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Compte épargne rémunéré, plafond ↑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Agence/appel — « Taux préférentiel sur vos dépôts »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Montant moyen déposé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Petits transactionnels quotidiens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Frais dégressifs au volume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SMS/réseaux sociaux — « Moins vous payez de frais »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Fréquence hebdo. moyenne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Polyvalents actifs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Statut Premium, plafonds élevés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Conseiller dédié — « Statut Premium activé »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Montant total mensuel</w:t>
            </w:r>
          </w:p>
        </w:tc>
      </w:tr>
    </w:tbl>
    <w:p>
      <w:r>
        <w:rPr>
          <w:i/>
          <w:sz w:val="16"/>
        </w:rPr>
        <w:br/>
        <w:t>Données anonymisées — aucun identifiant client dans ce document. Contact : Direction Data &amp; Analytics.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