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-672464</wp:posOffset>
            </wp:positionH>
            <wp:positionV relativeFrom="paragraph">
              <wp:posOffset>227965</wp:posOffset>
            </wp:positionV>
            <wp:extent cx="2762250" cy="2762250"/>
            <wp:effectExtent b="0" l="0" r="0" t="0"/>
            <wp:wrapSquare wrapText="bothSides" distB="0" distT="0" distL="114300" distR="114300"/>
            <wp:docPr descr="C:\Users\Mirellebueno\Downloads\logo.png" id="3" name="image05.png"/>
            <a:graphic>
              <a:graphicData uri="http://schemas.openxmlformats.org/drawingml/2006/picture">
                <pic:pic>
                  <pic:nvPicPr>
                    <pic:cNvPr descr="C:\Users\Mirellebueno\Downloads\logo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34" w:firstLine="1134"/>
        <w:contextualSpacing w:val="0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</w:t>
      </w:r>
    </w:p>
    <w:p w:rsidR="00000000" w:rsidDel="00000000" w:rsidP="00000000" w:rsidRDefault="00000000" w:rsidRPr="00000000">
      <w:pPr>
        <w:ind w:left="4956" w:firstLine="707.9999999999995"/>
        <w:contextualSpacing w:val="0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De</w:t>
      </w:r>
    </w:p>
    <w:p w:rsidR="00000000" w:rsidDel="00000000" w:rsidP="00000000" w:rsidRDefault="00000000" w:rsidRPr="00000000">
      <w:pPr>
        <w:ind w:left="1416" w:firstLine="707.9999999999998"/>
        <w:contextualSpacing w:val="0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    Arquitetura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-1134" w:firstLine="113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Histórico de revisão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950"/>
        <w:gridCol w:w="4555"/>
        <w:gridCol w:w="2126"/>
        <w:tblGridChange w:id="0">
          <w:tblGrid>
            <w:gridCol w:w="1089"/>
            <w:gridCol w:w="950"/>
            <w:gridCol w:w="4555"/>
            <w:gridCol w:w="21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30/08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01/09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Alteração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04/09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Organização do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Guilherme Bornia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06/09/16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Acrescentar Diagramas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Introdução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Glossário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Representação da Arquitetura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Metas e Restrições da Arquitetura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Visão do caso de uso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Visão Lógica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Visão de Processos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Visão de Implantação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Visão de Implementação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Tamanho e Desempenho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59" w:lineRule="auto"/>
        <w:ind w:firstLine="0"/>
        <w:contextualSpacing w:val="0"/>
        <w:jc w:val="both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Qualidade</w:t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spacing w:after="120" w:lineRule="auto"/>
        <w:ind w:firstLine="0"/>
        <w:contextualSpacing w:val="0"/>
      </w:pPr>
      <w:hyperlink w:anchor="_Toc4607664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hyperlink w:anchor="_Toc4607664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tem como finalidade demonstrar e apresentar os diversos aspectos físicos e conceituais da arquitetura do sistema desenvolvido. Dentre estes estão o diagrama de caso de uso, diagrama de domínio e diagrama de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principal objetivo deste documento é apresentar as características da arquitetura do sistema “Rate MyCampus”.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apresentará de forma detalhada os diagrama mencionados, além da descrição de cada caso de uso, visando a compreensão da arquitetura do sistema.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615"/>
        <w:tblGridChange w:id="0">
          <w:tblGrid>
            <w:gridCol w:w="1875"/>
            <w:gridCol w:w="661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Arquitetura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Representação da Arquitetura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Neste documento de arquitetura são apresentadas diversas visões importantes para o desenvolvimento do sistema . Portanto são visões de caso de uso, processo  e implementação.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demonstração dessas visões foram apresentadas por meio da linguagem de modelagem unificada (UML).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q2ap9ijts57" w:id="4"/>
      <w:bookmarkEnd w:id="4"/>
      <w:r w:rsidDel="00000000" w:rsidR="00000000" w:rsidRPr="00000000">
        <w:rPr>
          <w:rtl w:val="0"/>
        </w:rPr>
        <w:t xml:space="preserve"> Visão do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a análise dos requisitos do sistema “RateMyCampus” foi possível modelar os seguintes casos de uso: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Cadastrar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Fazer Login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laboratório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Biblioteca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Restaurante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Sala de aula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Avaliar Laboratório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Avaliar Biblioteca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Avaliar Restaurante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Avaliar sala de Aula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Avaliar 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Avaliar 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Enviar Comentário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*Figuras do caso de uso com relação aos autores do caso de uso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Descrições de Caso de Uso Significativas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  <w:tab/>
        <w:t xml:space="preserve">Diagrama de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7061200"/>
            <wp:effectExtent b="0" l="0" r="0" t="0"/>
            <wp:docPr descr="casodeuso (1).png" id="2" name="image04.png"/>
            <a:graphic>
              <a:graphicData uri="http://schemas.openxmlformats.org/drawingml/2006/picture">
                <pic:pic>
                  <pic:nvPicPr>
                    <pic:cNvPr descr="casodeuso (1)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Diagrama de Dominio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38989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360" w:lineRule="auto"/>
      <w:ind w:firstLine="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  <w:ind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360" w:lineRule="auto"/>
      <w:ind w:firstLine="709"/>
      <w:jc w:val="both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360" w:lineRule="auto"/>
      <w:ind w:firstLine="709"/>
      <w:jc w:val="both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100" w:line="240" w:lineRule="auto"/>
      <w:ind w:firstLine="709"/>
      <w:jc w:val="both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360" w:lineRule="auto"/>
      <w:ind w:firstLine="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1.jpg"/></Relationships>
</file>