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i/>
          <w:iCs/>
          <w:sz w:val="40"/>
          <w:szCs w:val="40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40"/>
          <w:szCs w:val="40"/>
          <w:lang w:val="ru-RU"/>
        </w:rPr>
        <w:t>ТМ ответы скачать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hint="default" w:ascii="Times New Roman" w:hAnsi="Times New Roman" w:eastAsia="SimSun" w:cs="Times New Roman"/>
          <w:sz w:val="24"/>
          <w:szCs w:val="24"/>
          <w:lang w:val="en-US" w:eastAsia="zh-CN" w:bidi="ar-SA"/>
        </w:rPr>
        <w:id w:val="14746626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24"/>
              <w:szCs w:val="24"/>
              <w:lang w:val="ru-RU"/>
            </w:rPr>
            <w:t>ответы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"1-2" \h \u </w:instrText>
          </w:r>
          <w:r>
            <w:rPr>
              <w:b/>
            </w:rPr>
            <w:fldChar w:fldCharType="separate"/>
          </w:r>
          <w:r>
            <w:fldChar w:fldCharType="begin"/>
          </w:r>
          <w:r>
            <w:instrText xml:space="preserve"> HYPERLINK \l _Toc10864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10"/>
              <w:lang w:val="ru-RU"/>
            </w:rPr>
            <w:t>1 част</w: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>ь</w:t>
          </w:r>
          <w:r>
            <w:tab/>
          </w:r>
          <w:r>
            <w:fldChar w:fldCharType="begin"/>
          </w:r>
          <w:r>
            <w:instrText xml:space="preserve"> PAGEREF _Toc10864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_Toc6137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>1. Первообразная функции на отрезке</w:t>
          </w:r>
          <w:r>
            <w:tab/>
          </w:r>
          <w:r>
            <w:fldChar w:fldCharType="begin"/>
          </w:r>
          <w:r>
            <w:instrText xml:space="preserve"> PAGEREF _Toc6137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_Toc29235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2. </w:t>
          </w:r>
          <w:r>
            <w:rPr>
              <w:rFonts w:hint="default" w:ascii="Times New Roman" w:hAnsi="Times New Roman" w:cs="Times New Roman"/>
              <w:szCs w:val="28"/>
            </w:rPr>
            <w:t>Неопределённый интеграл</w:t>
          </w:r>
          <w:r>
            <w:tab/>
          </w:r>
          <w:r>
            <w:fldChar w:fldCharType="begin"/>
          </w:r>
          <w:r>
            <w:instrText xml:space="preserve"> PAGEREF _Toc29235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_Toc8561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3. </w:t>
          </w:r>
          <w:r>
            <w:rPr>
              <w:rFonts w:hint="default" w:ascii="Times New Roman" w:hAnsi="Times New Roman" w:cs="Times New Roman"/>
              <w:szCs w:val="28"/>
            </w:rPr>
            <w:t>Интегральная сумма</w:t>
          </w:r>
          <w:r>
            <w:tab/>
          </w:r>
          <w:r>
            <w:fldChar w:fldCharType="begin"/>
          </w:r>
          <w:r>
            <w:instrText xml:space="preserve"> PAGEREF _Toc8561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_Toc9893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4. </w:t>
          </w:r>
          <w:r>
            <w:rPr>
              <w:rFonts w:hint="default" w:ascii="Times New Roman" w:hAnsi="Times New Roman" w:cs="Times New Roman"/>
              <w:szCs w:val="28"/>
            </w:rPr>
            <w:t>Мелкость (ранг, диаметр) разбиения</w:t>
          </w:r>
          <w:r>
            <w:tab/>
          </w:r>
          <w:r>
            <w:fldChar w:fldCharType="begin"/>
          </w:r>
          <w:r>
            <w:instrText xml:space="preserve"> PAGEREF _Toc9893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_Toc14385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5. </w:t>
          </w:r>
          <w:r>
            <w:rPr>
              <w:rFonts w:hint="default" w:ascii="Times New Roman" w:hAnsi="Times New Roman" w:cs="Times New Roman"/>
              <w:szCs w:val="28"/>
            </w:rPr>
            <w:t>Определенный интеграл (интеграл Римана)</w:t>
          </w:r>
          <w:r>
            <w:tab/>
          </w:r>
          <w:r>
            <w:fldChar w:fldCharType="begin"/>
          </w:r>
          <w:r>
            <w:instrText xml:space="preserve"> PAGEREF _Toc14385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_Toc21065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6. </w:t>
          </w:r>
          <w:r>
            <w:rPr>
              <w:rFonts w:hint="default" w:ascii="Times New Roman" w:hAnsi="Times New Roman" w:cs="Times New Roman"/>
              <w:szCs w:val="28"/>
            </w:rPr>
            <w:t>Верхняя и нижняя суммы Дарбу</w:t>
          </w:r>
          <w:r>
            <w:tab/>
          </w:r>
          <w:r>
            <w:fldChar w:fldCharType="begin"/>
          </w:r>
          <w:r>
            <w:instrText xml:space="preserve"> PAGEREF _Toc21065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_Toc16702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7. </w:t>
          </w:r>
          <w:r>
            <w:rPr>
              <w:rFonts w:hint="default" w:ascii="Times New Roman" w:hAnsi="Times New Roman" w:cs="Times New Roman"/>
              <w:szCs w:val="28"/>
            </w:rPr>
            <w:t>Кусочно-непрерывная функция</w:t>
          </w:r>
          <w:r>
            <w:tab/>
          </w:r>
          <w:r>
            <w:fldChar w:fldCharType="begin"/>
          </w:r>
          <w:r>
            <w:instrText xml:space="preserve"> PAGEREF _Toc16702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8. </w:t>
          </w:r>
          <w:r>
            <w:rPr>
              <w:rFonts w:hint="default" w:ascii="Times New Roman" w:hAnsi="Times New Roman" w:cs="Times New Roman"/>
              <w:szCs w:val="28"/>
            </w:rPr>
            <w:t>Интеграл с переменным верхним (нижним) пределом</w:t>
          </w:r>
          <w:r>
            <w:tab/>
          </w:r>
          <w:r>
            <w:fldChar w:fldCharType="begin"/>
          </w:r>
          <w:r>
            <w:instrText xml:space="preserve"> PAGEREF _Toc86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_Toc5139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9. </w:t>
          </w:r>
          <w:r>
            <w:rPr>
              <w:rFonts w:hint="default" w:ascii="Times New Roman" w:hAnsi="Times New Roman" w:cs="Times New Roman"/>
              <w:szCs w:val="28"/>
            </w:rPr>
            <w:t>Криволинейная трапеция в декартовых координатах</w:t>
          </w:r>
          <w:r>
            <w:tab/>
          </w:r>
          <w:r>
            <w:fldChar w:fldCharType="begin"/>
          </w:r>
          <w:r>
            <w:instrText xml:space="preserve"> PAGEREF _Toc5139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_Toc18169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10. </w:t>
          </w:r>
          <w:r>
            <w:rPr>
              <w:rFonts w:hint="default" w:ascii="Times New Roman" w:hAnsi="Times New Roman" w:cs="Times New Roman"/>
              <w:szCs w:val="28"/>
            </w:rPr>
            <w:t>Криволинейный сектор в полярных координатах</w:t>
          </w:r>
          <w:r>
            <w:tab/>
          </w:r>
          <w:r>
            <w:fldChar w:fldCharType="begin"/>
          </w:r>
          <w:r>
            <w:instrText xml:space="preserve"> PAGEREF _Toc18169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11. </w:t>
          </w:r>
          <w:r>
            <w:rPr>
              <w:rFonts w:hint="default" w:ascii="Times New Roman" w:hAnsi="Times New Roman" w:cs="Times New Roman"/>
              <w:szCs w:val="28"/>
            </w:rPr>
            <w:t>Несобственный интеграл и его вычисление</w:t>
          </w:r>
          <w:r>
            <w:tab/>
          </w:r>
          <w:r>
            <w:fldChar w:fldCharType="begin"/>
          </w:r>
          <w:r>
            <w:instrText xml:space="preserve"> PAGEREF _Toc98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_Toc18567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12. </w:t>
          </w:r>
          <w:r>
            <w:rPr>
              <w:rFonts w:hint="default" w:ascii="Times New Roman" w:hAnsi="Times New Roman" w:cs="Times New Roman"/>
              <w:szCs w:val="28"/>
            </w:rPr>
            <w:t>Абсолютная сходимость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_Toc18567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_Toc4842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13. </w:t>
          </w:r>
          <w:r>
            <w:rPr>
              <w:rFonts w:hint="default" w:ascii="Times New Roman" w:hAnsi="Times New Roman" w:cs="Times New Roman"/>
              <w:szCs w:val="28"/>
            </w:rPr>
            <w:t>Условная сходимость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_Toc4842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_Toc2938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zCs w:val="24"/>
              <w:lang w:val="ru-RU"/>
            </w:rPr>
            <w:t>2</w:t>
          </w:r>
          <w:r>
            <w:rPr>
              <w:rFonts w:hint="default" w:ascii="Times New Roman" w:hAnsi="Times New Roman" w:cs="Times New Roman"/>
              <w:szCs w:val="4"/>
              <w:lang w:val="ru-RU"/>
            </w:rPr>
            <w:t xml:space="preserve"> часть</w:t>
          </w:r>
          <w:r>
            <w:tab/>
          </w:r>
          <w:r>
            <w:fldChar w:fldCharType="begin"/>
          </w:r>
          <w:r>
            <w:instrText xml:space="preserve"> PAGEREF _Toc2938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_Toc6671 </w:instrText>
          </w:r>
          <w:r>
            <w:fldChar w:fldCharType="separate"/>
          </w:r>
          <w:r>
            <w:rPr>
              <w:rFonts w:hint="default"/>
              <w:lang w:val="ru-RU"/>
            </w:rPr>
            <w:t>1. Теорема о множестве всех первообразных</w:t>
          </w:r>
          <w:r>
            <w:tab/>
          </w:r>
          <w:r>
            <w:fldChar w:fldCharType="begin"/>
          </w:r>
          <w:r>
            <w:instrText xml:space="preserve"> PAGEREF _Toc6671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_Toc18227 </w:instrText>
          </w:r>
          <w:r>
            <w:fldChar w:fldCharType="separate"/>
          </w:r>
          <w:r>
            <w:rPr>
              <w:rFonts w:hint="default"/>
              <w:lang w:val="ru-RU"/>
            </w:rPr>
            <w:t>2. Замена переменной в неопределённом интеграле</w:t>
          </w:r>
          <w:r>
            <w:tab/>
          </w:r>
          <w:r>
            <w:fldChar w:fldCharType="begin"/>
          </w:r>
          <w:r>
            <w:instrText xml:space="preserve"> PAGEREF _Toc18227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default"/>
              <w:lang w:val="ru-RU"/>
            </w:rPr>
            <w:t>3. Интегрирование по частям в неопределённом интеграле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_Toc29644 </w:instrText>
          </w:r>
          <w:r>
            <w:fldChar w:fldCharType="separate"/>
          </w:r>
          <w:r>
            <w:rPr>
              <w:rFonts w:hint="default"/>
              <w:lang w:val="ru-RU"/>
            </w:rPr>
            <w:t>4. Критерий существования определенного интеграла</w:t>
          </w:r>
          <w:r>
            <w:tab/>
          </w:r>
          <w:r>
            <w:fldChar w:fldCharType="begin"/>
          </w:r>
          <w:r>
            <w:instrText xml:space="preserve"> PAGEREF _Toc29644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 </w:instrText>
          </w:r>
          <w:r>
            <w:fldChar w:fldCharType="separate"/>
          </w:r>
          <w:r>
            <w:rPr>
              <w:rFonts w:hint="default"/>
              <w:lang w:val="ru-RU"/>
            </w:rPr>
            <w:t>5. Связь интегрируемости и непрерывности</w:t>
          </w:r>
          <w:r>
            <w:tab/>
          </w:r>
          <w:r>
            <w:fldChar w:fldCharType="begin"/>
          </w:r>
          <w:r>
            <w:instrText xml:space="preserve"> PAGEREF _Toc16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_Toc7558 </w:instrText>
          </w:r>
          <w:r>
            <w:fldChar w:fldCharType="separate"/>
          </w:r>
          <w:r>
            <w:rPr>
              <w:rFonts w:hint="default"/>
              <w:lang w:val="ru-RU"/>
            </w:rPr>
            <w:t>6. Связь интегрируемости и кусочной непрерывности</w:t>
          </w:r>
          <w:r>
            <w:tab/>
          </w:r>
          <w:r>
            <w:fldChar w:fldCharType="begin"/>
          </w:r>
          <w:r>
            <w:instrText xml:space="preserve"> PAGEREF _Toc7558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_Toc25683 </w:instrText>
          </w:r>
          <w:r>
            <w:fldChar w:fldCharType="separate"/>
          </w:r>
          <w:r>
            <w:rPr>
              <w:rFonts w:hint="default"/>
              <w:lang w:val="ru-RU"/>
            </w:rPr>
            <w:t>7. Линейность интеграла Римана</w:t>
          </w:r>
          <w:r>
            <w:tab/>
          </w:r>
          <w:r>
            <w:fldChar w:fldCharType="begin"/>
          </w:r>
          <w:r>
            <w:instrText xml:space="preserve"> PAGEREF _Toc25683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_Toc16530 </w:instrText>
          </w:r>
          <w:r>
            <w:fldChar w:fldCharType="separate"/>
          </w:r>
          <w:r>
            <w:rPr>
              <w:rFonts w:hint="default"/>
              <w:lang w:val="ru-RU"/>
            </w:rPr>
            <w:t>8. Аддитивность по промежутку интеграла Римана</w:t>
          </w:r>
          <w:r>
            <w:tab/>
          </w:r>
          <w:r>
            <w:fldChar w:fldCharType="begin"/>
          </w:r>
          <w:r>
            <w:instrText xml:space="preserve"> PAGEREF _Toc16530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_Toc12114 </w:instrText>
          </w:r>
          <w:r>
            <w:fldChar w:fldCharType="separate"/>
          </w:r>
          <w:r>
            <w:rPr>
              <w:rFonts w:hint="default"/>
              <w:lang w:val="ru-RU"/>
            </w:rPr>
            <w:t>9. Первая теорема о среднем</w:t>
          </w:r>
          <w:r>
            <w:tab/>
          </w:r>
          <w:r>
            <w:fldChar w:fldCharType="begin"/>
          </w:r>
          <w:r>
            <w:instrText xml:space="preserve"> PAGEREF _Toc12114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_Toc22604 </w:instrText>
          </w:r>
          <w:r>
            <w:fldChar w:fldCharType="separate"/>
          </w:r>
          <w:r>
            <w:rPr>
              <w:rFonts w:hint="default"/>
              <w:lang w:val="ru-RU"/>
            </w:rPr>
            <w:t>10. Теорема Барроу</w:t>
          </w:r>
          <w:r>
            <w:tab/>
          </w:r>
          <w:r>
            <w:fldChar w:fldCharType="begin"/>
          </w:r>
          <w:r>
            <w:instrText xml:space="preserve"> PAGEREF _Toc22604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_Toc16029 </w:instrText>
          </w:r>
          <w:r>
            <w:fldChar w:fldCharType="separate"/>
          </w:r>
          <w:r>
            <w:rPr>
              <w:rFonts w:hint="default"/>
              <w:lang w:val="ru-RU"/>
            </w:rPr>
            <w:t>11. Формула Ньютона-Лейбница</w:t>
          </w:r>
          <w:r>
            <w:tab/>
          </w:r>
          <w:r>
            <w:fldChar w:fldCharType="begin"/>
          </w:r>
          <w:r>
            <w:instrText xml:space="preserve"> PAGEREF _Toc16029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_Toc25887 </w:instrText>
          </w:r>
          <w:r>
            <w:fldChar w:fldCharType="separate"/>
          </w:r>
          <w:r>
            <w:rPr>
              <w:rFonts w:hint="default"/>
              <w:lang w:val="ru-RU"/>
            </w:rPr>
            <w:t>12. Интегрирование по частям в определенном интеграле</w:t>
          </w:r>
          <w:r>
            <w:tab/>
          </w:r>
          <w:r>
            <w:fldChar w:fldCharType="begin"/>
          </w:r>
          <w:r>
            <w:instrText xml:space="preserve"> PAGEREF _Toc25887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_Toc11684 </w:instrText>
          </w:r>
          <w:r>
            <w:fldChar w:fldCharType="separate"/>
          </w:r>
          <w:r>
            <w:rPr>
              <w:rFonts w:hint="default"/>
              <w:lang w:val="ru-RU"/>
            </w:rPr>
            <w:t>13. Замена переменной в определенном интеграле</w:t>
          </w:r>
          <w:r>
            <w:tab/>
          </w:r>
          <w:r>
            <w:fldChar w:fldCharType="begin"/>
          </w:r>
          <w:r>
            <w:instrText xml:space="preserve"> PAGEREF _Toc11684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_Toc1704 </w:instrText>
          </w:r>
          <w:r>
            <w:fldChar w:fldCharType="separate"/>
          </w:r>
          <w:r>
            <w:rPr>
              <w:rFonts w:hint="default"/>
              <w:lang w:val="ru-RU"/>
            </w:rPr>
            <w:t>14. Интеграл от чётной функции по симметричному промежутку</w:t>
          </w:r>
          <w:r>
            <w:tab/>
          </w:r>
          <w:r>
            <w:fldChar w:fldCharType="begin"/>
          </w:r>
          <w:r>
            <w:instrText xml:space="preserve"> PAGEREF _Toc1704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_Toc28629 </w:instrText>
          </w:r>
          <w:r>
            <w:fldChar w:fldCharType="separate"/>
          </w:r>
          <w:r>
            <w:rPr>
              <w:rFonts w:hint="default"/>
              <w:lang w:val="ru-RU"/>
            </w:rPr>
            <w:t>15. Интеграл от нечётной функции по симметричному промежутку</w:t>
          </w:r>
          <w:r>
            <w:tab/>
          </w:r>
          <w:r>
            <w:fldChar w:fldCharType="begin"/>
          </w:r>
          <w:r>
            <w:instrText xml:space="preserve"> PAGEREF _Toc28629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_Toc29651 </w:instrText>
          </w:r>
          <w:r>
            <w:fldChar w:fldCharType="separate"/>
          </w:r>
          <w:r>
            <w:rPr>
              <w:rFonts w:hint="default"/>
              <w:lang w:val="ru-RU"/>
            </w:rPr>
            <w:t>16. Вычисление площади плоской фигуры. Граница задана в декартовых координатах</w:t>
          </w:r>
          <w:r>
            <w:tab/>
          </w:r>
          <w:r>
            <w:fldChar w:fldCharType="begin"/>
          </w:r>
          <w:r>
            <w:instrText xml:space="preserve"> PAGEREF _Toc29651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_Toc5307 </w:instrText>
          </w:r>
          <w:r>
            <w:fldChar w:fldCharType="separate"/>
          </w:r>
          <w:r>
            <w:rPr>
              <w:rFonts w:hint="default"/>
              <w:lang w:val="ru-RU"/>
            </w:rPr>
            <w:t>17. Вычисление площади плоской фигуры. Граница задана параметрически</w:t>
          </w:r>
          <w:r>
            <w:tab/>
          </w:r>
          <w:r>
            <w:fldChar w:fldCharType="begin"/>
          </w:r>
          <w:r>
            <w:instrText xml:space="preserve"> PAGEREF _Toc5307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_Toc10505 </w:instrText>
          </w:r>
          <w:r>
            <w:fldChar w:fldCharType="separate"/>
          </w:r>
          <w:r>
            <w:rPr>
              <w:rFonts w:hint="default"/>
              <w:lang w:val="ru-RU"/>
            </w:rPr>
            <w:t xml:space="preserve">18. Вычисление площади плоской фигуры. Граница задана в полярных координатах </w:t>
          </w:r>
          <w:r>
            <w:tab/>
          </w:r>
          <w:r>
            <w:fldChar w:fldCharType="begin"/>
          </w:r>
          <w:r>
            <w:instrText xml:space="preserve"> PAGEREF _Toc10505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_Toc19968 </w:instrText>
          </w:r>
          <w:r>
            <w:fldChar w:fldCharType="separate"/>
          </w:r>
          <w:r>
            <w:rPr>
              <w:rFonts w:hint="default"/>
              <w:lang w:val="ru-RU"/>
            </w:rPr>
            <w:t>19. Вычисление длины кривой. Кривая задана в декартовых координатах</w:t>
          </w:r>
          <w:r>
            <w:tab/>
          </w:r>
          <w:r>
            <w:fldChar w:fldCharType="begin"/>
          </w:r>
          <w:r>
            <w:instrText xml:space="preserve"> PAGEREF _Toc19968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_Toc9384 </w:instrText>
          </w:r>
          <w:r>
            <w:fldChar w:fldCharType="separate"/>
          </w:r>
          <w:r>
            <w:rPr>
              <w:rFonts w:hint="default"/>
              <w:lang w:val="ru-RU"/>
            </w:rPr>
            <w:t>20. Вычисление длины кривой. Кривая задана параметрически</w:t>
          </w:r>
          <w:r>
            <w:tab/>
          </w:r>
          <w:r>
            <w:fldChar w:fldCharType="begin"/>
          </w:r>
          <w:r>
            <w:instrText xml:space="preserve"> PAGEREF _Toc9384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_Toc20089 </w:instrText>
          </w:r>
          <w:r>
            <w:fldChar w:fldCharType="separate"/>
          </w:r>
          <w:r>
            <w:rPr>
              <w:rFonts w:hint="default"/>
              <w:lang w:val="ru-RU"/>
            </w:rPr>
            <w:t>21. Вычисление длины кривой. Кривая задана в полярных координатах</w:t>
          </w:r>
          <w:r>
            <w:tab/>
          </w:r>
          <w:r>
            <w:fldChar w:fldCharType="begin"/>
          </w:r>
          <w:r>
            <w:instrText xml:space="preserve"> PAGEREF _Toc20089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 </w:instrText>
          </w:r>
          <w:r>
            <w:fldChar w:fldCharType="separate"/>
          </w:r>
          <w:r>
            <w:rPr>
              <w:rFonts w:hint="default"/>
              <w:lang w:val="ru-RU"/>
            </w:rPr>
            <w:t>22. Вычисление объёма тела вращения</w:t>
          </w:r>
          <w:r>
            <w:tab/>
          </w:r>
          <w:r>
            <w:fldChar w:fldCharType="begin"/>
          </w:r>
          <w:r>
            <w:instrText xml:space="preserve"> PAGEREF _Toc3162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_Toc4780 </w:instrText>
          </w:r>
          <w:r>
            <w:fldChar w:fldCharType="separate"/>
          </w:r>
          <w:r>
            <w:rPr>
              <w:rFonts w:hint="default"/>
              <w:lang w:val="ru-RU"/>
            </w:rPr>
            <w:t>23. Линейность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_Toc4780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_Toc10760 </w:instrText>
          </w:r>
          <w:r>
            <w:fldChar w:fldCharType="separate"/>
          </w:r>
          <w:r>
            <w:rPr>
              <w:rFonts w:hint="default"/>
              <w:lang w:val="ru-RU"/>
            </w:rPr>
            <w:t>24. Аддитивность по промежутку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_Toc10760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_Toc26223 </w:instrText>
          </w:r>
          <w:r>
            <w:fldChar w:fldCharType="separate"/>
          </w:r>
          <w:r>
            <w:rPr>
              <w:rFonts w:hint="default"/>
              <w:lang w:val="ru-RU"/>
            </w:rPr>
            <w:t>25. Критерий сходимости несобственного интеграла в терминах остатка</w:t>
          </w:r>
          <w:r>
            <w:tab/>
          </w:r>
          <w:r>
            <w:fldChar w:fldCharType="begin"/>
          </w:r>
          <w:r>
            <w:instrText xml:space="preserve"> PAGEREF _Toc26223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_Toc25977 </w:instrText>
          </w:r>
          <w:r>
            <w:fldChar w:fldCharType="separate"/>
          </w:r>
          <w:r>
            <w:rPr>
              <w:rFonts w:hint="default"/>
              <w:lang w:val="ru-RU"/>
            </w:rPr>
            <w:t>26. Замена переменной в несобственном интеграле</w:t>
          </w:r>
          <w:r>
            <w:tab/>
          </w:r>
          <w:r>
            <w:fldChar w:fldCharType="begin"/>
          </w:r>
          <w:r>
            <w:instrText xml:space="preserve"> PAGEREF _Toc25977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_Toc22670 </w:instrText>
          </w:r>
          <w:r>
            <w:fldChar w:fldCharType="separate"/>
          </w:r>
          <w:r>
            <w:rPr>
              <w:rFonts w:hint="default"/>
              <w:lang w:val="ru-RU"/>
            </w:rPr>
            <w:t>27. Интегрирование по частям в несобственном интеграле</w:t>
          </w:r>
          <w:r>
            <w:tab/>
          </w:r>
          <w:r>
            <w:fldChar w:fldCharType="begin"/>
          </w:r>
          <w:r>
            <w:instrText xml:space="preserve"> PAGEREF _Toc22670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_Toc18402 </w:instrText>
          </w:r>
          <w:r>
            <w:fldChar w:fldCharType="separate"/>
          </w:r>
          <w:r>
            <w:rPr>
              <w:rFonts w:hint="default"/>
              <w:lang w:val="ru-RU"/>
            </w:rPr>
            <w:t>28. Критерий сходимости несобственного интеграла от положительной функции</w:t>
          </w:r>
          <w:r>
            <w:tab/>
          </w:r>
          <w:r>
            <w:fldChar w:fldCharType="begin"/>
          </w:r>
          <w:r>
            <w:instrText xml:space="preserve"> PAGEREF _Toc18402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_Toc5280 </w:instrText>
          </w:r>
          <w:r>
            <w:fldChar w:fldCharType="separate"/>
          </w:r>
          <w:r>
            <w:rPr>
              <w:rFonts w:hint="default"/>
              <w:lang w:val="ru-RU"/>
            </w:rPr>
            <w:t>29. Первый признак сравнения (с неравенством) для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_Toc5280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_Toc16619 </w:instrText>
          </w:r>
          <w:r>
            <w:fldChar w:fldCharType="separate"/>
          </w:r>
          <w:r>
            <w:rPr>
              <w:rFonts w:hint="default"/>
              <w:lang w:val="ru-RU"/>
            </w:rPr>
            <w:t>30. Второй признак сравнения (предельный) для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_Toc16619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_Toc7274 </w:instrText>
          </w:r>
          <w:r>
            <w:fldChar w:fldCharType="separate"/>
          </w:r>
          <w:r>
            <w:rPr>
              <w:rFonts w:hint="default"/>
              <w:lang w:val="ru-RU"/>
            </w:rPr>
            <w:t>31. Признак абсолютной сходимости для несобственного интеграла</w:t>
          </w:r>
          <w:r>
            <w:tab/>
          </w:r>
          <w:r>
            <w:fldChar w:fldCharType="begin"/>
          </w:r>
          <w:r>
            <w:instrText xml:space="preserve"> PAGEREF _Toc7274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bidi w:val="0"/>
        <w:rPr>
          <w:rFonts w:hint="default" w:ascii="Times New Roman" w:hAnsi="Times New Roman" w:cs="Times New Roman"/>
          <w:color w:val="FFFFFF" w:themeColor="background1"/>
          <w:sz w:val="28"/>
          <w:szCs w:val="28"/>
          <w:lang w:val="ru-RU"/>
          <w14:textFill>
            <w14:solidFill>
              <w14:schemeClr w14:val="bg1"/>
            </w14:solidFill>
          </w14:textFill>
        </w:rPr>
      </w:pPr>
      <w:bookmarkStart w:id="0" w:name="_Toc15866"/>
      <w:bookmarkStart w:id="1" w:name="_Toc10864"/>
      <w:r>
        <w:rPr>
          <w:rFonts w:hint="default" w:ascii="Times New Roman" w:hAnsi="Times New Roman" w:cs="Times New Roman"/>
          <w:color w:val="FFFFFF" w:themeColor="background1"/>
          <w:sz w:val="10"/>
          <w:szCs w:val="10"/>
          <w:lang w:val="ru-RU"/>
          <w14:textFill>
            <w14:solidFill>
              <w14:schemeClr w14:val="bg1"/>
            </w14:solidFill>
          </w14:textFill>
        </w:rPr>
        <w:t>1 част</w:t>
      </w:r>
      <w:r>
        <w:rPr>
          <w:rFonts w:hint="default" w:ascii="Times New Roman" w:hAnsi="Times New Roman" w:cs="Times New Roman"/>
          <w:color w:val="FFFFFF" w:themeColor="background1"/>
          <w:sz w:val="28"/>
          <w:szCs w:val="28"/>
          <w:lang w:val="ru-RU"/>
          <w14:textFill>
            <w14:solidFill>
              <w14:schemeClr w14:val="bg1"/>
            </w14:solidFill>
          </w14:textFill>
        </w:rPr>
        <w:t>ь</w:t>
      </w:r>
      <w:bookmarkEnd w:id="0"/>
      <w:bookmarkEnd w:id="1"/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bookmarkStart w:id="2" w:name="_Toc6137"/>
      <w:bookmarkStart w:id="3" w:name="_Toc25067"/>
      <w:r>
        <w:rPr>
          <w:rFonts w:hint="default" w:ascii="Times New Roman" w:hAnsi="Times New Roman" w:cs="Times New Roman"/>
          <w:sz w:val="28"/>
          <w:szCs w:val="28"/>
          <w:lang w:val="ru-RU"/>
        </w:rPr>
        <w:t>Первообразная функции на отрезке</w:t>
      </w:r>
      <w:bookmarkEnd w:id="2"/>
      <w:bookmarkEnd w:id="3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871855"/>
            <wp:effectExtent l="0" t="0" r="3810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4" w:name="_Toc29235"/>
      <w:bookmarkStart w:id="5" w:name="_Toc13434"/>
      <w:r>
        <w:rPr>
          <w:rFonts w:hint="default" w:ascii="Times New Roman" w:hAnsi="Times New Roman" w:cs="Times New Roman"/>
          <w:sz w:val="28"/>
          <w:szCs w:val="28"/>
        </w:rPr>
        <w:t>Неопределённый интеграл</w:t>
      </w:r>
      <w:bookmarkEnd w:id="4"/>
      <w:bookmarkEnd w:id="5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2227580"/>
            <wp:effectExtent l="0" t="0" r="381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6" w:name="_Toc12504"/>
      <w:bookmarkStart w:id="7" w:name="_Toc8561"/>
      <w:r>
        <w:rPr>
          <w:rFonts w:hint="default" w:ascii="Times New Roman" w:hAnsi="Times New Roman" w:cs="Times New Roman"/>
          <w:sz w:val="28"/>
          <w:szCs w:val="28"/>
        </w:rPr>
        <w:t>Интегральная сумма</w:t>
      </w:r>
      <w:bookmarkEnd w:id="6"/>
      <w:bookmarkEnd w:id="7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67325" cy="1518920"/>
            <wp:effectExtent l="0" t="0" r="952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341120"/>
            <wp:effectExtent l="0" t="0" r="3810" b="1143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8" w:name="_Toc4623"/>
      <w:bookmarkStart w:id="9" w:name="_Toc9893"/>
      <w:r>
        <w:rPr>
          <w:rFonts w:hint="default" w:ascii="Times New Roman" w:hAnsi="Times New Roman" w:cs="Times New Roman"/>
          <w:sz w:val="28"/>
          <w:szCs w:val="28"/>
        </w:rPr>
        <w:t>Мелкость (ранг, диаметр) разбиения</w:t>
      </w:r>
      <w:bookmarkEnd w:id="8"/>
      <w:bookmarkEnd w:id="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414145"/>
            <wp:effectExtent l="0" t="0" r="3810" b="1460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0" w:name="_Toc14385"/>
      <w:bookmarkStart w:id="11" w:name="_Toc5157"/>
      <w:r>
        <w:rPr>
          <w:rFonts w:hint="default" w:ascii="Times New Roman" w:hAnsi="Times New Roman" w:cs="Times New Roman"/>
          <w:sz w:val="28"/>
          <w:szCs w:val="28"/>
        </w:rPr>
        <w:t>Определенный интеграл (интеграл Римана)</w:t>
      </w:r>
      <w:bookmarkEnd w:id="10"/>
      <w:bookmarkEnd w:id="11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796415"/>
            <wp:effectExtent l="0" t="0" r="3810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2" w:name="_Toc25256"/>
      <w:bookmarkStart w:id="13" w:name="_Toc21065"/>
      <w:r>
        <w:rPr>
          <w:rFonts w:hint="default" w:ascii="Times New Roman" w:hAnsi="Times New Roman" w:cs="Times New Roman"/>
          <w:sz w:val="28"/>
          <w:szCs w:val="28"/>
        </w:rPr>
        <w:t>Верхняя и нижняя суммы Дарбу</w:t>
      </w:r>
      <w:bookmarkEnd w:id="12"/>
      <w:bookmarkEnd w:id="13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67325" cy="2125345"/>
            <wp:effectExtent l="0" t="0" r="9525" b="825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4" w:name="_Toc16702"/>
      <w:bookmarkStart w:id="15" w:name="_Toc26364"/>
      <w:r>
        <w:rPr>
          <w:rFonts w:hint="default" w:ascii="Times New Roman" w:hAnsi="Times New Roman" w:cs="Times New Roman"/>
          <w:sz w:val="28"/>
          <w:szCs w:val="28"/>
        </w:rPr>
        <w:t>Кусочно-непрерывная функция</w:t>
      </w:r>
      <w:bookmarkEnd w:id="14"/>
      <w:bookmarkEnd w:id="15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1135" cy="706755"/>
            <wp:effectExtent l="0" t="0" r="5715" b="1714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6" w:name="_Toc86"/>
      <w:bookmarkStart w:id="17" w:name="_Toc32726"/>
      <w:r>
        <w:rPr>
          <w:rFonts w:hint="default" w:ascii="Times New Roman" w:hAnsi="Times New Roman" w:cs="Times New Roman"/>
          <w:sz w:val="28"/>
          <w:szCs w:val="28"/>
        </w:rPr>
        <w:t>Интеграл с переменным верхним (нижним) пределом</w:t>
      </w:r>
      <w:bookmarkEnd w:id="16"/>
      <w:bookmarkEnd w:id="17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421130"/>
            <wp:effectExtent l="0" t="0" r="3810" b="762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>С нижним аналогично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8" w:name="_Toc5139"/>
      <w:bookmarkStart w:id="19" w:name="_Toc9082"/>
      <w:r>
        <w:rPr>
          <w:rFonts w:hint="default" w:ascii="Times New Roman" w:hAnsi="Times New Roman" w:cs="Times New Roman"/>
          <w:sz w:val="28"/>
          <w:szCs w:val="28"/>
        </w:rPr>
        <w:t>Криволинейная трапеция в декартовых координатах</w:t>
      </w:r>
      <w:bookmarkEnd w:id="18"/>
      <w:bookmarkEnd w:id="1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483360"/>
            <wp:effectExtent l="0" t="0" r="3810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0" w:name="_Toc3812"/>
      <w:bookmarkStart w:id="21" w:name="_Toc18169"/>
      <w:r>
        <w:rPr>
          <w:rFonts w:hint="default" w:ascii="Times New Roman" w:hAnsi="Times New Roman" w:cs="Times New Roman"/>
          <w:sz w:val="28"/>
          <w:szCs w:val="28"/>
        </w:rPr>
        <w:t>Криволинейный сектор в полярных координатах</w:t>
      </w:r>
      <w:bookmarkEnd w:id="20"/>
      <w:bookmarkEnd w:id="21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69230" cy="1306830"/>
            <wp:effectExtent l="0" t="0" r="7620" b="762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2" w:name="_Toc9940"/>
      <w:bookmarkStart w:id="23" w:name="_Toc98"/>
      <w:r>
        <w:rPr>
          <w:rFonts w:hint="default" w:ascii="Times New Roman" w:hAnsi="Times New Roman" w:cs="Times New Roman"/>
          <w:sz w:val="28"/>
          <w:szCs w:val="28"/>
        </w:rPr>
        <w:t>Несобственный интеграл и его вычисление</w:t>
      </w:r>
      <w:bookmarkEnd w:id="22"/>
      <w:bookmarkEnd w:id="23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68595" cy="1446530"/>
            <wp:effectExtent l="0" t="0" r="8255" b="127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  <w:t>Несобственн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  <w:lang w:val="ru-RU"/>
        </w:rPr>
        <w:t>ый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  <w:t xml:space="preserve"> интеграл I рода выражает площадь бесконечно ДЛИННОЙ криволинейной трапеции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  <w:t>Несобственны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  <w:lang w:val="ru-RU"/>
        </w:rPr>
        <w:t>й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4"/>
          <w:szCs w:val="24"/>
          <w:shd w:val="clear" w:fill="FFFFFF"/>
        </w:rPr>
        <w:t xml:space="preserve"> интеграл II рода выражает площадь бесконечно ВЫСОКОЙ криволинейной трапеции</w:t>
      </w:r>
    </w:p>
    <w:p>
      <w:pPr>
        <w:numPr>
          <w:ilvl w:val="0"/>
          <w:numId w:val="0"/>
        </w:numPr>
        <w:rPr>
          <w:rFonts w:hint="default" w:ascii="Times New Roman" w:hAnsi="Times New Roman" w:eastAsia="Helvetica" w:cs="Times New Roman"/>
          <w:i w:val="0"/>
          <w:iCs w:val="0"/>
          <w:caps w:val="0"/>
          <w:color w:val="2C2D2E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055" cy="1621155"/>
            <wp:effectExtent l="0" t="0" r="10795" b="1714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bookmarkStart w:id="24" w:name="_Toc18567"/>
      <w:bookmarkStart w:id="25" w:name="_Toc30952"/>
      <w:r>
        <w:rPr>
          <w:rFonts w:hint="default" w:ascii="Times New Roman" w:hAnsi="Times New Roman" w:cs="Times New Roman"/>
          <w:sz w:val="28"/>
          <w:szCs w:val="28"/>
        </w:rPr>
        <w:t>Абсолютная сходимость несобственного интеграла</w:t>
      </w:r>
      <w:bookmarkEnd w:id="24"/>
      <w:bookmarkEnd w:id="25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drawing>
          <wp:inline distT="0" distB="0" distL="114300" distR="114300">
            <wp:extent cx="5273040" cy="1285875"/>
            <wp:effectExtent l="0" t="0" r="3810" b="952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6" w:name="_Toc4842"/>
      <w:bookmarkStart w:id="27" w:name="_Toc31670"/>
      <w:r>
        <w:rPr>
          <w:rFonts w:hint="default" w:ascii="Times New Roman" w:hAnsi="Times New Roman" w:cs="Times New Roman"/>
          <w:sz w:val="28"/>
          <w:szCs w:val="28"/>
        </w:rPr>
        <w:t>Условная сходимость несобственного интеграла</w:t>
      </w:r>
      <w:bookmarkEnd w:id="26"/>
      <w:bookmarkEnd w:id="27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8595" cy="704850"/>
            <wp:effectExtent l="0" t="0" r="825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pStyle w:val="2"/>
        <w:bidi w:val="0"/>
        <w:rPr>
          <w:rFonts w:hint="default" w:ascii="Times New Roman" w:hAnsi="Times New Roman" w:cs="Times New Roman"/>
          <w:color w:val="FFFFFF" w:themeColor="background1"/>
          <w:sz w:val="28"/>
          <w:szCs w:val="28"/>
          <w:lang w:val="ru-RU"/>
          <w14:textFill>
            <w14:solidFill>
              <w14:schemeClr w14:val="bg1"/>
            </w14:solidFill>
          </w14:textFill>
        </w:rPr>
      </w:pPr>
      <w:bookmarkStart w:id="28" w:name="_Toc2938"/>
      <w:bookmarkStart w:id="29" w:name="_Toc29724"/>
      <w:r>
        <w:rPr>
          <w:rFonts w:hint="default" w:ascii="Times New Roman" w:hAnsi="Times New Roman" w:cs="Times New Roman"/>
          <w:color w:val="FFFFFF" w:themeColor="background1"/>
          <w:sz w:val="24"/>
          <w:szCs w:val="24"/>
          <w:lang w:val="ru-RU"/>
          <w14:textFill>
            <w14:solidFill>
              <w14:schemeClr w14:val="bg1"/>
            </w14:solidFill>
          </w14:textFill>
        </w:rPr>
        <w:t>2</w:t>
      </w:r>
      <w:r>
        <w:rPr>
          <w:rFonts w:hint="default" w:ascii="Times New Roman" w:hAnsi="Times New Roman" w:cs="Times New Roman"/>
          <w:color w:val="FFFFFF" w:themeColor="background1"/>
          <w:sz w:val="4"/>
          <w:szCs w:val="4"/>
          <w:lang w:val="ru-RU"/>
          <w14:textFill>
            <w14:solidFill>
              <w14:schemeClr w14:val="bg1"/>
            </w14:solidFill>
          </w14:textFill>
        </w:rPr>
        <w:t xml:space="preserve"> часть</w:t>
      </w:r>
      <w:bookmarkEnd w:id="28"/>
      <w:bookmarkEnd w:id="29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30" w:name="_Toc1191"/>
      <w:bookmarkStart w:id="31" w:name="_Toc6671"/>
      <w:r>
        <w:rPr>
          <w:rFonts w:hint="default"/>
          <w:lang w:val="ru-RU"/>
        </w:rPr>
        <w:t>Теорема о множестве всех первообразных</w:t>
      </w:r>
      <w:bookmarkEnd w:id="30"/>
      <w:r>
        <w:drawing>
          <wp:inline distT="0" distB="0" distL="114300" distR="114300">
            <wp:extent cx="5267325" cy="1058545"/>
            <wp:effectExtent l="0" t="0" r="9525" b="8255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32" w:name="_Toc12609"/>
      <w:bookmarkStart w:id="33" w:name="_Toc18227"/>
      <w:r>
        <w:rPr>
          <w:rFonts w:hint="default"/>
          <w:lang w:val="ru-RU"/>
        </w:rPr>
        <w:t>Замена переменной в неопределённом интеграле</w:t>
      </w:r>
      <w:bookmarkEnd w:id="32"/>
      <w:r>
        <w:drawing>
          <wp:inline distT="0" distB="0" distL="114300" distR="114300">
            <wp:extent cx="5229225" cy="1047750"/>
            <wp:effectExtent l="0" t="0" r="9525" b="0"/>
            <wp:docPr id="2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34" w:name="_Toc28272"/>
      <w:bookmarkStart w:id="35" w:name="_Toc12304"/>
      <w:r>
        <w:rPr>
          <w:rFonts w:hint="default"/>
          <w:lang w:val="ru-RU"/>
        </w:rPr>
        <w:t>Интегрирование по частям в неопределённом интеграле</w:t>
      </w:r>
      <w:bookmarkEnd w:id="34"/>
      <w:r>
        <w:drawing>
          <wp:inline distT="0" distB="0" distL="114300" distR="114300">
            <wp:extent cx="5267960" cy="1464310"/>
            <wp:effectExtent l="0" t="0" r="8890" b="2540"/>
            <wp:docPr id="2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36" w:name="_Toc5342"/>
      <w:bookmarkStart w:id="37" w:name="_Toc29644"/>
      <w:r>
        <w:rPr>
          <w:rFonts w:hint="default"/>
          <w:lang w:val="ru-RU"/>
        </w:rPr>
        <w:t>Критерий существования определенного интеграла</w:t>
      </w:r>
      <w:bookmarkEnd w:id="36"/>
      <w:r>
        <w:drawing>
          <wp:inline distT="0" distB="0" distL="114300" distR="114300">
            <wp:extent cx="5269865" cy="645795"/>
            <wp:effectExtent l="0" t="0" r="6985" b="1905"/>
            <wp:docPr id="2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38" w:name="_Toc21207"/>
      <w:bookmarkStart w:id="39" w:name="_Toc16"/>
      <w:r>
        <w:rPr>
          <w:rFonts w:hint="default"/>
          <w:lang w:val="ru-RU"/>
        </w:rPr>
        <w:t>Связь интегрируемости и непрерывности</w:t>
      </w:r>
      <w:bookmarkEnd w:id="38"/>
      <w:r>
        <w:drawing>
          <wp:inline distT="0" distB="0" distL="114300" distR="114300">
            <wp:extent cx="5267325" cy="676275"/>
            <wp:effectExtent l="0" t="0" r="9525" b="9525"/>
            <wp:docPr id="2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0" w:name="_Toc25484"/>
      <w:bookmarkStart w:id="41" w:name="_Toc7558"/>
      <w:r>
        <w:rPr>
          <w:rFonts w:hint="default"/>
          <w:lang w:val="ru-RU"/>
        </w:rPr>
        <w:t>Связь интегрируемости и кусочной непрерывности</w:t>
      </w:r>
      <w:bookmarkEnd w:id="40"/>
      <w:r>
        <w:drawing>
          <wp:inline distT="0" distB="0" distL="114300" distR="114300">
            <wp:extent cx="5268595" cy="515620"/>
            <wp:effectExtent l="0" t="0" r="8255" b="17780"/>
            <wp:docPr id="28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2" w:name="_Toc30265"/>
      <w:bookmarkStart w:id="43" w:name="_Toc25683"/>
      <w:r>
        <w:rPr>
          <w:rFonts w:hint="default"/>
          <w:lang w:val="ru-RU"/>
        </w:rPr>
        <w:t>Линейность интеграла Римана</w:t>
      </w:r>
      <w:bookmarkEnd w:id="42"/>
      <w:r>
        <w:drawing>
          <wp:inline distT="0" distB="0" distL="114300" distR="114300">
            <wp:extent cx="5269865" cy="1248410"/>
            <wp:effectExtent l="0" t="0" r="6985" b="8890"/>
            <wp:docPr id="53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4" w:name="_Toc16530"/>
      <w:bookmarkStart w:id="45" w:name="_Toc7864"/>
      <w:r>
        <w:rPr>
          <w:rFonts w:hint="default"/>
          <w:lang w:val="ru-RU"/>
        </w:rPr>
        <w:t>Аддитивность по промежутку интеграла Римана</w:t>
      </w:r>
      <w:r>
        <w:drawing>
          <wp:inline distT="0" distB="0" distL="114300" distR="114300">
            <wp:extent cx="5269865" cy="1198245"/>
            <wp:effectExtent l="0" t="0" r="6985" b="1905"/>
            <wp:docPr id="50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6" w:name="_Toc12114"/>
      <w:r>
        <w:rPr>
          <w:rFonts w:hint="default"/>
          <w:lang w:val="ru-RU"/>
        </w:rPr>
        <w:t>Первая теорема о среднем</w:t>
      </w:r>
      <w:bookmarkEnd w:id="45"/>
      <w:r>
        <w:drawing>
          <wp:inline distT="0" distB="0" distL="114300" distR="114300">
            <wp:extent cx="5269865" cy="2240915"/>
            <wp:effectExtent l="0" t="0" r="6985" b="6985"/>
            <wp:docPr id="30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7" w:name="_Toc10914"/>
      <w:bookmarkStart w:id="48" w:name="_Toc22604"/>
      <w:r>
        <w:rPr>
          <w:rFonts w:hint="default"/>
          <w:lang w:val="ru-RU"/>
        </w:rPr>
        <w:t>Теорема Барроу</w:t>
      </w:r>
      <w:bookmarkEnd w:id="47"/>
      <w:r>
        <w:drawing>
          <wp:inline distT="0" distB="0" distL="114300" distR="114300">
            <wp:extent cx="5271135" cy="1090295"/>
            <wp:effectExtent l="0" t="0" r="5715" b="14605"/>
            <wp:docPr id="32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49" w:name="_Toc14874"/>
      <w:bookmarkStart w:id="50" w:name="_Toc16029"/>
      <w:r>
        <w:rPr>
          <w:rFonts w:hint="default"/>
          <w:lang w:val="ru-RU"/>
        </w:rPr>
        <w:t>Формула Ньютона-Лейбница</w:t>
      </w:r>
      <w:bookmarkEnd w:id="49"/>
      <w:r>
        <w:drawing>
          <wp:inline distT="0" distB="0" distL="114300" distR="114300">
            <wp:extent cx="5267325" cy="1216660"/>
            <wp:effectExtent l="0" t="0" r="9525" b="2540"/>
            <wp:docPr id="2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51" w:name="_Toc24317"/>
      <w:bookmarkStart w:id="52" w:name="_Toc25887"/>
      <w:r>
        <w:rPr>
          <w:rFonts w:hint="default"/>
          <w:lang w:val="ru-RU"/>
        </w:rPr>
        <w:t>Интегрирование по частям в определенном интеграле</w:t>
      </w:r>
      <w:bookmarkEnd w:id="51"/>
      <w:r>
        <w:drawing>
          <wp:inline distT="0" distB="0" distL="114300" distR="114300">
            <wp:extent cx="5273675" cy="1174115"/>
            <wp:effectExtent l="0" t="0" r="3175" b="6985"/>
            <wp:docPr id="3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08025"/>
            <wp:effectExtent l="0" t="0" r="8255" b="15875"/>
            <wp:docPr id="36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53" w:name="_Toc28574"/>
      <w:bookmarkStart w:id="54" w:name="_Toc11684"/>
      <w:r>
        <w:rPr>
          <w:rFonts w:hint="default"/>
          <w:lang w:val="ru-RU"/>
        </w:rPr>
        <w:t>Замена переменной в определенном интеграле</w:t>
      </w:r>
      <w:bookmarkEnd w:id="53"/>
      <w:r>
        <w:drawing>
          <wp:inline distT="0" distB="0" distL="114300" distR="114300">
            <wp:extent cx="5267325" cy="1258570"/>
            <wp:effectExtent l="0" t="0" r="9525" b="17780"/>
            <wp:docPr id="37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55" w:name="_Toc5197"/>
      <w:bookmarkStart w:id="56" w:name="_Toc1704"/>
      <w:r>
        <w:rPr>
          <w:rFonts w:hint="default"/>
          <w:lang w:val="ru-RU"/>
        </w:rPr>
        <w:t>Интеграл от чётной функции по симметричному промежутку</w:t>
      </w:r>
      <w:bookmarkEnd w:id="55"/>
      <w:r>
        <w:drawing>
          <wp:inline distT="0" distB="0" distL="114300" distR="114300">
            <wp:extent cx="5273675" cy="1226185"/>
            <wp:effectExtent l="0" t="0" r="3175" b="12065"/>
            <wp:docPr id="38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57" w:name="_Toc25918"/>
      <w:bookmarkStart w:id="58" w:name="_Toc28629"/>
      <w:r>
        <w:rPr>
          <w:rFonts w:hint="default"/>
          <w:lang w:val="ru-RU"/>
        </w:rPr>
        <w:t>Интеграл от нечётной функции по симметричному промежутку</w:t>
      </w:r>
      <w:bookmarkEnd w:id="57"/>
      <w:r>
        <w:drawing>
          <wp:inline distT="0" distB="0" distL="114300" distR="114300">
            <wp:extent cx="5268595" cy="1182370"/>
            <wp:effectExtent l="0" t="0" r="8255" b="17780"/>
            <wp:docPr id="39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59" w:name="_Toc11619"/>
      <w:bookmarkStart w:id="60" w:name="_Toc29651"/>
      <w:r>
        <w:rPr>
          <w:rFonts w:hint="default"/>
          <w:lang w:val="ru-RU"/>
        </w:rPr>
        <w:t>Вычисление площади плоской фигуры. Граница задана в декартовых координатах</w:t>
      </w:r>
      <w:bookmarkEnd w:id="59"/>
      <w:r>
        <w:drawing>
          <wp:inline distT="0" distB="0" distL="114300" distR="114300">
            <wp:extent cx="5271135" cy="2101215"/>
            <wp:effectExtent l="0" t="0" r="5715" b="13335"/>
            <wp:docPr id="42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61" w:name="_Toc31802"/>
      <w:bookmarkStart w:id="62" w:name="_Toc5307"/>
      <w:r>
        <w:rPr>
          <w:rFonts w:hint="default"/>
          <w:lang w:val="ru-RU"/>
        </w:rPr>
        <w:t>Вычисление площади плоской фигуры. Граница задана параметрически</w:t>
      </w:r>
      <w:bookmarkEnd w:id="61"/>
      <w:r>
        <w:drawing>
          <wp:inline distT="0" distB="0" distL="114300" distR="114300">
            <wp:extent cx="5272405" cy="3228340"/>
            <wp:effectExtent l="0" t="0" r="4445" b="10160"/>
            <wp:docPr id="43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63" w:name="_Toc20817"/>
      <w:bookmarkStart w:id="64" w:name="_Toc10505"/>
      <w:r>
        <w:rPr>
          <w:rFonts w:hint="default"/>
          <w:lang w:val="ru-RU"/>
        </w:rPr>
        <w:t>Вычисление площади плоской фигуры. Граница задана в полярных координатах</w:t>
      </w:r>
      <w:bookmarkEnd w:id="63"/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5274310" cy="1177925"/>
            <wp:effectExtent l="0" t="0" r="2540" b="3175"/>
            <wp:docPr id="41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65" w:name="_Toc9963"/>
      <w:bookmarkStart w:id="66" w:name="_Toc19968"/>
      <w:r>
        <w:rPr>
          <w:rFonts w:hint="default"/>
          <w:lang w:val="ru-RU"/>
        </w:rPr>
        <w:t>Вычисление длины кривой. Кривая задана в декартовых координатах</w:t>
      </w:r>
      <w:bookmarkEnd w:id="65"/>
      <w:r>
        <w:drawing>
          <wp:inline distT="0" distB="0" distL="114300" distR="114300">
            <wp:extent cx="4205605" cy="2258695"/>
            <wp:effectExtent l="0" t="0" r="4445" b="8255"/>
            <wp:docPr id="44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67" w:name="_Toc6765"/>
      <w:bookmarkStart w:id="68" w:name="_Toc9384"/>
      <w:r>
        <w:rPr>
          <w:rFonts w:hint="default"/>
          <w:lang w:val="ru-RU"/>
        </w:rPr>
        <w:t>Вычисление длины кривой. Кривая задана параметрически</w:t>
      </w:r>
      <w:bookmarkEnd w:id="67"/>
      <w:r>
        <w:drawing>
          <wp:inline distT="0" distB="0" distL="114300" distR="114300">
            <wp:extent cx="3907155" cy="2306955"/>
            <wp:effectExtent l="0" t="0" r="17145" b="17145"/>
            <wp:docPr id="46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69" w:name="_Toc18982"/>
      <w:bookmarkStart w:id="70" w:name="_Toc20089"/>
      <w:r>
        <w:rPr>
          <w:rFonts w:hint="default"/>
          <w:lang w:val="ru-RU"/>
        </w:rPr>
        <w:t>Вычисление длины кривой. Кривая задана в полярных координатах</w:t>
      </w:r>
      <w:bookmarkEnd w:id="69"/>
      <w:r>
        <w:drawing>
          <wp:inline distT="0" distB="0" distL="114300" distR="114300">
            <wp:extent cx="4110355" cy="2233930"/>
            <wp:effectExtent l="0" t="0" r="4445" b="13970"/>
            <wp:docPr id="47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71" w:name="_Toc9901"/>
      <w:bookmarkStart w:id="72" w:name="_Toc3162"/>
      <w:r>
        <w:rPr>
          <w:rFonts w:hint="default"/>
          <w:lang w:val="ru-RU"/>
        </w:rPr>
        <w:t>Вычисление объёма тела вращения</w:t>
      </w:r>
      <w:bookmarkEnd w:id="71"/>
      <w:r>
        <w:drawing>
          <wp:inline distT="0" distB="0" distL="114300" distR="114300">
            <wp:extent cx="5268595" cy="1159510"/>
            <wp:effectExtent l="0" t="0" r="8255" b="2540"/>
            <wp:docPr id="48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73" w:name="_Toc28343"/>
      <w:bookmarkStart w:id="74" w:name="_Toc4780"/>
      <w:r>
        <w:rPr>
          <w:rFonts w:hint="default"/>
          <w:lang w:val="ru-RU"/>
        </w:rPr>
        <w:t>Линейность несобственного интеграла</w:t>
      </w:r>
      <w:bookmarkEnd w:id="73"/>
      <w:r>
        <w:drawing>
          <wp:inline distT="0" distB="0" distL="114300" distR="114300">
            <wp:extent cx="5271770" cy="1878330"/>
            <wp:effectExtent l="0" t="0" r="5080" b="7620"/>
            <wp:docPr id="49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75" w:name="_Toc23469"/>
      <w:bookmarkStart w:id="76" w:name="_Toc10760"/>
      <w:r>
        <w:rPr>
          <w:rFonts w:hint="default"/>
          <w:lang w:val="ru-RU"/>
        </w:rPr>
        <w:t>Аддитивность по промежутку несобственного интеграла</w:t>
      </w:r>
      <w:bookmarkEnd w:id="75"/>
      <w:r>
        <w:drawing>
          <wp:inline distT="0" distB="0" distL="114300" distR="114300">
            <wp:extent cx="5266690" cy="2113915"/>
            <wp:effectExtent l="0" t="0" r="10160" b="635"/>
            <wp:docPr id="51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77" w:name="_Toc27582"/>
      <w:bookmarkStart w:id="78" w:name="_Toc26223"/>
      <w:r>
        <w:rPr>
          <w:rFonts w:hint="default"/>
          <w:lang w:val="ru-RU"/>
        </w:rPr>
        <w:t>Критерий сходимости несобственного интеграла в терминах остатка</w:t>
      </w:r>
      <w:bookmarkEnd w:id="77"/>
      <w:r>
        <w:drawing>
          <wp:inline distT="0" distB="0" distL="114300" distR="114300">
            <wp:extent cx="5267325" cy="1884680"/>
            <wp:effectExtent l="0" t="0" r="9525" b="1270"/>
            <wp:docPr id="52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79" w:name="_Toc1054"/>
      <w:bookmarkStart w:id="80" w:name="_Toc25977"/>
      <w:r>
        <w:rPr>
          <w:rFonts w:hint="default"/>
          <w:lang w:val="ru-RU"/>
        </w:rPr>
        <w:t>Замена переменной в несобственном интеграле</w:t>
      </w:r>
      <w:bookmarkEnd w:id="79"/>
      <w:r>
        <w:drawing>
          <wp:inline distT="0" distB="0" distL="114300" distR="114300">
            <wp:extent cx="5273675" cy="1563370"/>
            <wp:effectExtent l="0" t="0" r="3175" b="17780"/>
            <wp:docPr id="19" name="Изображение 19" descr="ed78cb7f-6abd-456a-a6a2-e5ee13f0c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ed78cb7f-6abd-456a-a6a2-e5ee13f0c29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Start w:id="91" w:name="_GoBack"/>
      <w:bookmarkEnd w:id="91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81" w:name="_Toc14584"/>
      <w:bookmarkStart w:id="82" w:name="_Toc22670"/>
      <w:r>
        <w:rPr>
          <w:rFonts w:hint="default"/>
          <w:lang w:val="ru-RU"/>
        </w:rPr>
        <w:t>Интегрирование по частям в несобственном интеграле</w:t>
      </w:r>
      <w:bookmarkEnd w:id="81"/>
      <w:r>
        <w:drawing>
          <wp:inline distT="0" distB="0" distL="114300" distR="114300">
            <wp:extent cx="6323965" cy="533400"/>
            <wp:effectExtent l="0" t="0" r="635" b="0"/>
            <wp:docPr id="55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83" w:name="_Toc22893"/>
      <w:bookmarkStart w:id="84" w:name="_Toc18402"/>
      <w:r>
        <w:rPr>
          <w:rFonts w:hint="default"/>
          <w:lang w:val="ru-RU"/>
        </w:rPr>
        <w:t>Критерий сходимости несобственного интеграла от положительной функции</w:t>
      </w:r>
      <w:bookmarkEnd w:id="83"/>
      <w:bookmarkEnd w:id="84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85" w:name="_Toc20530"/>
      <w:bookmarkStart w:id="86" w:name="_Toc5280"/>
      <w:r>
        <w:rPr>
          <w:rFonts w:hint="default"/>
          <w:lang w:val="ru-RU"/>
        </w:rPr>
        <w:t>Первый признак сравнения (с неравенством) для несобственного интеграла</w:t>
      </w:r>
      <w:bookmarkEnd w:id="85"/>
      <w:r>
        <w:drawing>
          <wp:inline distT="0" distB="0" distL="114300" distR="114300">
            <wp:extent cx="6339840" cy="3327400"/>
            <wp:effectExtent l="0" t="0" r="3810" b="6350"/>
            <wp:docPr id="56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87" w:name="_Toc25573"/>
      <w:bookmarkStart w:id="88" w:name="_Toc16619"/>
      <w:r>
        <w:rPr>
          <w:rFonts w:hint="default"/>
          <w:lang w:val="ru-RU"/>
        </w:rPr>
        <w:t>Второй признак сравнения (предельный) для несобственного интеграла</w:t>
      </w:r>
      <w:bookmarkEnd w:id="87"/>
      <w:r>
        <w:drawing>
          <wp:inline distT="0" distB="0" distL="114300" distR="114300">
            <wp:extent cx="6231890" cy="3609340"/>
            <wp:effectExtent l="0" t="0" r="16510" b="10160"/>
            <wp:docPr id="57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3"/>
        <w:numPr>
          <w:ilvl w:val="0"/>
          <w:numId w:val="2"/>
        </w:numPr>
        <w:bidi w:val="0"/>
        <w:rPr>
          <w:rFonts w:hint="default"/>
          <w:lang w:val="ru-RU"/>
        </w:rPr>
      </w:pPr>
      <w:bookmarkStart w:id="89" w:name="_Toc32636"/>
      <w:bookmarkStart w:id="90" w:name="_Toc7274"/>
      <w:r>
        <w:rPr>
          <w:rFonts w:hint="default"/>
          <w:lang w:val="ru-RU"/>
        </w:rPr>
        <w:t>Признак абсолютной сходимости для несобственного интеграла</w:t>
      </w:r>
      <w:bookmarkEnd w:id="89"/>
      <w:r>
        <w:drawing>
          <wp:inline distT="0" distB="0" distL="114300" distR="114300">
            <wp:extent cx="6332220" cy="3517265"/>
            <wp:effectExtent l="0" t="0" r="11430" b="6985"/>
            <wp:docPr id="58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F89345"/>
    <w:multiLevelType w:val="singleLevel"/>
    <w:tmpl w:val="37F8934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85A4226"/>
    <w:multiLevelType w:val="singleLevel"/>
    <w:tmpl w:val="785A4226"/>
    <w:lvl w:ilvl="0" w:tentative="0">
      <w:start w:val="1"/>
      <w:numFmt w:val="decimal"/>
      <w:suff w:val="space"/>
      <w:lvlText w:val="%1."/>
      <w:lvlJc w:val="left"/>
      <w:rPr>
        <w:rFonts w:hint="default"/>
        <w:sz w:val="28"/>
        <w:szCs w:val="28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95748D"/>
    <w:rsid w:val="004277C9"/>
    <w:rsid w:val="0057559E"/>
    <w:rsid w:val="00F02299"/>
    <w:rsid w:val="015B325B"/>
    <w:rsid w:val="01952A27"/>
    <w:rsid w:val="01F53D45"/>
    <w:rsid w:val="02385AB4"/>
    <w:rsid w:val="02466FC8"/>
    <w:rsid w:val="02F900F0"/>
    <w:rsid w:val="03602F97"/>
    <w:rsid w:val="040E7907"/>
    <w:rsid w:val="04575AAE"/>
    <w:rsid w:val="04B03BBE"/>
    <w:rsid w:val="05A84156"/>
    <w:rsid w:val="06A76277"/>
    <w:rsid w:val="081C745E"/>
    <w:rsid w:val="09C71698"/>
    <w:rsid w:val="0A476D70"/>
    <w:rsid w:val="0A8E1461"/>
    <w:rsid w:val="0B553428"/>
    <w:rsid w:val="0CA17BC7"/>
    <w:rsid w:val="0E21650D"/>
    <w:rsid w:val="0E39220B"/>
    <w:rsid w:val="0F763E6D"/>
    <w:rsid w:val="10C6551E"/>
    <w:rsid w:val="12E54A8E"/>
    <w:rsid w:val="135F6956"/>
    <w:rsid w:val="16B212CB"/>
    <w:rsid w:val="17191F74"/>
    <w:rsid w:val="176B0033"/>
    <w:rsid w:val="17C15C05"/>
    <w:rsid w:val="183C5DAA"/>
    <w:rsid w:val="18DF05DB"/>
    <w:rsid w:val="192F165F"/>
    <w:rsid w:val="197E4C62"/>
    <w:rsid w:val="19D5786F"/>
    <w:rsid w:val="1AD47792"/>
    <w:rsid w:val="1BB61628"/>
    <w:rsid w:val="1C1C2FAC"/>
    <w:rsid w:val="1C833C55"/>
    <w:rsid w:val="1CE252F3"/>
    <w:rsid w:val="1D8D1F09"/>
    <w:rsid w:val="1DB22149"/>
    <w:rsid w:val="1E8930A5"/>
    <w:rsid w:val="1EBE5AFE"/>
    <w:rsid w:val="1EE45D3E"/>
    <w:rsid w:val="1F034F6D"/>
    <w:rsid w:val="1FB94A9C"/>
    <w:rsid w:val="1FCE67F9"/>
    <w:rsid w:val="202905D3"/>
    <w:rsid w:val="219168A1"/>
    <w:rsid w:val="22563522"/>
    <w:rsid w:val="245473A9"/>
    <w:rsid w:val="24A63930"/>
    <w:rsid w:val="2695748D"/>
    <w:rsid w:val="26FD3A84"/>
    <w:rsid w:val="27342114"/>
    <w:rsid w:val="275D7321"/>
    <w:rsid w:val="27C351B9"/>
    <w:rsid w:val="27D40264"/>
    <w:rsid w:val="28CF5004"/>
    <w:rsid w:val="28D33A0A"/>
    <w:rsid w:val="29C9741A"/>
    <w:rsid w:val="29EE1BD8"/>
    <w:rsid w:val="2B436C87"/>
    <w:rsid w:val="2B960C8F"/>
    <w:rsid w:val="2BCD0DE9"/>
    <w:rsid w:val="2CA568CE"/>
    <w:rsid w:val="2CD10A17"/>
    <w:rsid w:val="2D4D3D4C"/>
    <w:rsid w:val="2DD02B38"/>
    <w:rsid w:val="2DE10854"/>
    <w:rsid w:val="2E755845"/>
    <w:rsid w:val="2EDC64EE"/>
    <w:rsid w:val="2FD00080"/>
    <w:rsid w:val="304F63CF"/>
    <w:rsid w:val="32165D3B"/>
    <w:rsid w:val="33604A58"/>
    <w:rsid w:val="336978E6"/>
    <w:rsid w:val="34DD74E5"/>
    <w:rsid w:val="360F68C0"/>
    <w:rsid w:val="36782A6C"/>
    <w:rsid w:val="36E3211C"/>
    <w:rsid w:val="38CF6444"/>
    <w:rsid w:val="392D67DD"/>
    <w:rsid w:val="39511E95"/>
    <w:rsid w:val="3A5F45D1"/>
    <w:rsid w:val="3A8E5120"/>
    <w:rsid w:val="3BCC25A9"/>
    <w:rsid w:val="3C5C6615"/>
    <w:rsid w:val="3CCC59CF"/>
    <w:rsid w:val="3CD766E6"/>
    <w:rsid w:val="3D446913"/>
    <w:rsid w:val="3E985F3F"/>
    <w:rsid w:val="3EFE1167"/>
    <w:rsid w:val="3F4E50D7"/>
    <w:rsid w:val="3FBA5A1E"/>
    <w:rsid w:val="3FE710E5"/>
    <w:rsid w:val="40942502"/>
    <w:rsid w:val="40957F84"/>
    <w:rsid w:val="41864563"/>
    <w:rsid w:val="41E6662C"/>
    <w:rsid w:val="42233247"/>
    <w:rsid w:val="42A32262"/>
    <w:rsid w:val="42E63FD0"/>
    <w:rsid w:val="431B31A5"/>
    <w:rsid w:val="43DB57E2"/>
    <w:rsid w:val="44DA5705"/>
    <w:rsid w:val="44EC56F4"/>
    <w:rsid w:val="466B6D95"/>
    <w:rsid w:val="46814BAF"/>
    <w:rsid w:val="46EF156C"/>
    <w:rsid w:val="483C1C86"/>
    <w:rsid w:val="484C72AA"/>
    <w:rsid w:val="48D92391"/>
    <w:rsid w:val="494F7DD2"/>
    <w:rsid w:val="49DE41BE"/>
    <w:rsid w:val="49EA3854"/>
    <w:rsid w:val="4B0C4228"/>
    <w:rsid w:val="4C4105CF"/>
    <w:rsid w:val="4C855396"/>
    <w:rsid w:val="4E8B0A28"/>
    <w:rsid w:val="4EBE17BD"/>
    <w:rsid w:val="4FBC3C5F"/>
    <w:rsid w:val="504C44C2"/>
    <w:rsid w:val="50763D89"/>
    <w:rsid w:val="509645F0"/>
    <w:rsid w:val="511D718F"/>
    <w:rsid w:val="51532A7B"/>
    <w:rsid w:val="52CB6DE5"/>
    <w:rsid w:val="52FC308C"/>
    <w:rsid w:val="5363025D"/>
    <w:rsid w:val="54183203"/>
    <w:rsid w:val="543F0EC5"/>
    <w:rsid w:val="568E7490"/>
    <w:rsid w:val="57840CA1"/>
    <w:rsid w:val="57AA6963"/>
    <w:rsid w:val="586D0C1F"/>
    <w:rsid w:val="58FC2A8C"/>
    <w:rsid w:val="5A7B6781"/>
    <w:rsid w:val="5C366A56"/>
    <w:rsid w:val="5C4F0418"/>
    <w:rsid w:val="5C9B595F"/>
    <w:rsid w:val="5F0B56FE"/>
    <w:rsid w:val="5F110489"/>
    <w:rsid w:val="60923DFD"/>
    <w:rsid w:val="6109636D"/>
    <w:rsid w:val="61D66A13"/>
    <w:rsid w:val="63AA1E11"/>
    <w:rsid w:val="63BF6533"/>
    <w:rsid w:val="63D0424F"/>
    <w:rsid w:val="65BA59D0"/>
    <w:rsid w:val="66A51887"/>
    <w:rsid w:val="6842701C"/>
    <w:rsid w:val="6861624C"/>
    <w:rsid w:val="68633281"/>
    <w:rsid w:val="6B192F42"/>
    <w:rsid w:val="6B570828"/>
    <w:rsid w:val="6DD134BB"/>
    <w:rsid w:val="6FD85E0E"/>
    <w:rsid w:val="70253F75"/>
    <w:rsid w:val="707B5618"/>
    <w:rsid w:val="72B36182"/>
    <w:rsid w:val="734E63BA"/>
    <w:rsid w:val="73880040"/>
    <w:rsid w:val="754A4EFB"/>
    <w:rsid w:val="7556678F"/>
    <w:rsid w:val="75A07E88"/>
    <w:rsid w:val="75CB1FD1"/>
    <w:rsid w:val="76384B84"/>
    <w:rsid w:val="76B50DB9"/>
    <w:rsid w:val="77361C9C"/>
    <w:rsid w:val="77430539"/>
    <w:rsid w:val="779E794E"/>
    <w:rsid w:val="77E34BBF"/>
    <w:rsid w:val="78FC6FE9"/>
    <w:rsid w:val="796D68C4"/>
    <w:rsid w:val="7A124E54"/>
    <w:rsid w:val="7A6029D5"/>
    <w:rsid w:val="7ABB6566"/>
    <w:rsid w:val="7C2F774D"/>
    <w:rsid w:val="7C937471"/>
    <w:rsid w:val="7DED6109"/>
    <w:rsid w:val="7ED515D7"/>
    <w:rsid w:val="7F2D6DB5"/>
    <w:rsid w:val="7FF0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2024-03-29T16:03:00Z</dcterms:created>
  <dc:creator>artyo</dc:creator>
  <cp:lastModifiedBy>Артём</cp:lastModifiedBy>
  <dcterms:modified xsi:type="dcterms:W3CDTF">2024-04-07T12:11:09Z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13FD33A6DA3C4BFC8348C7897B0F9529_11</vt:lpwstr>
  </property>
</Properties>
</file>