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itre-9-les-générateurs"/>
    <w:p>
      <w:pPr>
        <w:pStyle w:val="Heading1"/>
        <w:pageBreakBefore/>
      </w:pPr>
      <w:r>
        <w:t xml:space="preserve">Chapitre 9 : Les générateurs</w:t>
      </w:r>
    </w:p>
    <w:p>
      <w:pPr>
        <w:pStyle w:val="FirstParagraph"/>
      </w:pPr>
      <w:r>
        <w:t xml:space="preserve">Les générateurs permettent de produire des séquences de valeurs à la demande sans stocker l’intégralité des données en mémoire. Maîtriser ces concepts est indispensable pour optimiser l’efficacité de vos programmes lors du traitement de grands volumes d’informations.</w:t>
      </w:r>
      <w:r>
        <w:t xml:space="preserve"> </w:t>
      </w:r>
      <w:r>
        <w:t xml:space="preserve">Dans ce chapitre :</w:t>
      </w:r>
    </w:p>
    <w:p>
      <w:pPr>
        <w:numPr>
          <w:ilvl w:val="0"/>
          <w:numId w:val="1001"/>
        </w:numPr>
      </w:pPr>
      <w:r>
        <w:t xml:space="preserve">Boucle et instruction</w:t>
      </w:r>
      <w:r>
        <w:t xml:space="preserve"> </w:t>
      </w:r>
      <w:r>
        <w:rPr>
          <w:rStyle w:val="VerbatimChar"/>
        </w:rPr>
        <w:t xml:space="preserve">yield</w:t>
      </w:r>
    </w:p>
    <w:p>
      <w:pPr>
        <w:numPr>
          <w:ilvl w:val="0"/>
          <w:numId w:val="1001"/>
        </w:numPr>
      </w:pPr>
      <w:r>
        <w:t xml:space="preserve">Générateurs prédéfinis</w:t>
      </w:r>
    </w:p>
    <w:p>
      <w:r>
        <w:pict>
          <v:rect style="width:0;height:1.5pt" o:hralign="center" o:hrstd="t" o:hr="t"/>
        </w:pict>
      </w:r>
    </w:p>
    <w:bookmarkStart w:id="20" w:name="boucle-et-instruction-yield"/>
    <w:p>
      <w:pPr>
        <w:pStyle w:val="Heading2"/>
      </w:pPr>
      <w:r>
        <w:t xml:space="preserve">Boucle et instruction yield</w:t>
      </w:r>
    </w:p>
    <w:p>
      <w:pPr>
        <w:pStyle w:val="FirstParagraph"/>
      </w:pPr>
      <w:r>
        <w:t xml:space="preserve">L’instruction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permet à une fonction de retourner une valeur tout en suspendant son état d’exécution, transformant ainsi la fonction en un générateur capable de reprendre là où il s’était arrêté.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Définition d'une fonction génératrice simple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generer_nombres(limite):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 Contrairement à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l’instruction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conserve l’état local de la fonction entre chaque itération, ce qui économise considérablement la mémoire vive.</w:t>
      </w:r>
    </w:p>
    <w:p>
      <w:r>
        <w:pict>
          <v:rect style="width:0;height:1.5pt" o:hralign="center" o:hrstd="t" o:hr="t"/>
        </w:pict>
      </w:r>
    </w:p>
    <w:bookmarkEnd w:id="20"/>
    <w:bookmarkStart w:id="21" w:name="générateur-prédéfinis"/>
    <w:p>
      <w:pPr>
        <w:pStyle w:val="Heading2"/>
      </w:pPr>
      <w:r>
        <w:t xml:space="preserve">Générateur prédéfinis</w:t>
      </w:r>
    </w:p>
    <w:p>
      <w:pPr>
        <w:pStyle w:val="FirstParagraph"/>
      </w:pPr>
      <w:r>
        <w:t xml:space="preserve">Les générateurs prédéfinis englobent les expressions génératrices et les structures intégrées de Python qui produisent des flux d’éléments de manière paresseuse, évitant l’allocation préalable d’une collection complète.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Utilisation d'une expression génératrice pour un calcul optimisé en mémoire</w:t>
      </w:r>
      <w:r>
        <w:br/>
      </w:r>
      <w:r>
        <w:rPr>
          <w:rStyle w:val="NormalTok"/>
        </w:rPr>
        <w:t xml:space="preserve">carres_gen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premier_element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(carres_gen)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 Privilégiez les expressions génératrices entre parenthèses plutôt que les compréhensions de listes dès que vous manipulez des flux volumineux dont vous n’avez pas besoin de stocker l’ensemble des résultats simultanément.</w:t>
      </w:r>
    </w:p>
    <w:p>
      <w:r>
        <w:pict>
          <v:rect style="width:0;height:1.5pt" o:hralign="center" o:hrstd="t" o:hr="t"/>
        </w:pict>
      </w:r>
    </w:p>
    <w:bookmarkEnd w:id="21"/>
    <w:bookmarkStart w:id="22" w:name="exemple-de-synthèse"/>
    <w:p>
      <w:pPr>
        <w:pStyle w:val="Heading2"/>
      </w:pPr>
      <w:r>
        <w:t xml:space="preserve">Exemple de synthèse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Programme complet combinant la création d'un générateur avec yield et un générateur prédéfini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lecteur_lignes_simule(donnees):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"""Générateur personnalisé pour traiter des lignes de texte à la demande."""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ligne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donnees: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Instruction yield pour suspendre et renvoyer la ligne nettoyée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ligne.strip().upper()</w:t>
      </w:r>
      <w:r>
        <w:br/>
      </w:r>
      <w:r>
        <w:br/>
      </w:r>
      <w:r>
        <w:rPr>
          <w:rStyle w:val="NormalTok"/>
        </w:rPr>
        <w:t xml:space="preserve">flux_brut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  premiere ligne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seconde ligne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troisieme ligne  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Utilisation du générateur personnalisé</w:t>
      </w:r>
      <w:r>
        <w:br/>
      </w:r>
      <w:r>
        <w:rPr>
          <w:rStyle w:val="NormalTok"/>
        </w:rPr>
        <w:t xml:space="preserve">gen_personnalise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lecteur_lignes_simule(flux_brut)</w:t>
      </w:r>
      <w:r>
        <w:br/>
      </w:r>
      <w:r>
        <w:br/>
      </w:r>
      <w:r>
        <w:rPr>
          <w:rStyle w:val="CommentTok"/>
        </w:rPr>
        <w:t xml:space="preserve"># Utilisation d'un générateur prédéfini (enumerate) associé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texte_traite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(gen_personnalise,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f"Ligne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texte_traite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exercices"/>
    <w:p>
      <w:pPr>
        <w:pStyle w:val="Heading2"/>
      </w:pPr>
      <w:r>
        <w:t xml:space="preserve">Exercices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Exercice 1 :</w:t>
      </w:r>
      <w:r>
        <w:t xml:space="preserve"> </w:t>
      </w:r>
      <w:r>
        <w:t xml:space="preserve">Écrivez une fonction génératrice utilisant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pour produire les nombres pairs jusqu’à une limite passée en paramètre, puis parcourez ce générateur avec une boucle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Exercice 2 :</w:t>
      </w:r>
      <w:r>
        <w:t xml:space="preserve"> </w:t>
      </w:r>
      <w:r>
        <w:t xml:space="preserve">Créez une expression génératrice qui calcule les carrés des nombres de 1 à 10, et récupérez les valeurs un par un à l’aide de la fonction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60"/>
    </w:pPr>
    <w:rPr>
      <w:rFonts w:ascii="Cambria" w:hAnsi="Cambria"/>
      <w:color w:val="2F3542"/>
      <w:sz w:val="23"/>
    </w:rPr>
  </w:style>
  <w:style w:styleId="BodyText" w:type="paragraph">
    <w:name w:val="Body Text"/>
    <w:basedOn w:val="Normal"/>
    <w:link w:val="BodyTextChar"/>
    <w:pPr>
      <w:spacing w:after="160" w:before="180" w:line="300" w:lineRule="auto"/>
    </w:pPr>
    <w:qFormat/>
    <w:rPr>
      <w:rFonts w:ascii="Cambria" w:hAnsi="Cambria"/>
      <w:color w:val="2F3542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 w:after="160"/>
    </w:pPr>
    <w:rPr>
      <w:rFonts w:ascii="Cambria" w:hAnsi="Cambria"/>
      <w:color w:val="2F3542"/>
      <w:sz w:val="23"/>
    </w:rPr>
  </w:style>
  <w:style w:customStyle="1" w:styleId="Compact" w:type="paragraph">
    <w:name w:val="Compact"/>
    <w:basedOn w:val="BodyText"/>
    <w:qFormat/>
    <w:pPr>
      <w:spacing w:after="160" w:before="36" w:line="300" w:lineRule="auto"/>
    </w:pPr>
    <w:rPr>
      <w:rFonts w:ascii="Cambria" w:hAnsi="Cambria"/>
      <w:color w:val="2F3542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360" w:before="0"/>
      <w:outlineLvl w:val="0"/>
    </w:pPr>
    <w:rPr>
      <w:rFonts w:asciiTheme="majorHAnsi" w:cstheme="majorBidi" w:eastAsiaTheme="majorEastAsia" w:hAnsiTheme="majorHAnsi" w:ascii="Calibri" w:hAnsi="Calibri"/>
      <w:b/>
      <w:bCs/>
      <w:color w:val="2C3E50"/>
      <w:sz w:val="5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440"/>
      <w:outlineLvl w:val="1"/>
    </w:pPr>
    <w:rPr>
      <w:rFonts w:asciiTheme="majorHAnsi" w:cstheme="majorBidi" w:eastAsiaTheme="majorEastAsia" w:hAnsiTheme="majorHAnsi" w:ascii="Calibri" w:hAnsi="Calibri"/>
      <w:b/>
      <w:bCs/>
      <w:color w:val="C0502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i/>
      <w:color w:val="216E9C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F3542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2026-09-02T22:33:52Z</dcterms:created>
  <dcterms:modified xsi:type="dcterms:W3CDTF">2026-09-02T22:33:52Z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