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apitre-11-les-générateurs"/>
    <w:p>
      <w:pPr>
        <w:pStyle w:val="Heading1"/>
        <w:pageBreakBefore/>
      </w:pPr>
      <w:r>
        <w:t xml:space="preserve">Chapitre 11 : Les générateurs</w:t>
      </w:r>
    </w:p>
    <w:p>
      <w:pPr>
        <w:pStyle w:val="FirstParagraph"/>
      </w:pPr>
      <w:r>
        <w:t xml:space="preserve">Les générateurs permettent de produire des séquences de valeurs à la demande sans stocker l’intégralité des données en mémoire. Maîtriser ces concepts est indispensable pour optimiser l’efficacité de vos programmes lors du traitement de grands volumes d’informations.</w:t>
      </w:r>
      <w:r>
        <w:t xml:space="preserve"> </w:t>
      </w:r>
      <w:r>
        <w:t xml:space="preserve">Dans ce chapitre :</w:t>
      </w:r>
    </w:p>
    <w:p>
      <w:pPr>
        <w:numPr>
          <w:ilvl w:val="0"/>
          <w:numId w:val="1001"/>
        </w:numPr>
      </w:pPr>
      <w:r>
        <w:t xml:space="preserve">Boucle et instruction</w:t>
      </w:r>
      <w:r>
        <w:t xml:space="preserve"> </w:t>
      </w:r>
      <w:r>
        <w:rPr>
          <w:rStyle w:val="VerbatimChar"/>
        </w:rPr>
        <w:t xml:space="preserve">yield</w:t>
      </w:r>
    </w:p>
    <w:p>
      <w:pPr>
        <w:numPr>
          <w:ilvl w:val="0"/>
          <w:numId w:val="1001"/>
        </w:numPr>
      </w:pPr>
      <w:r>
        <w:t xml:space="preserve">Générateurs prédéfinis</w:t>
      </w:r>
    </w:p>
    <w:p>
      <w:r>
        <w:pict>
          <v:rect style="width:0;height:1.5pt" o:hralign="center" o:hrstd="t" o:hr="t"/>
        </w:pict>
      </w:r>
    </w:p>
    <w:bookmarkStart w:id="20" w:name="boucle-et-instruction-yield"/>
    <w:p>
      <w:pPr>
        <w:pStyle w:val="Heading2"/>
      </w:pPr>
      <w:r>
        <w:t xml:space="preserve">Boucle et instruction yield</w:t>
      </w:r>
    </w:p>
    <w:p>
      <w:pPr>
        <w:pStyle w:val="FirstParagraph"/>
      </w:pPr>
      <w:r>
        <w:t xml:space="preserve">L’instruction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permet à une fonction de retourner une valeur tout en suspendant son état d’exécution, transformant ainsi la fonction en un générateur capable de reprendre là où il s’était arrêté.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Définition d'une fonction génératrice simple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generer_nombres(limite):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limite: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BlockText"/>
        <w:shd w:val="clear" w:color="auto" w:fill="EAF6FB"/>
        <w:spacing w:before="100" w:after="100"/>
        <w:ind w:left="180" w:right="180"/>
        <w:pBdr>
          <w:left w:val="single" w:sz="18" w:space="8" w:color="2980B9"/>
        </w:pBdr>
      </w:pPr>
      <w:r>
        <w:t xml:space="preserve">💡 Contrairement à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l’instruction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conserve l’état local de la fonction entre chaque itération, ce qui économise considérablement la mémoire vive.</w:t>
      </w:r>
    </w:p>
    <w:p>
      <w:r>
        <w:pict>
          <v:rect style="width:0;height:1.5pt" o:hralign="center" o:hrstd="t" o:hr="t"/>
        </w:pict>
      </w:r>
    </w:p>
    <w:bookmarkEnd w:id="20"/>
    <w:bookmarkStart w:id="21" w:name="générateur-prédéfinis"/>
    <w:p>
      <w:pPr>
        <w:pStyle w:val="Heading2"/>
      </w:pPr>
      <w:r>
        <w:t xml:space="preserve">Générateur prédéfinis</w:t>
      </w:r>
    </w:p>
    <w:p>
      <w:pPr>
        <w:pStyle w:val="FirstParagraph"/>
      </w:pPr>
      <w:r>
        <w:t xml:space="preserve">Les générateurs prédéfinis englobent les expressions génératrices et les structures intégrées de Python qui produisent des flux d’éléments de manière paresseuse, évitant l’allocation préalable d’une collection complète.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Utilisation d'une expression génératrice pour un calcul optimisé en mémoire</w:t>
      </w:r>
      <w:r>
        <w:br/>
      </w:r>
      <w:r>
        <w:rPr>
          <w:rStyle w:val="NormalTok"/>
        </w:rPr>
        <w:t xml:space="preserve">carres_gen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premier_element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(carres_gen)</w:t>
      </w:r>
    </w:p>
    <w:p>
      <w:pPr>
        <w:pStyle w:val="BlockText"/>
        <w:shd w:val="clear" w:color="auto" w:fill="EAF6FB"/>
        <w:spacing w:before="100" w:after="100"/>
        <w:ind w:left="180" w:right="180"/>
        <w:pBdr>
          <w:left w:val="single" w:sz="18" w:space="8" w:color="2980B9"/>
        </w:pBdr>
      </w:pPr>
      <w:r>
        <w:t xml:space="preserve">💡 Privilégiez les expressions génératrices entre parenthèses plutôt que les compréhensions de listes dès que vous manipulez des flux volumineux dont vous n’avez pas besoin de stocker l’ensemble des résultats simultanément.</w:t>
      </w:r>
    </w:p>
    <w:p>
      <w:r>
        <w:pict>
          <v:rect style="width:0;height:1.5pt" o:hralign="center" o:hrstd="t" o:hr="t"/>
        </w:pict>
      </w:r>
    </w:p>
    <w:bookmarkEnd w:id="21"/>
    <w:bookmarkStart w:id="23" w:name="exemple-de-synthèse"/>
    <w:p>
      <w:pPr>
        <w:pStyle w:val="Heading2"/>
      </w:pPr>
      <w:r>
        <w:t xml:space="preserve">Exemple de synthèse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Programme complet combinant la création d'un générateur avec yield et un générateur prédéfini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lecteur_lignes_simule(donnees):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"""Générateur personnalisé pour traiter des lignes de texte à la demande."""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ligne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donnees: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Instruction yield pour suspendre et renvoyer la ligne nettoyée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ligne.strip().upper()</w:t>
      </w:r>
      <w:r>
        <w:br/>
      </w:r>
      <w:r>
        <w:br/>
      </w:r>
      <w:r>
        <w:rPr>
          <w:rStyle w:val="NormalTok"/>
        </w:rPr>
        <w:t xml:space="preserve">flux_brut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  premiere ligne 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 seconde ligne 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 troisieme ligne  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Utilisation du générateur personnalisé</w:t>
      </w:r>
      <w:r>
        <w:br/>
      </w:r>
      <w:r>
        <w:rPr>
          <w:rStyle w:val="NormalTok"/>
        </w:rPr>
        <w:t xml:space="preserve">gen_personnalise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lecteur_lignes_simule(flux_brut)</w:t>
      </w:r>
      <w:r>
        <w:br/>
      </w:r>
      <w:r>
        <w:br/>
      </w:r>
      <w:r>
        <w:rPr>
          <w:rStyle w:val="CommentTok"/>
        </w:rPr>
        <w:t xml:space="preserve"># Utilisation d'un générateur prédéfini (enumerate) associé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index, texte_traite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(gen_personnalise,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f"Ligne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texte_traite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Start w:id="22" w:name="exercices-de-fin-de-chapitre"/>
    <w:p>
      <w:pPr>
        <w:pStyle w:val="Heading3"/>
      </w:pPr>
      <w:r>
        <w:t xml:space="preserve">Exercices de fin de chapitre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Exercice 1 :</w:t>
      </w:r>
      <w:r>
        <w:t xml:space="preserve"> </w:t>
      </w:r>
      <w:r>
        <w:t xml:space="preserve">Écrivez une fonction génératrice utilisant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pour produire les nombres pairs jusqu’à une limite passée en paramètre, puis parcourez ce générateur avec une boucle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Exercice 2 :</w:t>
      </w:r>
      <w:r>
        <w:t xml:space="preserve"> </w:t>
      </w:r>
      <w:r>
        <w:t xml:space="preserve">Créez une expression génératrice qui calcule les carrés des nombres de 1 à 10, et récupérez les valeurs un par un à l’aide de la fonction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.</w:t>
      </w:r>
    </w:p>
    <w:bookmarkEnd w:id="22"/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160"/>
    </w:pPr>
    <w:rPr>
      <w:rFonts w:ascii="Cambria" w:hAnsi="Cambria"/>
      <w:color w:val="2F3542"/>
      <w:sz w:val="23"/>
    </w:rPr>
  </w:style>
  <w:style w:styleId="BodyText" w:type="paragraph">
    <w:name w:val="Body Text"/>
    <w:basedOn w:val="Normal"/>
    <w:link w:val="BodyTextChar"/>
    <w:pPr>
      <w:spacing w:after="160" w:before="180" w:line="300" w:lineRule="auto"/>
    </w:pPr>
    <w:qFormat/>
    <w:rPr>
      <w:rFonts w:ascii="Cambria" w:hAnsi="Cambria"/>
      <w:color w:val="2F3542"/>
      <w:sz w:val="23"/>
    </w:rPr>
  </w:style>
  <w:style w:customStyle="1" w:styleId="FirstParagraph" w:type="paragraph">
    <w:name w:val="First Paragraph"/>
    <w:basedOn w:val="BodyText"/>
    <w:next w:val="BodyText"/>
    <w:qFormat/>
    <w:pPr>
      <w:spacing w:line="300" w:lineRule="auto" w:after="160"/>
    </w:pPr>
    <w:rPr>
      <w:rFonts w:ascii="Cambria" w:hAnsi="Cambria"/>
      <w:color w:val="2F3542"/>
      <w:sz w:val="23"/>
    </w:rPr>
  </w:style>
  <w:style w:customStyle="1" w:styleId="Compact" w:type="paragraph">
    <w:name w:val="Compact"/>
    <w:basedOn w:val="BodyText"/>
    <w:qFormat/>
    <w:pPr>
      <w:spacing w:after="160" w:before="36" w:line="300" w:lineRule="auto"/>
    </w:pPr>
    <w:rPr>
      <w:rFonts w:ascii="Cambria" w:hAnsi="Cambria"/>
      <w:color w:val="2F3542"/>
      <w:sz w:val="23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360" w:before="0"/>
      <w:outlineLvl w:val="0"/>
    </w:pPr>
    <w:rPr>
      <w:rFonts w:asciiTheme="majorHAnsi" w:cstheme="majorBidi" w:eastAsiaTheme="majorEastAsia" w:hAnsiTheme="majorHAnsi" w:ascii="Calibri" w:hAnsi="Calibri"/>
      <w:b/>
      <w:bCs/>
      <w:color w:val="2C3E50"/>
      <w:sz w:val="5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440"/>
      <w:outlineLvl w:val="1"/>
    </w:pPr>
    <w:rPr>
      <w:rFonts w:asciiTheme="majorHAnsi" w:cstheme="majorBidi" w:eastAsiaTheme="majorEastAsia" w:hAnsiTheme="majorHAnsi" w:ascii="Calibri" w:hAnsi="Calibri"/>
      <w:b/>
      <w:bCs/>
      <w:color w:val="C0502D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i/>
      <w:color w:val="216E9C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color w:val="2F3542"/>
      <w:sz w:val="19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2026-09-04T13:49:54Z</dcterms:created>
  <dcterms:modified xsi:type="dcterms:W3CDTF">2026-09-04T13:49:54Z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