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Subtitle"/>
      </w:pPr>
      <w:r>
        <w:t xml:space="preserve">Harbourside City Council</w:t>
      </w:r>
    </w:p>
    <w:p>
      <w:pPr>
        <w:pStyle w:val="Heading2"/>
      </w:pPr>
      <w:r>
        <w:t xml:space="preserve">Request for Quotation</w:t>
      </w:r>
    </w:p>
    <w:p>
      <w:pPr>
        <w:pStyle w:val="Title"/>
      </w:pPr>
      <w:r>
        <w:t xml:space="preserve">Customer Portal Discovery and Roadmap</w:t>
      </w:r>
    </w:p>
    <w:p>
      <w:pPr>
        <w:pStyle w:val="Normal"/>
      </w:pPr>
      <w:r>
        <w:t xml:space="preserve">RFQ Reference: HCC-RFQ-2026-19</w:t>
      </w:r>
    </w:p>
    <w:p>
      <w:pPr>
        <w:pStyle w:val="Normal"/>
      </w:pPr>
      <w:r>
        <w:t xml:space="preserve">Closing time: 2:00 pm AEDT, Wednesday 28 October 2026</w:t>
      </w:r>
    </w:p>
    <w:p>
      <w:pPr>
        <w:pStyle w:val="Normal"/>
      </w:pPr>
      <w:r>
        <w:t xml:space="preserve">Quotations must be lodged through the Council’s eProcurement portal.</w:t>
      </w:r>
    </w:p>
    <w:p>
      <w:pPr>
        <w:pStyle w:val="Heading1"/>
      </w:pPr>
      <w:r>
        <w:t xml:space="preserve">1. Background</w:t>
      </w:r>
    </w:p>
    <w:p>
      <w:pPr>
        <w:pStyle w:val="Normal"/>
      </w:pPr>
      <w:r>
        <w:t xml:space="preserve">1.1 The Council receives 180,000 customer requests each year, two thirds of them by phone. It launched an online portal in 2024 and now wants to extend it to planning, rates and waste services.</w:t>
      </w:r>
    </w:p>
    <w:p>
      <w:pPr>
        <w:pStyle w:val="Normal"/>
      </w:pPr>
      <w:r>
        <w:t xml:space="preserve">1.2 The Council is seeking a supplier to complete discovery, service design and a three-year roadmap for the next phase of its customer portal.</w:t>
      </w:r>
    </w:p>
    <w:p>
      <w:pPr>
        <w:pStyle w:val="Heading1"/>
        <w:pageBreakBefore/>
      </w:pPr>
      <w:r>
        <w:t xml:space="preserve">2. Requirements</w:t>
      </w:r>
    </w:p>
    <w:tbl>
      <w:tblPr>
        <w:tblStyle w:val="CTOTable"/>
        <w:tblW w:w="9638" w:type="dxa"/>
        <w:tblLayout w:type="fixed"/>
        <w:tblLook w:val="04A0" w:firstRow="1" w:lastRow="0" w:firstColumn="0" w:lastColumn="0" w:noHBand="0" w:noVBand="1"/>
      </w:tblPr>
      <w:tblGrid>
        <w:gridCol w:w="900"/>
        <w:gridCol w:w="8738"/>
      </w:tblGrid>
      <w:tr>
        <w:trPr>
          <w:cantSplit/>
        </w:trPr>
        <w:tc>
          <w:tcPr>
            <w:tcW w:w="900" w:type="dxa"/>
          </w:tcPr>
          <w:p>
            <w:pPr>
              <w:pStyle w:val="TableText"/>
            </w:pPr>
            <w:r>
              <w:t xml:space="preserve">R1</w:t>
            </w:r>
          </w:p>
        </w:tc>
        <w:tc>
          <w:tcPr>
            <w:tcW w:w="8738" w:type="dxa"/>
          </w:tcPr>
          <w:p>
            <w:pPr>
              <w:pStyle w:val="TableText"/>
            </w:pPr>
            <w:r>
              <w:t xml:space="preserve">The supplier must engage at least 60 residents in research, including people with disability and culturally and linguistically diverse residents.</w:t>
            </w:r>
          </w:p>
        </w:tc>
      </w:tr>
      <w:tr>
        <w:trPr>
          <w:cantSplit/>
        </w:trPr>
        <w:tc>
          <w:tcPr>
            <w:tcW w:w="900" w:type="dxa"/>
          </w:tcPr>
          <w:p>
            <w:pPr>
              <w:pStyle w:val="TableText"/>
            </w:pPr>
            <w:r>
              <w:t xml:space="preserve">R2</w:t>
            </w:r>
          </w:p>
        </w:tc>
        <w:tc>
          <w:tcPr>
            <w:tcW w:w="8738" w:type="dxa"/>
          </w:tcPr>
          <w:p>
            <w:pPr>
              <w:pStyle w:val="TableText"/>
            </w:pPr>
            <w:r>
              <w:t xml:space="preserve">The supplier must assess the current portal and CRM integration and identify technical debt.</w:t>
            </w:r>
          </w:p>
        </w:tc>
      </w:tr>
      <w:tr>
        <w:trPr>
          <w:cantSplit/>
        </w:trPr>
        <w:tc>
          <w:tcPr>
            <w:tcW w:w="900" w:type="dxa"/>
          </w:tcPr>
          <w:p>
            <w:pPr>
              <w:pStyle w:val="TableText"/>
            </w:pPr>
            <w:r>
              <w:t xml:space="preserve">R3</w:t>
            </w:r>
          </w:p>
        </w:tc>
        <w:tc>
          <w:tcPr>
            <w:tcW w:w="8738" w:type="dxa"/>
          </w:tcPr>
          <w:p>
            <w:pPr>
              <w:pStyle w:val="TableText"/>
            </w:pPr>
            <w:r>
              <w:t xml:space="preserve">The supplier must deliver a prioritised three-year roadmap with cost estimates.</w:t>
            </w:r>
          </w:p>
        </w:tc>
      </w:tr>
      <w:tr>
        <w:trPr>
          <w:cantSplit/>
        </w:trPr>
        <w:tc>
          <w:tcPr>
            <w:tcW w:w="900" w:type="dxa"/>
          </w:tcPr>
          <w:p>
            <w:pPr>
              <w:pStyle w:val="TableText"/>
            </w:pPr>
            <w:r>
              <w:t xml:space="preserve">R4</w:t>
            </w:r>
          </w:p>
        </w:tc>
        <w:tc>
          <w:tcPr>
            <w:tcW w:w="8738" w:type="dxa"/>
          </w:tcPr>
          <w:p>
            <w:pPr>
              <w:pStyle w:val="TableText"/>
            </w:pPr>
            <w:r>
              <w:t xml:space="preserve">All designs must meet WCAG 2.2 Level AA.</w:t>
            </w:r>
          </w:p>
        </w:tc>
      </w:tr>
      <w:tr>
        <w:trPr>
          <w:cantSplit/>
        </w:trPr>
        <w:tc>
          <w:tcPr>
            <w:tcW w:w="900" w:type="dxa"/>
          </w:tcPr>
          <w:p>
            <w:pPr>
              <w:pStyle w:val="TableText"/>
            </w:pPr>
            <w:r>
              <w:t xml:space="preserve">R5</w:t>
            </w:r>
          </w:p>
        </w:tc>
        <w:tc>
          <w:tcPr>
            <w:tcW w:w="8738" w:type="dxa"/>
          </w:tcPr>
          <w:p>
            <w:pPr>
              <w:pStyle w:val="TableText"/>
            </w:pPr>
            <w:r>
              <w:t xml:space="preserve">The supplier should demonstrate experience delivering customer portals for local government.</w:t>
            </w:r>
          </w:p>
        </w:tc>
      </w:tr>
    </w:tbl>
    <w:p/>
    <w:p>
      <w:pPr>
        <w:pStyle w:val="Heading1"/>
      </w:pPr>
      <w:r>
        <w:t xml:space="preserve">3. Evaluation criteria</w:t>
      </w:r>
    </w:p>
    <w:tbl>
      <w:tblPr>
        <w:tblStyle w:val="CTOTable"/>
        <w:tblW w:w="9638" w:type="dxa"/>
        <w:tblLayout w:type="fixed"/>
        <w:tblLook w:val="04A0" w:firstRow="1" w:lastRow="0" w:firstColumn="0" w:lastColumn="0" w:noHBand="0" w:noVBand="1"/>
      </w:tblPr>
      <w:tblGrid>
        <w:gridCol w:w="2800"/>
        <w:gridCol w:w="6838"/>
      </w:tblGrid>
      <w:tr>
        <w:trPr>
          <w:cantSplit/>
          <w:tblHeader/>
        </w:trPr>
        <w:tc>
          <w:tcPr>
            <w:tcW w:w="2800" w:type="dxa"/>
          </w:tcPr>
          <w:p>
            <w:pPr>
              <w:pStyle w:val="TableText"/>
            </w:pPr>
            <w:r>
              <w:t xml:space="preserve">Criterion</w:t>
            </w:r>
          </w:p>
        </w:tc>
        <w:tc>
          <w:tcPr>
            <w:tcW w:w="6838" w:type="dxa"/>
          </w:tcPr>
          <w:p>
            <w:pPr>
              <w:pStyle w:val="TableText"/>
            </w:pPr>
            <w:r>
              <w:t xml:space="preserve">Weighting</w:t>
            </w:r>
          </w:p>
        </w:tc>
      </w:tr>
      <w:tr>
        <w:trPr>
          <w:cantSplit/>
        </w:trPr>
        <w:tc>
          <w:tcPr>
            <w:tcW w:w="2800" w:type="dxa"/>
          </w:tcPr>
          <w:p>
            <w:pPr>
              <w:pStyle w:val="TableText"/>
            </w:pPr>
            <w:r>
              <w:t xml:space="preserve">Understanding and approach</w:t>
            </w:r>
          </w:p>
        </w:tc>
        <w:tc>
          <w:tcPr>
            <w:tcW w:w="6838" w:type="dxa"/>
          </w:tcPr>
          <w:p>
            <w:pPr>
              <w:pStyle w:val="TableText"/>
            </w:pPr>
            <w:r>
              <w:t xml:space="preserve">40%</w:t>
            </w:r>
          </w:p>
        </w:tc>
      </w:tr>
      <w:tr>
        <w:trPr>
          <w:cantSplit/>
        </w:trPr>
        <w:tc>
          <w:tcPr>
            <w:tcW w:w="2800" w:type="dxa"/>
          </w:tcPr>
          <w:p>
            <w:pPr>
              <w:pStyle w:val="TableText"/>
            </w:pPr>
            <w:r>
              <w:t xml:space="preserve">Relevant experience</w:t>
            </w:r>
          </w:p>
        </w:tc>
        <w:tc>
          <w:tcPr>
            <w:tcW w:w="6838" w:type="dxa"/>
          </w:tcPr>
          <w:p>
            <w:pPr>
              <w:pStyle w:val="TableText"/>
            </w:pPr>
            <w:r>
              <w:t xml:space="preserve">30%</w:t>
            </w:r>
          </w:p>
        </w:tc>
      </w:tr>
      <w:tr>
        <w:trPr>
          <w:cantSplit/>
        </w:trPr>
        <w:tc>
          <w:tcPr>
            <w:tcW w:w="2800" w:type="dxa"/>
          </w:tcPr>
          <w:p>
            <w:pPr>
              <w:pStyle w:val="TableText"/>
            </w:pPr>
            <w:r>
              <w:t xml:space="preserve">Price</w:t>
            </w:r>
          </w:p>
        </w:tc>
        <w:tc>
          <w:tcPr>
            <w:tcW w:w="6838" w:type="dxa"/>
          </w:tcPr>
          <w:p>
            <w:pPr>
              <w:pStyle w:val="TableText"/>
            </w:pPr>
            <w:r>
              <w:t xml:space="preserve">30%</w:t>
            </w:r>
          </w:p>
        </w:tc>
      </w:tr>
    </w:tbl>
    <w:p/>
    <w:p>
      <w:pPr>
        <w:pStyle w:val="Heading1"/>
      </w:pPr>
      <w:r>
        <w:t xml:space="preserve">4. Submission</w:t>
      </w:r>
    </w:p>
    <w:p>
      <w:pPr>
        <w:pStyle w:val="Normal"/>
      </w:pPr>
      <w:r>
        <w:t xml:space="preserve">4.1 The quotation must not exceed 10 pages.</w:t>
      </w:r>
    </w:p>
    <w:p>
      <w:pPr>
        <w:pStyle w:val="Normal"/>
      </w:pPr>
      <w:r>
        <w:t xml:space="preserve">4.2 Quotations must be lodged through the Council’s eProcurement portal by the closing time.</w:t>
      </w:r>
    </w:p>
    <w:p>
      <w:pPr>
        <w:pStyle w:val="Normal"/>
      </w:pPr>
      <w:r>
        <w:t xml:space="preserve">4.3 The engagement will be priced as a fixed price.</w:t>
      </w:r>
    </w:p>
    <w:sectPr>
      <w:headerReference w:type="default" r:id="rIdHeader1"/>
      <w:footerReference w:type="default" r:id="rIdFooter1"/>
      <w:pgSz w:w="11906" w:h="16838"/>
      <w:pgMar w:top="1134" w:right="1134" w:bottom="1134" w:left="1134" w:header="567" w:footer="567" w:gutter="0"/>
      <w:cols w:space="708"/>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pPr>
    <w:r>
      <w:t xml:space="preserve">HCC-RFQ-2026-19 Customer Portal Discovery</w:t>
    </w:r>
    <w:r>
      <w:tab/>
    </w:r>
    <w:r>
      <w:t xml:space="preserve">Page </w:t>
    </w:r>
    <w:fldSimple w:instr=" PAGE ">
      <w:r>
        <w:t>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pPr>
    <w:r>
      <w:t xml:space="preserve">Sample document for the CTO Consulting Proposal Platform. All organisations are fictitious.</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57" w:hanging="357"/>
      </w:pPr>
      <w:rPr>
        <w:rFonts w:ascii="Arial" w:hAnsi="Arial" w:hint="default"/>
        <w:color w:val="0B7D88"/>
      </w:rPr>
    </w:lvl>
    <w:lvl w:ilvl="1">
      <w:start w:val="1"/>
      <w:numFmt w:val="bullet"/>
      <w:lvlText w:val="–"/>
      <w:lvlJc w:val="left"/>
      <w:pPr>
        <w:ind w:left="714" w:hanging="357"/>
      </w:pPr>
      <w:rPr>
        <w:rFonts w:ascii="Arial" w:hAnsi="Arial" w:hint="default"/>
        <w:color w:val="0B7D88"/>
      </w:rPr>
    </w:lvl>
    <w:lvl w:ilvl="2">
      <w:start w:val="1"/>
      <w:numFmt w:val="bullet"/>
      <w:lvlText w:val="•"/>
      <w:lvlJc w:val="left"/>
      <w:pPr>
        <w:ind w:left="1071" w:hanging="357"/>
      </w:pPr>
      <w:rPr>
        <w:rFonts w:ascii="Arial" w:hAnsi="Arial" w:hint="default"/>
        <w:color w:val="0B7D88"/>
      </w:rPr>
    </w:lvl>
  </w:abstractNum>
  <w:abstractNum w:abstractNumId="1">
    <w:multiLevelType w:val="hybridMultilevel"/>
    <w:lvl w:ilvl="0">
      <w:start w:val="1"/>
      <w:numFmt w:val="decimal"/>
      <w:lvlText w:val="%1."/>
      <w:lvlJc w:val="left"/>
      <w:pPr>
        <w:ind w:left="357" w:hanging="357"/>
      </w:pPr>
    </w:lvl>
    <w:lvl w:ilvl="1">
      <w:start w:val="1"/>
      <w:numFmt w:val="lowerLetter"/>
      <w:lvlText w:val="%2)"/>
      <w:lvlJc w:val="left"/>
      <w:pPr>
        <w:ind w:left="714" w:hanging="357"/>
      </w:pPr>
    </w:lvl>
    <w:lvl w:ilvl="2">
      <w:start w:val="1"/>
      <w:numFmt w:val="lowerRoman"/>
      <w:lvlText w:val="%3."/>
      <w:lvlJc w:val="left"/>
      <w:pPr>
        <w:ind w:left="1071" w:hanging="357"/>
      </w:pPr>
    </w:lvl>
  </w:abstractNum>
  <w:num w:numId="1">
    <w:abstractNumId w:val="0"/>
  </w:num>
  <w:num w:numId="2">
    <w:abstractNumId w:val="1"/>
  </w:num>
</w:numbering>
</file>

<file path=word/settings.xml><?xml version="1.0" encoding="utf-8"?>
<w:settings xmlns:w="http://schemas.openxmlformats.org/wordprocessingml/2006/main">
  <w:removePersonalInformation/>
  <w:defaultTabStop w:val="720"/>
  <w:characterSpacingControl w:val="doNotCompress"/>
  <w:compat>
    <w:compatSetting w:name="compatibilityMode" w:uri="http://schemas.microsoft.com/office/word" w:val="15"/>
  </w:compat>
  <w:themeFontLang w:val="en-AU"/>
  <w:decimalSymbol w:val="."/>
  <w:listSeparator w:val=","/>
</w:settings>
</file>

<file path=word/styles.xml><?xml version="1.0" encoding="utf-8"?>
<w:styles xmlns:w="http://schemas.openxmlformats.org/wordprocessingml/2006/main">
  <w:docDefaults>
    <w:rPrDefault>
      <w:rPr>
        <w:rFonts w:ascii="Arial" w:eastAsia="Arial" w:hAnsi="Arial" w:cs="Arial"/>
        <w:sz w:val="22"/>
        <w:szCs w:val="22"/>
        <w:lang w:val="en-AU" w:eastAsia="en-AU" w:bidi="ar-SA"/>
      </w:rPr>
    </w:rPrDefault>
    <w:pPrDefault>
      <w:pPr>
        <w:spacing w:after="120" w:line="252" w:lineRule="auto"/>
      </w:pPr>
    </w:pPrDefault>
  </w:docDefaults>
  <w:style w:type="paragraph" w:default="1" w:styleId="Normal">
    <w:name w:val="Normal"/>
    <w:qFormat/>
    <w:rPr>
      <w:color w:val="1F293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0" w:after="200" w:line="240" w:lineRule="auto"/>
      <w:outlineLvl w:val="9"/>
    </w:pPr>
    <w:rPr>
      <w:b/>
      <w:bCs/>
      <w:color w:val="0B1F3A"/>
      <w:sz w:val="60"/>
      <w:szCs w:val="60"/>
    </w:rPr>
  </w:style>
  <w:style w:type="paragraph" w:styleId="Subtitle">
    <w:name w:val="Subtitle"/>
    <w:basedOn w:val="Normal"/>
    <w:next w:val="Normal"/>
    <w:uiPriority w:val="11"/>
    <w:qFormat/>
    <w:pPr>
      <w:spacing w:after="360"/>
    </w:pPr>
    <w:rPr>
      <w:color w:val="0B7D88"/>
      <w:sz w:val="32"/>
      <w:szCs w:val="32"/>
    </w:rPr>
  </w:style>
  <w:style w:type="paragraph" w:styleId="Heading1">
    <w:name w:val="heading 1"/>
    <w:basedOn w:val="Normal"/>
    <w:next w:val="Normal"/>
    <w:uiPriority w:val="9"/>
    <w:qFormat/>
    <w:pPr>
      <w:keepNext/>
      <w:keepLines/>
      <w:pBdr>
        <w:bottom w:val="single" w:sz="8" w:space="4" w:color="0FA3B1"/>
      </w:pBdr>
      <w:spacing w:before="360" w:after="160"/>
      <w:outlineLvl w:val="0"/>
    </w:pPr>
    <w:rPr>
      <w:b/>
      <w:bCs/>
      <w:color w:val="0B1F3A"/>
      <w:sz w:val="36"/>
      <w:szCs w:val="36"/>
    </w:rPr>
  </w:style>
  <w:style w:type="paragraph" w:styleId="Heading2">
    <w:name w:val="heading 2"/>
    <w:basedOn w:val="Normal"/>
    <w:next w:val="Normal"/>
    <w:uiPriority w:val="9"/>
    <w:qFormat/>
    <w:pPr>
      <w:keepNext/>
      <w:keepLines/>
      <w:spacing w:before="240" w:after="100"/>
      <w:outlineLvl w:val="1"/>
    </w:pPr>
    <w:rPr>
      <w:b/>
      <w:bCs/>
      <w:color w:val="0B7D88"/>
      <w:sz w:val="28"/>
      <w:szCs w:val="28"/>
    </w:rPr>
  </w:style>
  <w:style w:type="paragraph" w:styleId="Heading3">
    <w:name w:val="heading 3"/>
    <w:basedOn w:val="Normal"/>
    <w:next w:val="Normal"/>
    <w:uiPriority w:val="9"/>
    <w:qFormat/>
    <w:pPr>
      <w:keepNext/>
      <w:keepLines/>
      <w:spacing w:before="200" w:after="80"/>
      <w:outlineLvl w:val="2"/>
    </w:pPr>
    <w:rPr>
      <w:b/>
      <w:bCs/>
      <w:color w:val="0B1F3A"/>
      <w:sz w:val="24"/>
      <w:szCs w:val="24"/>
    </w:rPr>
  </w:style>
  <w:style w:type="paragraph" w:styleId="Heading4">
    <w:name w:val="heading 4"/>
    <w:basedOn w:val="Normal"/>
    <w:next w:val="Normal"/>
    <w:uiPriority w:val="9"/>
    <w:qFormat/>
    <w:pPr>
      <w:keepNext/>
      <w:spacing w:before="160" w:after="60"/>
      <w:outlineLvl w:val="3"/>
    </w:pPr>
    <w:rPr>
      <w:b/>
      <w:bCs/>
      <w:i/>
      <w:iCs/>
      <w:color w:val="0B1F3A"/>
      <w:sz w:val="22"/>
      <w:szCs w:val="22"/>
    </w:rPr>
  </w:style>
  <w:style w:type="paragraph" w:styleId="TOCHeading">
    <w:name w:val="TOC Heading"/>
    <w:basedOn w:val="Heading1"/>
    <w:next w:val="Normal"/>
    <w:uiPriority w:val="39"/>
    <w:qFormat/>
    <w:pPr>
      <w:outlineLvl w:val="9"/>
    </w:pPr>
  </w:style>
  <w:style w:type="paragraph" w:styleId="TOC1">
    <w:name w:val="toc 1"/>
    <w:basedOn w:val="Normal"/>
    <w:next w:val="Normal"/>
    <w:uiPriority w:val="39"/>
    <w:qFormat/>
    <w:pPr>
      <w:tabs>
        <w:tab w:val="right" w:leader="dot" w:pos="9628"/>
      </w:tabs>
      <w:spacing w:before="120" w:after="40"/>
    </w:pPr>
    <w:rPr>
      <w:b/>
      <w:bCs/>
    </w:rPr>
  </w:style>
  <w:style w:type="paragraph" w:styleId="TOC2">
    <w:name w:val="toc 2"/>
    <w:basedOn w:val="Normal"/>
    <w:next w:val="Normal"/>
    <w:uiPriority w:val="39"/>
    <w:qFormat/>
    <w:pPr>
      <w:tabs>
        <w:tab w:val="right" w:leader="dot" w:pos="9628"/>
      </w:tabs>
      <w:spacing w:after="40"/>
      <w:ind w:left="284"/>
    </w:pPr>
  </w:style>
  <w:style w:type="paragraph" w:styleId="ListBullet">
    <w:name w:val="List Bullet"/>
    <w:basedOn w:val="Normal"/>
    <w:uiPriority w:val="34"/>
    <w:qFormat/>
    <w:pPr>
      <w:numPr>
        <w:numId w:val="1"/>
      </w:numPr>
      <w:spacing w:after="60"/>
      <w:ind w:left="357" w:hanging="357"/>
    </w:pPr>
  </w:style>
  <w:style w:type="paragraph" w:styleId="ListBullet2">
    <w:name w:val="List Bullet 2"/>
    <w:basedOn w:val="Normal"/>
    <w:uiPriority w:val="34"/>
    <w:qFormat/>
    <w:pPr>
      <w:numPr>
        <w:ilvl w:val="1"/>
        <w:numId w:val="1"/>
      </w:numPr>
      <w:spacing w:after="60"/>
      <w:ind w:left="714" w:hanging="357"/>
    </w:pPr>
  </w:style>
  <w:style w:type="paragraph" w:styleId="ListNumber">
    <w:name w:val="List Number"/>
    <w:basedOn w:val="Normal"/>
    <w:uiPriority w:val="34"/>
    <w:qFormat/>
    <w:pPr>
      <w:numPr>
        <w:numId w:val="2"/>
      </w:numPr>
      <w:spacing w:after="60"/>
      <w:ind w:left="357" w:hanging="357"/>
    </w:pPr>
  </w:style>
  <w:style w:type="paragraph" w:styleId="Caption">
    <w:name w:val="caption"/>
    <w:basedOn w:val="Normal"/>
    <w:next w:val="Normal"/>
    <w:uiPriority w:val="35"/>
    <w:qFormat/>
    <w:pPr>
      <w:keepNext/>
      <w:spacing w:before="160" w:after="80"/>
    </w:pPr>
    <w:rPr>
      <w:b/>
      <w:bCs/>
      <w:color w:val="5A6675"/>
      <w:sz w:val="18"/>
      <w:szCs w:val="18"/>
    </w:rPr>
  </w:style>
  <w:style w:type="paragraph" w:styleId="TableText">
    <w:name w:val="Table Text"/>
    <w:basedOn w:val="Normal"/>
    <w:uiPriority w:val="40"/>
    <w:qFormat/>
    <w:pPr>
      <w:spacing w:before="20" w:after="20" w:line="240" w:lineRule="auto"/>
    </w:pPr>
    <w:rPr>
      <w:sz w:val="19"/>
      <w:szCs w:val="19"/>
    </w:rPr>
  </w:style>
  <w:style w:type="paragraph" w:styleId="TableHeading">
    <w:name w:val="Table Heading"/>
    <w:basedOn w:val="TableText"/>
    <w:uiPriority w:val="40"/>
    <w:qFormat/>
    <w:pPr>
      <w:keepNext/>
      <w:spacing w:before="20" w:after="20" w:line="240" w:lineRule="auto"/>
    </w:pPr>
    <w:rPr>
      <w:b/>
      <w:bCs/>
      <w:color w:val="FFFFFF"/>
      <w:sz w:val="19"/>
      <w:szCs w:val="19"/>
    </w:rPr>
  </w:style>
  <w:style w:type="paragraph" w:styleId="Quote">
    <w:name w:val="Quote"/>
    <w:basedOn w:val="Normal"/>
    <w:next w:val="Normal"/>
    <w:uiPriority w:val="29"/>
    <w:qFormat/>
    <w:pPr>
      <w:pBdr>
        <w:left w:val="single" w:sz="18" w:space="8" w:color="0FA3B1"/>
      </w:pBdr>
      <w:ind w:left="284"/>
    </w:pPr>
    <w:rPr>
      <w:i/>
      <w:iCs/>
      <w:color w:val="5A6675"/>
    </w:rPr>
  </w:style>
  <w:style w:type="paragraph" w:styleId="CoverMeta">
    <w:name w:val="Cover Meta"/>
    <w:basedOn w:val="Normal"/>
    <w:uiPriority w:val="41"/>
    <w:qFormat/>
    <w:pPr>
      <w:spacing w:after="60"/>
    </w:pPr>
    <w:rPr>
      <w:color w:val="5A6675"/>
      <w:sz w:val="22"/>
      <w:szCs w:val="22"/>
    </w:rPr>
  </w:style>
  <w:style w:type="paragraph" w:styleId="CoverMark">
    <w:name w:val="Cover Mark"/>
    <w:basedOn w:val="Normal"/>
    <w:uiPriority w:val="42"/>
    <w:qFormat/>
    <w:pPr>
      <w:spacing w:before="480" w:after="120"/>
    </w:pPr>
    <w:rPr>
      <w:b/>
      <w:bCs/>
      <w:caps/>
      <w:color w:val="B42318"/>
      <w:sz w:val="20"/>
      <w:szCs w:val="20"/>
    </w:rPr>
  </w:style>
  <w:style w:type="paragraph" w:styleId="Header">
    <w:name w:val="header"/>
    <w:basedOn w:val="Normal"/>
    <w:link w:val="HeaderChar"/>
    <w:uiPriority w:val="99"/>
    <w:qFormat/>
    <w:pPr>
      <w:pBdr>
        <w:bottom w:val="single" w:sz="4" w:space="4" w:color="CFD7E2"/>
      </w:pBdr>
      <w:tabs>
        <w:tab w:val="right" w:pos="9638"/>
      </w:tabs>
      <w:spacing w:after="0"/>
    </w:pPr>
    <w:rPr>
      <w:color w:val="5A6675"/>
      <w:sz w:val="17"/>
      <w:szCs w:val="17"/>
    </w:rPr>
  </w:style>
  <w:style w:type="paragraph" w:styleId="Footer">
    <w:name w:val="footer"/>
    <w:basedOn w:val="Normal"/>
    <w:link w:val="FooterChar"/>
    <w:uiPriority w:val="99"/>
    <w:qFormat/>
    <w:pPr>
      <w:tabs>
        <w:tab w:val="right" w:pos="9638"/>
      </w:tabs>
      <w:spacing w:after="0"/>
    </w:pPr>
    <w:rPr>
      <w:color w:val="5A6675"/>
      <w:sz w:val="17"/>
      <w:szCs w:val="17"/>
    </w:rPr>
  </w:style>
  <w:style w:type="character" w:styleId="HeaderChar">
    <w:name w:val="Header Char"/>
    <w:basedOn w:val="DefaultParagraphFont"/>
    <w:link w:val="Header"/>
    <w:uiPriority w:val="99"/>
  </w:style>
  <w:style w:type="character" w:styleId="FooterChar">
    <w:name w:val="Footer Char"/>
    <w:basedOn w:val="DefaultParagraphFont"/>
    <w:link w:val="Footer"/>
    <w:uiPriority w:val="99"/>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yperlink">
    <w:name w:val="Hyperlink"/>
    <w:basedOn w:val="DefaultParagraphFont"/>
    <w:uiPriority w:val="99"/>
    <w:rPr>
      <w:color w:val="0B7D88"/>
      <w:u w:val="single"/>
    </w:rPr>
  </w:style>
  <w:style w:type="table" w:styleId="CTOTable">
    <w:name w:val="CTO Table"/>
    <w:basedOn w:val="TableNormal"/>
    <w:uiPriority w:val="59"/>
    <w:pPr>
      <w:spacing w:before="20" w:after="20" w:line="240" w:lineRule="auto"/>
    </w:pPr>
    <w:rPr>
      <w:sz w:val="19"/>
      <w:szCs w:val="19"/>
    </w:rPr>
    <w:tblPr>
      <w:tblBorders>
        <w:top w:val="single" w:sz="4" w:space="0" w:color="CFD7E2"/>
        <w:left w:val="single" w:sz="4" w:space="0" w:color="CFD7E2"/>
        <w:bottom w:val="single" w:sz="4" w:space="0" w:color="CFD7E2"/>
        <w:right w:val="single" w:sz="4" w:space="0" w:color="CFD7E2"/>
        <w:insideH w:val="single" w:sz="4" w:space="0" w:color="CFD7E2"/>
        <w:insideV w:val="single" w:sz="4" w:space="0" w:color="CFD7E2"/>
      </w:tblBorders>
      <w:tblCellMar>
        <w:top w:w="50" w:type="dxa"/>
        <w:left w:w="100" w:type="dxa"/>
        <w:bottom w:w="50" w:type="dxa"/>
        <w:right w:w="100" w:type="dxa"/>
      </w:tblCellMar>
    </w:tblPr>
    <w:tblStylePr w:type="firstRow">
      <w:rPr>
        <w:b/>
        <w:bCs/>
        <w:color w:val="FFFFFF"/>
      </w:rPr>
      <w:tcPr>
        <w:shd w:val="clear" w:color="auto" w:fill="0B1F3A"/>
      </w:tcPr>
    </w:tblStylePr>
    <w:tblStylePr w:type="band1Horz">
      <w:tcPr>
        <w:shd w:val="clear" w:color="auto" w:fill="F4F6F9"/>
      </w:tcPr>
    </w:tblStyle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Header1" Type="http://schemas.openxmlformats.org/officeDocument/2006/relationships/header" Target="header1.xml"/><Relationship Id="rIdFooter1"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CTO Consulting Proposal Platform</Application>
  <Company>CTO Consulting</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HCC-RFQ-2026-19 Customer Portal Discovery</dc:title>
  <dc:subject>HCC-RFQ-2026-19 Customer Portal Discovery</dc:subject>
  <dc:creator>CTO Consulting</dc:creator>
  <cp:lastModifiedBy>CTO Consulting</cp:lastModifiedBy>
  <cp:revision>1</cp:revision>
  <dcterms:created xsi:type="dcterms:W3CDTF">2026-09-30T00:01:34Z</dcterms:created>
  <dcterms:modified xsi:type="dcterms:W3CDTF">2026-09-30T00:01:34Z</dcterms:modified>
</cp:coreProperties>
</file>