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Subtitle"/>
      </w:pPr>
      <w:r>
        <w:t xml:space="preserve">Attachment A – Supplier Questionnaire</w:t>
      </w:r>
    </w:p>
    <w:tbl>
      <w:tblPr>
        <w:tblStyle w:val="CTOTable"/>
        <w:tblW w:w="9638" w:type="dxa"/>
        <w:tblLayout w:type="fixed"/>
        <w:tblLook w:val="04A0" w:firstRow="1" w:lastRow="0" w:firstColumn="0" w:lastColumn="0" w:noHBand="0" w:noVBand="1"/>
      </w:tblPr>
      <w:tblGrid>
        <w:gridCol w:w="900"/>
        <w:gridCol w:w="8738"/>
      </w:tblGrid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Q1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Describe your organisation, including its size, locations and core services.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Q2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Describe your quality management system and any certifications held.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Q3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Describe how you protect client information, including your information security certifications.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Q4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Describe your work health and safety management system.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Q5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Provide details of your professional indemnity and public liability insurance.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Q6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Describe how you identify and address modern slavery risks in your operations and supply chain.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Q7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Describe how you manage conflicts of interest.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Q8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Describe your approach to privacy and the handling of personal information.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Q9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Describe your environmental, social and governance commitments.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Q10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Describe your approach to digital accessibility.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pStyle w:val="TableText"/>
            </w:pPr>
            <w:r>
              <w:t xml:space="preserve">Q11</w:t>
            </w:r>
          </w:p>
        </w:tc>
        <w:tc>
          <w:tcPr>
            <w:tcW w:w="8738" w:type="dxa"/>
          </w:tcPr>
          <w:p>
            <w:pPr>
              <w:pStyle w:val="TableText"/>
            </w:pPr>
            <w:r>
              <w:t xml:space="preserve">Describe your experience with quantum-resistant cryptography migration.</w:t>
            </w:r>
          </w:p>
        </w:tc>
      </w:tr>
    </w:tbl>
    <w:p/>
    <w:sectPr>
      <w:headerReference w:type="default" r:id="rIdHeader1"/>
      <w:footerReference w:type="default" r:id="rIdFooter1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t xml:space="preserve">ODR Attachment A - Supplier Questionnaire</w:t>
    </w:r>
    <w:r>
      <w:tab/>
    </w:r>
    <w:r>
      <w:t xml:space="preserve">Page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Sample document for the CTO Consulting Proposal Platform. All organisations are fictitious.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57" w:hanging="357"/>
      </w:pPr>
      <w:rPr>
        <w:rFonts w:ascii="Arial" w:hAnsi="Arial" w:hint="default"/>
        <w:color w:val="0B7D88"/>
      </w:rPr>
    </w:lvl>
    <w:lvl w:ilvl="1">
      <w:start w:val="1"/>
      <w:numFmt w:val="bullet"/>
      <w:lvlText w:val="–"/>
      <w:lvlJc w:val="left"/>
      <w:pPr>
        <w:ind w:left="714" w:hanging="357"/>
      </w:pPr>
      <w:rPr>
        <w:rFonts w:ascii="Arial" w:hAnsi="Arial" w:hint="default"/>
        <w:color w:val="0B7D88"/>
      </w:rPr>
    </w:lvl>
    <w:lvl w:ilvl="2">
      <w:start w:val="1"/>
      <w:numFmt w:val="bullet"/>
      <w:lvlText w:val="•"/>
      <w:lvlJc w:val="left"/>
      <w:pPr>
        <w:ind w:left="1071" w:hanging="357"/>
      </w:pPr>
      <w:rPr>
        <w:rFonts w:ascii="Arial" w:hAnsi="Arial" w:hint="default"/>
        <w:color w:val="0B7D88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14" w:hanging="357"/>
      </w:pPr>
    </w:lvl>
    <w:lvl w:ilvl="2">
      <w:start w:val="1"/>
      <w:numFmt w:val="lowerRoman"/>
      <w:lvlText w:val="%3."/>
      <w:lvlJc w:val="left"/>
      <w:pPr>
        <w:ind w:left="1071" w:hanging="357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removePersonalInformation/>
  <w:defaultTabStop w:val="720"/>
  <w:characterSpacingControl w:val="doNotCompress"/>
  <w:compat>
    <w:compatSetting w:name="compatibilityMode" w:uri="http://schemas.microsoft.com/office/word" w:val="15"/>
  </w:compat>
  <w:themeFontLang w:val="en-AU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>
      <w:pPr>
        <w:spacing w:after="120" w:line="252" w:lineRule="auto"/>
      </w:pPr>
    </w:pPrDefault>
  </w:docDefaults>
  <w:style w:type="paragraph" w:default="1" w:styleId="Normal">
    <w:name w:val="Normal"/>
    <w:qFormat/>
    <w:rPr>
      <w:color w:val="1F29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200" w:line="240" w:lineRule="auto"/>
      <w:outlineLvl w:val="9"/>
    </w:pPr>
    <w:rPr>
      <w:b/>
      <w:bCs/>
      <w:color w:val="0B1F3A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after="360"/>
    </w:pPr>
    <w:rPr>
      <w:color w:val="0B7D88"/>
      <w:sz w:val="32"/>
      <w:szCs w:val="3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4" w:color="0FA3B1"/>
      </w:pBdr>
      <w:spacing w:before="360" w:after="160"/>
      <w:outlineLvl w:val="0"/>
    </w:pPr>
    <w:rPr>
      <w:b/>
      <w:bCs/>
      <w:color w:val="0B1F3A"/>
      <w:sz w:val="36"/>
      <w:szCs w:val="3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100"/>
      <w:outlineLvl w:val="1"/>
    </w:pPr>
    <w:rPr>
      <w:b/>
      <w:bCs/>
      <w:color w:val="0B7D88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b/>
      <w:bCs/>
      <w:color w:val="0B1F3A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160" w:after="60"/>
      <w:outlineLvl w:val="3"/>
    </w:pPr>
    <w:rPr>
      <w:b/>
      <w:bCs/>
      <w:i/>
      <w:iCs/>
      <w:color w:val="0B1F3A"/>
      <w:sz w:val="22"/>
      <w:szCs w:val="22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TOC1">
    <w:name w:val="toc 1"/>
    <w:basedOn w:val="Normal"/>
    <w:next w:val="Normal"/>
    <w:uiPriority w:val="39"/>
    <w:qFormat/>
    <w:pPr>
      <w:tabs>
        <w:tab w:val="right" w:leader="dot" w:pos="9628"/>
      </w:tabs>
      <w:spacing w:before="120" w:after="40"/>
    </w:pPr>
    <w:rPr>
      <w:b/>
      <w:bCs/>
    </w:rPr>
  </w:style>
  <w:style w:type="paragraph" w:styleId="TOC2">
    <w:name w:val="toc 2"/>
    <w:basedOn w:val="Normal"/>
    <w:next w:val="Normal"/>
    <w:uiPriority w:val="39"/>
    <w:qFormat/>
    <w:pPr>
      <w:tabs>
        <w:tab w:val="right" w:leader="dot" w:pos="9628"/>
      </w:tabs>
      <w:spacing w:after="40"/>
      <w:ind w:left="284"/>
    </w:pPr>
  </w:style>
  <w:style w:type="paragraph" w:styleId="ListBullet">
    <w:name w:val="List Bullet"/>
    <w:basedOn w:val="Normal"/>
    <w:uiPriority w:val="34"/>
    <w:qFormat/>
    <w:pPr>
      <w:numPr>
        <w:numId w:val="1"/>
      </w:numPr>
      <w:spacing w:after="60"/>
      <w:ind w:left="357" w:hanging="357"/>
    </w:pPr>
  </w:style>
  <w:style w:type="paragraph" w:styleId="ListBullet2">
    <w:name w:val="List Bullet 2"/>
    <w:basedOn w:val="Normal"/>
    <w:uiPriority w:val="34"/>
    <w:qFormat/>
    <w:pPr>
      <w:numPr>
        <w:ilvl w:val="1"/>
        <w:numId w:val="1"/>
      </w:numPr>
      <w:spacing w:after="60"/>
      <w:ind w:left="714" w:hanging="357"/>
    </w:pPr>
  </w:style>
  <w:style w:type="paragraph" w:styleId="ListNumber">
    <w:name w:val="List Number"/>
    <w:basedOn w:val="Normal"/>
    <w:uiPriority w:val="34"/>
    <w:qFormat/>
    <w:pPr>
      <w:numPr>
        <w:numId w:val="2"/>
      </w:numPr>
      <w:spacing w:after="60"/>
      <w:ind w:left="357" w:hanging="357"/>
    </w:pPr>
  </w:style>
  <w:style w:type="paragraph" w:styleId="Caption">
    <w:name w:val="caption"/>
    <w:basedOn w:val="Normal"/>
    <w:next w:val="Normal"/>
    <w:uiPriority w:val="35"/>
    <w:qFormat/>
    <w:pPr>
      <w:keepNext/>
      <w:spacing w:before="160" w:after="80"/>
    </w:pPr>
    <w:rPr>
      <w:b/>
      <w:bCs/>
      <w:color w:val="5A6675"/>
      <w:sz w:val="18"/>
      <w:szCs w:val="18"/>
    </w:rPr>
  </w:style>
  <w:style w:type="paragraph" w:styleId="TableText">
    <w:name w:val="Table Text"/>
    <w:basedOn w:val="Normal"/>
    <w:uiPriority w:val="40"/>
    <w:qFormat/>
    <w:pPr>
      <w:spacing w:before="20" w:after="20" w:line="240" w:lineRule="auto"/>
    </w:pPr>
    <w:rPr>
      <w:sz w:val="19"/>
      <w:szCs w:val="19"/>
    </w:rPr>
  </w:style>
  <w:style w:type="paragraph" w:styleId="TableHeading">
    <w:name w:val="Table Heading"/>
    <w:basedOn w:val="TableText"/>
    <w:uiPriority w:val="40"/>
    <w:qFormat/>
    <w:pPr>
      <w:keepNext/>
      <w:spacing w:before="20" w:after="20" w:line="240" w:lineRule="auto"/>
    </w:pPr>
    <w:rPr>
      <w:b/>
      <w:bCs/>
      <w:color w:val="FFFFFF"/>
      <w:sz w:val="19"/>
      <w:szCs w:val="19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8" w:space="8" w:color="0FA3B1"/>
      </w:pBdr>
      <w:ind w:left="284"/>
    </w:pPr>
    <w:rPr>
      <w:i/>
      <w:iCs/>
      <w:color w:val="5A6675"/>
    </w:rPr>
  </w:style>
  <w:style w:type="paragraph" w:styleId="CoverMeta">
    <w:name w:val="Cover Meta"/>
    <w:basedOn w:val="Normal"/>
    <w:uiPriority w:val="41"/>
    <w:qFormat/>
    <w:pPr>
      <w:spacing w:after="60"/>
    </w:pPr>
    <w:rPr>
      <w:color w:val="5A6675"/>
      <w:sz w:val="22"/>
      <w:szCs w:val="22"/>
    </w:rPr>
  </w:style>
  <w:style w:type="paragraph" w:styleId="CoverMark">
    <w:name w:val="Cover Mark"/>
    <w:basedOn w:val="Normal"/>
    <w:uiPriority w:val="42"/>
    <w:qFormat/>
    <w:pPr>
      <w:spacing w:before="480" w:after="120"/>
    </w:pPr>
    <w:rPr>
      <w:b/>
      <w:bCs/>
      <w:caps/>
      <w:color w:val="B42318"/>
      <w:sz w:val="20"/>
      <w:szCs w:val="20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4" w:space="4" w:color="CFD7E2"/>
      </w:pBdr>
      <w:tabs>
        <w:tab w:val="right" w:pos="9638"/>
      </w:tabs>
      <w:spacing w:after="0"/>
    </w:pPr>
    <w:rPr>
      <w:color w:val="5A6675"/>
      <w:sz w:val="17"/>
      <w:szCs w:val="17"/>
    </w:rPr>
  </w:style>
  <w:style w:type="paragraph" w:styleId="Footer">
    <w:name w:val="footer"/>
    <w:basedOn w:val="Normal"/>
    <w:link w:val="FooterChar"/>
    <w:uiPriority w:val="99"/>
    <w:qFormat/>
    <w:pPr>
      <w:tabs>
        <w:tab w:val="right" w:pos="9638"/>
      </w:tabs>
      <w:spacing w:after="0"/>
    </w:pPr>
    <w:rPr>
      <w:color w:val="5A6675"/>
      <w:sz w:val="17"/>
      <w:szCs w:val="17"/>
    </w:rPr>
  </w:style>
  <w:style w:type="character" w:styleId="HeaderChar">
    <w:name w:val="Header Char"/>
    <w:basedOn w:val="DefaultParagraphFont"/>
    <w:link w:val="Header"/>
    <w:uiPriority w:val="99"/>
  </w:style>
  <w:style w:type="character" w:styleId="FooterChar">
    <w:name w:val="Footer Char"/>
    <w:basedOn w:val="DefaultParagraphFont"/>
    <w:link w:val="Footer"/>
    <w:uiPriority w:val="99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rPr>
      <w:color w:val="0B7D88"/>
      <w:u w:val="single"/>
    </w:rPr>
  </w:style>
  <w:style w:type="table" w:styleId="CTOTable">
    <w:name w:val="CTO Table"/>
    <w:basedOn w:val="TableNormal"/>
    <w:uiPriority w:val="59"/>
    <w:pPr>
      <w:spacing w:before="20" w:after="20" w:line="240" w:lineRule="auto"/>
    </w:pPr>
    <w:rPr>
      <w:sz w:val="19"/>
      <w:szCs w:val="19"/>
    </w:rPr>
    <w:tblPr>
      <w:tblBorders>
        <w:top w:val="single" w:sz="4" w:space="0" w:color="CFD7E2"/>
        <w:left w:val="single" w:sz="4" w:space="0" w:color="CFD7E2"/>
        <w:bottom w:val="single" w:sz="4" w:space="0" w:color="CFD7E2"/>
        <w:right w:val="single" w:sz="4" w:space="0" w:color="CFD7E2"/>
        <w:insideH w:val="single" w:sz="4" w:space="0" w:color="CFD7E2"/>
        <w:insideV w:val="single" w:sz="4" w:space="0" w:color="CFD7E2"/>
      </w:tblBorders>
      <w:tblCellMar>
        <w:top w:w="50" w:type="dxa"/>
        <w:left w:w="100" w:type="dxa"/>
        <w:bottom w:w="50" w:type="dxa"/>
        <w:right w:w="100" w:type="dxa"/>
      </w:tblCellMar>
    </w:tblPr>
    <w:tblStylePr w:type="firstRow">
      <w:rPr>
        <w:b/>
        <w:bCs/>
        <w:color w:val="FFFFFF"/>
      </w:rPr>
      <w:tcPr>
        <w:shd w:val="clear" w:color="auto" w:fill="0B1F3A"/>
      </w:tcPr>
    </w:tblStylePr>
    <w:tblStylePr w:type="band1Horz">
      <w:tcPr>
        <w:shd w:val="clear" w:color="auto" w:fill="F4F6F9"/>
      </w:tcPr>
    </w:tblStyle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CTO Consulting Proposal Platform</Application>
  <Company>CTO Consulting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ODR Attachment A - Supplier Questionnaire</dc:title>
  <dc:subject>ODR Attachment A - Supplier Questionnaire</dc:subject>
  <dc:creator>CTO Consulting</dc:creator>
  <cp:lastModifiedBy>CTO Consulting</cp:lastModifiedBy>
  <cp:revision>1</cp:revision>
  <dcterms:created xsi:type="dcterms:W3CDTF">2026-09-30T00:01:33Z</dcterms:created>
  <dcterms:modified xsi:type="dcterms:W3CDTF">2026-09-30T00:01:33Z</dcterms:modified>
</cp:coreProperties>
</file>