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Subtitle"/>
      </w:pPr>
      <w:r>
        <w:t xml:space="preserve">Office of the Digital Registrar</w:t>
      </w:r>
    </w:p>
    <w:p>
      <w:pPr>
        <w:pStyle w:val="Heading2"/>
      </w:pPr>
      <w:r>
        <w:t xml:space="preserve">Approach to Market (ATM)</w:t>
      </w:r>
    </w:p>
    <w:p>
      <w:pPr>
        <w:pStyle w:val="Title"/>
      </w:pPr>
      <w:r>
        <w:t xml:space="preserve">Digital Records Modernisation Partner</w:t>
      </w:r>
    </w:p>
    <w:p>
      <w:pPr>
        <w:pStyle w:val="Normal"/>
      </w:pPr>
      <w:r>
        <w:t xml:space="preserve">ATM Reference: ODR-2026-118</w:t>
      </w:r>
    </w:p>
    <w:p>
      <w:pPr>
        <w:pStyle w:val="Normal"/>
      </w:pPr>
      <w:r>
        <w:t xml:space="preserve">Published on AusTender</w:t>
      </w:r>
    </w:p>
    <w:p>
      <w:pPr>
        <w:pStyle w:val="Normal"/>
      </w:pPr>
      <w:r>
        <w:t xml:space="preserve">Closing time: 12:00 pm AEDT (Canberra time), Thursday 12 November 2026</w:t>
      </w:r>
    </w:p>
    <w:p>
      <w:pPr>
        <w:pStyle w:val="Normal"/>
      </w:pPr>
      <w:r>
        <w:t xml:space="preserve">The Office of the Digital Registrar (the Office) is a non-corporate Commonwealth entity that maintains national registers of business and professional records.</w:t>
      </w:r>
    </w:p>
    <w:p>
      <w:pPr>
        <w:pStyle w:val="Heading1"/>
        <w:pageBreakBefore/>
      </w:pPr>
      <w:r>
        <w:t xml:space="preserve">1. Background</w:t>
      </w:r>
    </w:p>
    <w:p>
      <w:pPr>
        <w:pStyle w:val="Normal"/>
      </w:pPr>
      <w:r>
        <w:t xml:space="preserve">1.1 The Office holds 60 million records across three legacy registry systems, the oldest of which was implemented in 2004.</w:t>
      </w:r>
    </w:p>
    <w:p>
      <w:pPr>
        <w:pStyle w:val="Normal"/>
      </w:pPr>
      <w:r>
        <w:t xml:space="preserve">1.2 The Office intends to consolidate these registers onto a modern records platform and to retire paper-based processes for 1.2 million annual lodgements.</w:t>
      </w:r>
    </w:p>
    <w:p>
      <w:pPr>
        <w:pStyle w:val="Normal"/>
      </w:pPr>
      <w:r>
        <w:t xml:space="preserve">1.3 The Office is seeking a partner to deliver discovery, target-state architecture and a business case for the modernisation program.</w:t>
      </w:r>
    </w:p>
    <w:p>
      <w:pPr>
        <w:pStyle w:val="Heading1"/>
      </w:pPr>
      <w:r>
        <w:t xml:space="preserve">2. Requirements</w:t>
      </w:r>
    </w:p>
    <w:tbl>
      <w:tblPr>
        <w:tblStyle w:val="CTOTable"/>
        <w:tblW w:w="9638" w:type="dxa"/>
        <w:tblLayout w:type="fixed"/>
        <w:tblLook w:val="04A0" w:firstRow="1" w:lastRow="0" w:firstColumn="0" w:lastColumn="0" w:noHBand="0" w:noVBand="1"/>
      </w:tblPr>
      <w:tblGrid>
        <w:gridCol w:w="900"/>
        <w:gridCol w:w="8738"/>
      </w:tblGrid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R1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The supplier must deliver a current-state assessment of the three registry systems, including data quality, integration and technical debt.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R2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The supplier must design a target-state architecture that complies with the Protective Security Policy Framework and the Information Security Manual.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R3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The supplier must prepare a business case consistent with the Department of Finance Digital Investment Framework.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R4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The supplier must engage with at least 40 internal and external stakeholders, including registry users with accessibility needs.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R5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Personnel must hold or be able to obtain a Negative Vetting Level 1 (NV1) security clearance.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R6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The supplier should demonstrate experience modernising records or registry platforms for Commonwealth entities.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R7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The supplier should propose an approach to data migration and records retention under the Archives Act 1983.</w:t>
            </w:r>
          </w:p>
        </w:tc>
      </w:tr>
    </w:tbl>
    <w:p/>
    <w:p>
      <w:pPr>
        <w:pStyle w:val="Heading1"/>
        <w:pageBreakBefore/>
      </w:pPr>
      <w:r>
        <w:t xml:space="preserve">3. Evaluation criteria</w:t>
      </w:r>
    </w:p>
    <w:tbl>
      <w:tblPr>
        <w:tblStyle w:val="CTOTable"/>
        <w:tblW w:w="9638" w:type="dxa"/>
        <w:tblLayout w:type="fixed"/>
        <w:tblLook w:val="04A0" w:firstRow="1" w:lastRow="0" w:firstColumn="0" w:lastColumn="0" w:noHBand="0" w:noVBand="1"/>
      </w:tblPr>
      <w:tblGrid>
        <w:gridCol w:w="2800"/>
        <w:gridCol w:w="6838"/>
      </w:tblGrid>
      <w:tr>
        <w:trPr>
          <w:cantSplit/>
          <w:tblHeader/>
        </w:trPr>
        <w:tc>
          <w:tcPr>
            <w:tcW w:w="2800" w:type="dxa"/>
          </w:tcPr>
          <w:p>
            <w:pPr>
              <w:pStyle w:val="TableText"/>
            </w:pPr>
            <w:r>
              <w:t xml:space="preserve">Criterion</w:t>
            </w:r>
          </w:p>
        </w:tc>
        <w:tc>
          <w:tcPr>
            <w:tcW w:w="6838" w:type="dxa"/>
          </w:tcPr>
          <w:p>
            <w:pPr>
              <w:pStyle w:val="TableText"/>
            </w:pPr>
            <w:r>
              <w:t xml:space="preserve">Weighting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Understanding and approach</w:t>
            </w:r>
          </w:p>
        </w:tc>
        <w:tc>
          <w:tcPr>
            <w:tcW w:w="6838" w:type="dxa"/>
          </w:tcPr>
          <w:p>
            <w:pPr>
              <w:pStyle w:val="TableText"/>
            </w:pPr>
            <w:r>
              <w:t xml:space="preserve">35%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Team capability and clearances</w:t>
            </w:r>
          </w:p>
        </w:tc>
        <w:tc>
          <w:tcPr>
            <w:tcW w:w="6838" w:type="dxa"/>
          </w:tcPr>
          <w:p>
            <w:pPr>
              <w:pStyle w:val="TableText"/>
            </w:pPr>
            <w:r>
              <w:t xml:space="preserve">25%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Experience with Commonwealth registries</w:t>
            </w:r>
          </w:p>
        </w:tc>
        <w:tc>
          <w:tcPr>
            <w:tcW w:w="6838" w:type="dxa"/>
          </w:tcPr>
          <w:p>
            <w:pPr>
              <w:pStyle w:val="TableText"/>
            </w:pPr>
            <w:r>
              <w:t xml:space="preserve">20%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Price and value for money</w:t>
            </w:r>
          </w:p>
        </w:tc>
        <w:tc>
          <w:tcPr>
            <w:tcW w:w="6838" w:type="dxa"/>
          </w:tcPr>
          <w:p>
            <w:pPr>
              <w:pStyle w:val="TableText"/>
            </w:pPr>
            <w:r>
              <w:t xml:space="preserve">20%</w:t>
            </w:r>
          </w:p>
        </w:tc>
      </w:tr>
    </w:tbl>
    <w:p/>
    <w:p>
      <w:pPr>
        <w:pStyle w:val="Heading1"/>
      </w:pPr>
      <w:r>
        <w:t xml:space="preserve">4. Submission requirements</w:t>
      </w:r>
    </w:p>
    <w:p>
      <w:pPr>
        <w:pStyle w:val="Normal"/>
      </w:pPr>
      <w:r>
        <w:t xml:space="preserve">4.1 Responses must be lodged through AusTender before the closing time.</w:t>
      </w:r>
    </w:p>
    <w:p>
      <w:pPr>
        <w:pStyle w:val="Normal"/>
      </w:pPr>
      <w:r>
        <w:t xml:space="preserve">4.2 The response must not exceed 20 pages.</w:t>
      </w:r>
    </w:p>
    <w:p>
      <w:pPr>
        <w:pStyle w:val="Normal"/>
      </w:pPr>
      <w:r>
        <w:t xml:space="preserve">4.3 Questions must be submitted by 12:00 pm AEDT on Thursday 29 October 2026.</w:t>
      </w:r>
    </w:p>
    <w:p>
      <w:pPr>
        <w:pStyle w:val="Normal"/>
      </w:pPr>
      <w:r>
        <w:t xml:space="preserve">4.4 The Office intends to issue a work order under the BuyICT Digital Marketplace Panel 2. Rates must not exceed panel ceiling rates.</w:t>
      </w:r>
    </w:p>
    <w:p>
      <w:pPr>
        <w:pStyle w:val="Normal"/>
      </w:pPr>
      <w:r>
        <w:t xml:space="preserve">4.5 The work order will be priced as capped time and materials.</w:t>
      </w:r>
    </w:p>
    <w:p>
      <w:pPr>
        <w:pStyle w:val="Normal"/>
      </w:pPr>
      <w:r>
        <w:t xml:space="preserve">Attachment A – Supplier Questionnaire</w:t>
      </w:r>
    </w:p>
    <w:p>
      <w:pPr>
        <w:pStyle w:val="Normal"/>
      </w:pPr>
      <w:r>
        <w:t xml:space="preserve">Attachment B – Pricing Schedule</w:t>
      </w:r>
    </w:p>
    <w:sectPr>
      <w:headerReference w:type="default" r:id="rIdHeader1"/>
      <w:footerReference w:type="default" r:id="rIdFooter1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t xml:space="preserve">ODR-2026-118 Approach to Market</w:t>
    </w:r>
    <w:r>
      <w:tab/>
    </w:r>
    <w:r>
      <w:t xml:space="preserve">Page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Sample document for the CTO Consulting Proposal Platform. All organisations are fictitious.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57" w:hanging="357"/>
      </w:pPr>
      <w:rPr>
        <w:rFonts w:ascii="Arial" w:hAnsi="Arial" w:hint="default"/>
        <w:color w:val="0B7D88"/>
      </w:rPr>
    </w:lvl>
    <w:lvl w:ilvl="1">
      <w:start w:val="1"/>
      <w:numFmt w:val="bullet"/>
      <w:lvlText w:val="–"/>
      <w:lvlJc w:val="left"/>
      <w:pPr>
        <w:ind w:left="714" w:hanging="357"/>
      </w:pPr>
      <w:rPr>
        <w:rFonts w:ascii="Arial" w:hAnsi="Arial" w:hint="default"/>
        <w:color w:val="0B7D88"/>
      </w:rPr>
    </w:lvl>
    <w:lvl w:ilvl="2">
      <w:start w:val="1"/>
      <w:numFmt w:val="bullet"/>
      <w:lvlText w:val="•"/>
      <w:lvlJc w:val="left"/>
      <w:pPr>
        <w:ind w:left="1071" w:hanging="357"/>
      </w:pPr>
      <w:rPr>
        <w:rFonts w:ascii="Arial" w:hAnsi="Arial" w:hint="default"/>
        <w:color w:val="0B7D88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)"/>
      <w:lvlJc w:val="left"/>
      <w:pPr>
        <w:ind w:left="714" w:hanging="357"/>
      </w:pPr>
    </w:lvl>
    <w:lvl w:ilvl="2">
      <w:start w:val="1"/>
      <w:numFmt w:val="lowerRoman"/>
      <w:lvlText w:val="%3."/>
      <w:lvlJc w:val="left"/>
      <w:pPr>
        <w:ind w:left="1071" w:hanging="357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removePersonalInformation/>
  <w:defaultTabStop w:val="720"/>
  <w:characterSpacingControl w:val="doNotCompress"/>
  <w:compat>
    <w:compatSetting w:name="compatibilityMode" w:uri="http://schemas.microsoft.com/office/word" w:val="15"/>
  </w:compat>
  <w:themeFontLang w:val="en-AU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>
      <w:pPr>
        <w:spacing w:after="120" w:line="252" w:lineRule="auto"/>
      </w:pPr>
    </w:pPrDefault>
  </w:docDefaults>
  <w:style w:type="paragraph" w:default="1" w:styleId="Normal">
    <w:name w:val="Normal"/>
    <w:qFormat/>
    <w:rPr>
      <w:color w:val="1F29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200" w:line="240" w:lineRule="auto"/>
      <w:outlineLvl w:val="9"/>
    </w:pPr>
    <w:rPr>
      <w:b/>
      <w:bCs/>
      <w:color w:val="0B1F3A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after="360"/>
    </w:pPr>
    <w:rPr>
      <w:color w:val="0B7D88"/>
      <w:sz w:val="32"/>
      <w:szCs w:val="3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8" w:space="4" w:color="0FA3B1"/>
      </w:pBdr>
      <w:spacing w:before="360" w:after="160"/>
      <w:outlineLvl w:val="0"/>
    </w:pPr>
    <w:rPr>
      <w:b/>
      <w:bCs/>
      <w:color w:val="0B1F3A"/>
      <w:sz w:val="36"/>
      <w:szCs w:val="3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100"/>
      <w:outlineLvl w:val="1"/>
    </w:pPr>
    <w:rPr>
      <w:b/>
      <w:bCs/>
      <w:color w:val="0B7D88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b/>
      <w:bCs/>
      <w:color w:val="0B1F3A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spacing w:before="160" w:after="60"/>
      <w:outlineLvl w:val="3"/>
    </w:pPr>
    <w:rPr>
      <w:b/>
      <w:bCs/>
      <w:i/>
      <w:iCs/>
      <w:color w:val="0B1F3A"/>
      <w:sz w:val="22"/>
      <w:szCs w:val="22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TOC1">
    <w:name w:val="toc 1"/>
    <w:basedOn w:val="Normal"/>
    <w:next w:val="Normal"/>
    <w:uiPriority w:val="39"/>
    <w:qFormat/>
    <w:pPr>
      <w:tabs>
        <w:tab w:val="right" w:leader="dot" w:pos="9628"/>
      </w:tabs>
      <w:spacing w:before="120" w:after="40"/>
    </w:pPr>
    <w:rPr>
      <w:b/>
      <w:bCs/>
    </w:rPr>
  </w:style>
  <w:style w:type="paragraph" w:styleId="TOC2">
    <w:name w:val="toc 2"/>
    <w:basedOn w:val="Normal"/>
    <w:next w:val="Normal"/>
    <w:uiPriority w:val="39"/>
    <w:qFormat/>
    <w:pPr>
      <w:tabs>
        <w:tab w:val="right" w:leader="dot" w:pos="9628"/>
      </w:tabs>
      <w:spacing w:after="40"/>
      <w:ind w:left="284"/>
    </w:pPr>
  </w:style>
  <w:style w:type="paragraph" w:styleId="ListBullet">
    <w:name w:val="List Bullet"/>
    <w:basedOn w:val="Normal"/>
    <w:uiPriority w:val="34"/>
    <w:qFormat/>
    <w:pPr>
      <w:numPr>
        <w:numId w:val="1"/>
      </w:numPr>
      <w:spacing w:after="60"/>
      <w:ind w:left="357" w:hanging="357"/>
    </w:pPr>
  </w:style>
  <w:style w:type="paragraph" w:styleId="ListBullet2">
    <w:name w:val="List Bullet 2"/>
    <w:basedOn w:val="Normal"/>
    <w:uiPriority w:val="34"/>
    <w:qFormat/>
    <w:pPr>
      <w:numPr>
        <w:ilvl w:val="1"/>
        <w:numId w:val="1"/>
      </w:numPr>
      <w:spacing w:after="60"/>
      <w:ind w:left="714" w:hanging="357"/>
    </w:pPr>
  </w:style>
  <w:style w:type="paragraph" w:styleId="ListNumber">
    <w:name w:val="List Number"/>
    <w:basedOn w:val="Normal"/>
    <w:uiPriority w:val="34"/>
    <w:qFormat/>
    <w:pPr>
      <w:numPr>
        <w:numId w:val="2"/>
      </w:numPr>
      <w:spacing w:after="60"/>
      <w:ind w:left="357" w:hanging="357"/>
    </w:pPr>
  </w:style>
  <w:style w:type="paragraph" w:styleId="Caption">
    <w:name w:val="caption"/>
    <w:basedOn w:val="Normal"/>
    <w:next w:val="Normal"/>
    <w:uiPriority w:val="35"/>
    <w:qFormat/>
    <w:pPr>
      <w:keepNext/>
      <w:spacing w:before="160" w:after="80"/>
    </w:pPr>
    <w:rPr>
      <w:b/>
      <w:bCs/>
      <w:color w:val="5A6675"/>
      <w:sz w:val="18"/>
      <w:szCs w:val="18"/>
    </w:rPr>
  </w:style>
  <w:style w:type="paragraph" w:styleId="TableText">
    <w:name w:val="Table Text"/>
    <w:basedOn w:val="Normal"/>
    <w:uiPriority w:val="40"/>
    <w:qFormat/>
    <w:pPr>
      <w:spacing w:before="20" w:after="20" w:line="240" w:lineRule="auto"/>
    </w:pPr>
    <w:rPr>
      <w:sz w:val="19"/>
      <w:szCs w:val="19"/>
    </w:rPr>
  </w:style>
  <w:style w:type="paragraph" w:styleId="TableHeading">
    <w:name w:val="Table Heading"/>
    <w:basedOn w:val="TableText"/>
    <w:uiPriority w:val="40"/>
    <w:qFormat/>
    <w:pPr>
      <w:keepNext/>
      <w:spacing w:before="20" w:after="20" w:line="240" w:lineRule="auto"/>
    </w:pPr>
    <w:rPr>
      <w:b/>
      <w:bCs/>
      <w:color w:val="FFFFFF"/>
      <w:sz w:val="19"/>
      <w:szCs w:val="19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8" w:space="8" w:color="0FA3B1"/>
      </w:pBdr>
      <w:ind w:left="284"/>
    </w:pPr>
    <w:rPr>
      <w:i/>
      <w:iCs/>
      <w:color w:val="5A6675"/>
    </w:rPr>
  </w:style>
  <w:style w:type="paragraph" w:styleId="CoverMeta">
    <w:name w:val="Cover Meta"/>
    <w:basedOn w:val="Normal"/>
    <w:uiPriority w:val="41"/>
    <w:qFormat/>
    <w:pPr>
      <w:spacing w:after="60"/>
    </w:pPr>
    <w:rPr>
      <w:color w:val="5A6675"/>
      <w:sz w:val="22"/>
      <w:szCs w:val="22"/>
    </w:rPr>
  </w:style>
  <w:style w:type="paragraph" w:styleId="CoverMark">
    <w:name w:val="Cover Mark"/>
    <w:basedOn w:val="Normal"/>
    <w:uiPriority w:val="42"/>
    <w:qFormat/>
    <w:pPr>
      <w:spacing w:before="480" w:after="120"/>
    </w:pPr>
    <w:rPr>
      <w:b/>
      <w:bCs/>
      <w:caps/>
      <w:color w:val="B42318"/>
      <w:sz w:val="20"/>
      <w:szCs w:val="20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4" w:space="4" w:color="CFD7E2"/>
      </w:pBdr>
      <w:tabs>
        <w:tab w:val="right" w:pos="9638"/>
      </w:tabs>
      <w:spacing w:after="0"/>
    </w:pPr>
    <w:rPr>
      <w:color w:val="5A6675"/>
      <w:sz w:val="17"/>
      <w:szCs w:val="17"/>
    </w:rPr>
  </w:style>
  <w:style w:type="paragraph" w:styleId="Footer">
    <w:name w:val="footer"/>
    <w:basedOn w:val="Normal"/>
    <w:link w:val="FooterChar"/>
    <w:uiPriority w:val="99"/>
    <w:qFormat/>
    <w:pPr>
      <w:tabs>
        <w:tab w:val="right" w:pos="9638"/>
      </w:tabs>
      <w:spacing w:after="0"/>
    </w:pPr>
    <w:rPr>
      <w:color w:val="5A6675"/>
      <w:sz w:val="17"/>
      <w:szCs w:val="17"/>
    </w:rPr>
  </w:style>
  <w:style w:type="character" w:styleId="HeaderChar">
    <w:name w:val="Header Char"/>
    <w:basedOn w:val="DefaultParagraphFont"/>
    <w:link w:val="Header"/>
    <w:uiPriority w:val="99"/>
  </w:style>
  <w:style w:type="character" w:styleId="FooterChar">
    <w:name w:val="Footer Char"/>
    <w:basedOn w:val="DefaultParagraphFont"/>
    <w:link w:val="Footer"/>
    <w:uiPriority w:val="99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rPr>
      <w:color w:val="0B7D88"/>
      <w:u w:val="single"/>
    </w:rPr>
  </w:style>
  <w:style w:type="table" w:styleId="CTOTable">
    <w:name w:val="CTO Table"/>
    <w:basedOn w:val="TableNormal"/>
    <w:uiPriority w:val="59"/>
    <w:pPr>
      <w:spacing w:before="20" w:after="20" w:line="240" w:lineRule="auto"/>
    </w:pPr>
    <w:rPr>
      <w:sz w:val="19"/>
      <w:szCs w:val="19"/>
    </w:rPr>
    <w:tblPr>
      <w:tblBorders>
        <w:top w:val="single" w:sz="4" w:space="0" w:color="CFD7E2"/>
        <w:left w:val="single" w:sz="4" w:space="0" w:color="CFD7E2"/>
        <w:bottom w:val="single" w:sz="4" w:space="0" w:color="CFD7E2"/>
        <w:right w:val="single" w:sz="4" w:space="0" w:color="CFD7E2"/>
        <w:insideH w:val="single" w:sz="4" w:space="0" w:color="CFD7E2"/>
        <w:insideV w:val="single" w:sz="4" w:space="0" w:color="CFD7E2"/>
      </w:tblBorders>
      <w:tblCellMar>
        <w:top w:w="50" w:type="dxa"/>
        <w:left w:w="100" w:type="dxa"/>
        <w:bottom w:w="50" w:type="dxa"/>
        <w:right w:w="100" w:type="dxa"/>
      </w:tblCellMar>
    </w:tblPr>
    <w:tblStylePr w:type="firstRow">
      <w:rPr>
        <w:b/>
        <w:bCs/>
        <w:color w:val="FFFFFF"/>
      </w:rPr>
      <w:tcPr>
        <w:shd w:val="clear" w:color="auto" w:fill="0B1F3A"/>
      </w:tcPr>
    </w:tblStylePr>
    <w:tblStylePr w:type="band1Horz">
      <w:tcPr>
        <w:shd w:val="clear" w:color="auto" w:fill="F4F6F9"/>
      </w:tcPr>
    </w:tblStyle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CTO Consulting Proposal Platform</Application>
  <Company>CTO Consulting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ODR-2026-118 Approach to Market</dc:title>
  <dc:subject>ODR-2026-118 Approach to Market</dc:subject>
  <dc:creator>CTO Consulting</dc:creator>
  <cp:lastModifiedBy>CTO Consulting</cp:lastModifiedBy>
  <cp:revision>1</cp:revision>
  <dcterms:created xsi:type="dcterms:W3CDTF">2026-09-30T00:01:32Z</dcterms:created>
  <dcterms:modified xsi:type="dcterms:W3CDTF">2026-09-30T00:01:32Z</dcterms:modified>
</cp:coreProperties>
</file>