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t xml:space="preserve">Southern Rivers Water Authority</w:t>
      </w:r>
    </w:p>
    <w:p>
      <w:pPr>
        <w:pStyle w:val="Heading2"/>
      </w:pPr>
      <w:r>
        <w:t xml:space="preserve">Request for Quote (RFQ)</w:t>
      </w:r>
    </w:p>
    <w:p>
      <w:pPr>
        <w:pStyle w:val="Title"/>
      </w:pPr>
      <w:r>
        <w:t xml:space="preserve">Cloud Migration and Cyber Security Uplift Program</w:t>
      </w:r>
    </w:p>
    <w:p>
      <w:pPr>
        <w:pStyle w:val="Normal"/>
      </w:pPr>
      <w:r>
        <w:t xml:space="preserve">RFQ Reference: SRWA-RFQ-2026-031</w:t>
      </w:r>
    </w:p>
    <w:p>
      <w:pPr>
        <w:pStyle w:val="Normal"/>
      </w:pPr>
      <w:r>
        <w:t xml:space="preserve">Issued: 29 September 2026</w:t>
      </w:r>
    </w:p>
    <w:p>
      <w:pPr>
        <w:pStyle w:val="Normal"/>
      </w:pPr>
      <w:r>
        <w:t xml:space="preserve">Closing time: 2:00 pm AEDT, Friday 23 October 2026</w:t>
      </w:r>
    </w:p>
    <w:p>
      <w:pPr>
        <w:pStyle w:val="Normal"/>
      </w:pPr>
      <w:r>
        <w:t xml:space="preserve">Lodgement: electronically through NSW eTendering</w:t>
      </w:r>
    </w:p>
    <w:p>
      <w:pPr>
        <w:pStyle w:val="Normal"/>
      </w:pPr>
      <w:r>
        <w:t xml:space="preserve">This RFQ is issued to suppliers appointed to the Authority’s ICT Professional Services Panel. The Authority is a New South Wales state-owned water utility.</w:t>
      </w:r>
    </w:p>
    <w:p>
      <w:pPr>
        <w:pStyle w:val="Heading1"/>
        <w:pageBreakBefore/>
      </w:pPr>
      <w:r>
        <w:t xml:space="preserve">1. Introduction and background</w:t>
      </w:r>
    </w:p>
    <w:p>
      <w:pPr>
        <w:pStyle w:val="Normal"/>
      </w:pPr>
      <w:r>
        <w:t xml:space="preserve">1.1 Southern Rivers Water Authority (the Authority) provides drinking water and wastewater services to 420,000 customers across the Southern Rivers region of New South Wales.</w:t>
      </w:r>
    </w:p>
    <w:p>
      <w:pPr>
        <w:pStyle w:val="Normal"/>
      </w:pPr>
      <w:r>
        <w:t xml:space="preserve">1.2 The Authority operates 180 business applications from two ageing on-premises data centres. The lease for the primary data centre expires in June 2027 and will not be renewed.</w:t>
      </w:r>
    </w:p>
    <w:p>
      <w:pPr>
        <w:pStyle w:val="Normal"/>
      </w:pPr>
      <w:r>
        <w:t xml:space="preserve">1.3 A 2026 internal audit assessed the Authority at Essential Eight Maturity Level 1 for most mitigation strategies and recommended uplift to Maturity Level 2 by June 2028.</w:t>
      </w:r>
    </w:p>
    <w:p>
      <w:pPr>
        <w:pStyle w:val="Normal"/>
      </w:pPr>
      <w:r>
        <w:t xml:space="preserve">1.4 The Authority is seeking a suitably qualified supplier to plan and deliver the migration of its workloads to a secure cloud landing zone and to uplift its cyber security controls, while building the capability of its internal ICT team.</w:t>
      </w:r>
    </w:p>
    <w:p>
      <w:pPr>
        <w:pStyle w:val="Heading1"/>
      </w:pPr>
      <w:r>
        <w:t xml:space="preserve">2. Scope of services</w:t>
      </w:r>
    </w:p>
    <w:p>
      <w:pPr>
        <w:pStyle w:val="Normal"/>
      </w:pPr>
      <w:r>
        <w:t xml:space="preserve">2.1 The services comprise three phases: (a) discovery and migration planning; (b) landing zone build and workload migration; and (c) Essential Eight uplift and transition to operations.</w:t>
      </w:r>
    </w:p>
    <w:p>
      <w:pPr>
        <w:pStyle w:val="Normal"/>
      </w:pPr>
      <w:r>
        <w:t xml:space="preserve">2.2 Lot 1 covers phases (a) and (b). Lot 2 covers phase (c). Respondents may respond to one or both lots.</w:t>
      </w:r>
    </w:p>
    <w:p>
      <w:pPr>
        <w:pStyle w:val="Normal"/>
      </w:pPr>
      <w:r>
        <w:t xml:space="preserve">2.3 The Authority expects the services to commence in January 2027 and to be completed by June 2028.</w:t>
      </w:r>
    </w:p>
    <w:p>
      <w:pPr>
        <w:pStyle w:val="Normal"/>
      </w:pPr>
      <w:r>
        <w:t xml:space="preserve">2.4 Operational technology (SCADA) systems are out of scope, but the supplier must ensure that migration activities do not affect operational technology network segmentation.</w:t>
      </w:r>
    </w:p>
    <w:p>
      <w:pPr>
        <w:pStyle w:val="Heading1"/>
        <w:pageBreakBefore/>
      </w:pPr>
      <w:r>
        <w:t xml:space="preserve">3. Requirements</w:t>
      </w:r>
    </w:p>
    <w:p>
      <w:pPr>
        <w:pStyle w:val="Normal"/>
      </w:pPr>
      <w:r>
        <w:t xml:space="preserve">3.1 Mandatory requirements. Respondents must meet each of the following mandatory requirements. A response that does not meet a mandatory requirement may be excluded from further consideration.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900"/>
        <w:gridCol w:w="8738"/>
      </w:tblGrid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M1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provide a migration approach that sequences workloads by business criticality and data centre exit dates.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M2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design and build a cloud landing zone that is hosted in Australia and aligned with the ASD Information Security Manual (ISM).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M3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All personnel with access to Authority systems must hold or be able to obtain an Australian Government Baseline security clearance.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M4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hold current ISO/IEC 27001 certification for its information security management system.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M5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provide a named engagement lead with at least ten years of experience delivering cloud migration programs.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M6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uplift the Authority to Essential Eight Maturity Level 2 across all eight mitigation strategies and provide evidence of the maturity achieved.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M7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maintain professional indemnity insurance of at least $10 million and public liability insurance of at least $20 million.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M8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provide a transition plan that transfers knowledge to the Authority’s internal team and its managed service provider.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M9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comply with the Authority’s Supplier Code of Conduct and the Modern Slavery Act 2018 (Cth).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M10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All Authority data must remain in Australia at all times, including backups and logs.</w:t>
            </w:r>
          </w:p>
        </w:tc>
      </w:tr>
    </w:tbl>
    <w:p/>
    <w:p>
      <w:pPr>
        <w:pStyle w:val="Normal"/>
      </w:pPr>
      <w:r>
        <w:t xml:space="preserve">3.2 Desirable requirements. The Authority will highly regard respondents who demonstrate the following.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900"/>
        <w:gridCol w:w="8738"/>
      </w:tblGrid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D1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Experience delivering cloud migrations for water, energy or other regulated utilities.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D2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A proven approach to organisational change management and staff capability uplift.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D3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Experience with Microsoft Azure and Microsoft Entra ID in a government context.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D4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ability to engage an Aboriginal or Torres Strait Islander business as a subcontractor or partner.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D5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A method for measuring and reporting benefits realisation throughout the program.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D6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Innovative approaches that reduce the Authority’s ongoing cloud running costs.</w:t>
            </w:r>
          </w:p>
        </w:tc>
      </w:tr>
    </w:tbl>
    <w:p/>
    <w:p>
      <w:pPr>
        <w:pStyle w:val="Heading1"/>
        <w:pageBreakBefore/>
      </w:pPr>
      <w:r>
        <w:t xml:space="preserve">4. Evaluation criteria</w:t>
      </w:r>
    </w:p>
    <w:p>
      <w:pPr>
        <w:pStyle w:val="Normal"/>
      </w:pPr>
      <w:r>
        <w:t xml:space="preserve">4.1 Responses will be evaluated against the following criteria and weightings.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2800"/>
        <w:gridCol w:w="6838"/>
      </w:tblGrid>
      <w:tr>
        <w:trPr>
          <w:cantSplit/>
          <w:tblHeader/>
        </w:trPr>
        <w:tc>
          <w:tcPr>
            <w:tcW w:w="2800" w:type="dxa"/>
          </w:tcPr>
          <w:p>
            <w:pPr>
              <w:pStyle w:val="TableText"/>
            </w:pPr>
            <w:r>
              <w:t xml:space="preserve">Criterion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Weighting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Understanding of the Authority’s requirements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15%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Proposed approach and methodology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30%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Capability and experience of the proposed team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25%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Relevant experience and case studies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15%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Value for money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15%</w:t>
            </w:r>
          </w:p>
        </w:tc>
      </w:tr>
    </w:tbl>
    <w:p/>
    <w:p>
      <w:pPr>
        <w:pStyle w:val="Normal"/>
      </w:pPr>
      <w:r>
        <w:t xml:space="preserve">4.2 Price will be assessed on a whole-of-life basis. The lowest price will not necessarily be accepted.</w:t>
      </w:r>
    </w:p>
    <w:p>
      <w:pPr>
        <w:pStyle w:val="Normal"/>
      </w:pPr>
      <w:r>
        <w:t xml:space="preserve">4.3 Shortlisted respondents may be invited to present to the evaluation panel in the week commencing 9 November 2026.</w:t>
      </w:r>
    </w:p>
    <w:p>
      <w:pPr>
        <w:pStyle w:val="Heading1"/>
        <w:pageBreakBefore/>
      </w:pPr>
      <w:r>
        <w:t xml:space="preserve">5. Submission instructions</w:t>
      </w:r>
    </w:p>
    <w:p>
      <w:pPr>
        <w:pStyle w:val="Normal"/>
      </w:pPr>
      <w:r>
        <w:t xml:space="preserve">5.1 Responses must be lodged electronically through NSW eTendering by the closing time. Late responses will not be accepted.</w:t>
      </w:r>
    </w:p>
    <w:p>
      <w:pPr>
        <w:pStyle w:val="Normal"/>
      </w:pPr>
      <w:r>
        <w:t xml:space="preserve">5.2 The response must not exceed 30 A4 pages, excluding the returnable schedules, CVs and case study appendices.</w:t>
      </w:r>
    </w:p>
    <w:p>
      <w:pPr>
        <w:pStyle w:val="Normal"/>
      </w:pPr>
      <w:r>
        <w:t xml:space="preserve">5.3 Responses must use Arial 11 point font with single line spacing and 2 cm margins.</w:t>
      </w:r>
    </w:p>
    <w:p>
      <w:pPr>
        <w:pStyle w:val="Normal"/>
      </w:pPr>
      <w:r>
        <w:t xml:space="preserve">5.4 Files must be named using the convention SRWA-RFQ-2026-031_[Respondent name]_[Document name].</w:t>
      </w:r>
    </w:p>
    <w:p>
      <w:pPr>
        <w:pStyle w:val="Normal"/>
      </w:pPr>
      <w:r>
        <w:t xml:space="preserve">5.5 Responses must be submitted in PDF format, with the pricing schedule also provided in Microsoft Excel format.</w:t>
      </w:r>
    </w:p>
    <w:p>
      <w:pPr>
        <w:pStyle w:val="Normal"/>
      </w:pPr>
      <w:r>
        <w:t xml:space="preserve">5.6 CVs for key personnel must not exceed two pages each.</w:t>
      </w:r>
    </w:p>
    <w:p>
      <w:pPr>
        <w:pStyle w:val="Normal"/>
      </w:pPr>
      <w:r>
        <w:t xml:space="preserve">5.7 Questions about this RFQ must be submitted through NSW eTendering by 5:00 pm AEDT on Wednesday 14 October 2026. Answers will be published to all respondents.</w:t>
      </w:r>
    </w:p>
    <w:p>
      <w:pPr>
        <w:pStyle w:val="Heading1"/>
      </w:pPr>
      <w:r>
        <w:t xml:space="preserve">6. Key dates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2800"/>
        <w:gridCol w:w="6838"/>
      </w:tblGrid>
      <w:tr>
        <w:trPr>
          <w:cantSplit/>
          <w:tblHeader/>
        </w:trPr>
        <w:tc>
          <w:tcPr>
            <w:tcW w:w="2800" w:type="dxa"/>
          </w:tcPr>
          <w:p>
            <w:pPr>
              <w:pStyle w:val="TableText"/>
            </w:pPr>
            <w:r>
              <w:t xml:space="preserve">Event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Date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RFQ issued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29 September 2026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Industry briefing (online)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10:00 am AEDT, Wednesday 7 October 2026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Deadline for questions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5:00 pm AEDT, Wednesday 14 October 2026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RFQ closing time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2:00 pm AEDT, Friday 23 October 2026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Shortlist presentations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Week commencing 9 November 2026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Contract commencement</w:t>
            </w:r>
          </w:p>
        </w:tc>
        <w:tc>
          <w:tcPr>
            <w:tcW w:w="6838" w:type="dxa"/>
          </w:tcPr>
          <w:p>
            <w:pPr>
              <w:pStyle w:val="TableText"/>
            </w:pPr>
            <w:r>
              <w:t xml:space="preserve">18 January 2027</w:t>
            </w:r>
          </w:p>
        </w:tc>
      </w:tr>
    </w:tbl>
    <w:p/>
    <w:p>
      <w:pPr>
        <w:pStyle w:val="Heading1"/>
        <w:pageBreakBefore/>
      </w:pPr>
      <w:r>
        <w:t xml:space="preserve">7. Pricing and commercial conditions</w:t>
      </w:r>
    </w:p>
    <w:p>
      <w:pPr>
        <w:pStyle w:val="Normal"/>
      </w:pPr>
      <w:r>
        <w:t xml:space="preserve">7.1 Respondents must complete Returnable Schedule 3 – Pricing Schedule in the Excel format provided.</w:t>
      </w:r>
    </w:p>
    <w:p>
      <w:pPr>
        <w:pStyle w:val="Normal"/>
      </w:pPr>
      <w:r>
        <w:t xml:space="preserve">7.2 Lot 1 must be priced as a fixed price with payment against milestones. Lot 2 may be priced as capped time and materials.</w:t>
      </w:r>
    </w:p>
    <w:p>
      <w:pPr>
        <w:pStyle w:val="Normal"/>
      </w:pPr>
      <w:r>
        <w:t xml:space="preserve">7.3 Daily rates must not exceed the respondent’s ICT Professional Services Panel ceiling rates and must be quoted exclusive of GST.</w:t>
      </w:r>
    </w:p>
    <w:p>
      <w:pPr>
        <w:pStyle w:val="Normal"/>
      </w:pPr>
      <w:r>
        <w:t xml:space="preserve">7.4 The Contract will be based on the Authority’s standard Professional Services Agreement. Liability will be capped at two times the contract value.</w:t>
      </w:r>
    </w:p>
    <w:p>
      <w:pPr>
        <w:pStyle w:val="Normal"/>
      </w:pPr>
      <w:r>
        <w:t xml:space="preserve">7.5 Any departures from the Professional Services Agreement must be identified in Returnable Schedule 4 – Statement of Departures. Departures not identified will be taken to be accepted.</w:t>
      </w:r>
    </w:p>
    <w:p>
      <w:pPr>
        <w:pStyle w:val="Normal"/>
      </w:pPr>
      <w:r>
        <w:t xml:space="preserve">7.6 The supplier must be able to invoice monthly in arrears, with payment within 20 business days of a correctly rendered invoice.</w:t>
      </w:r>
    </w:p>
    <w:p>
      <w:pPr>
        <w:pStyle w:val="Heading1"/>
      </w:pPr>
      <w:r>
        <w:t xml:space="preserve">8. Returnable schedules</w:t>
      </w:r>
    </w:p>
    <w:p>
      <w:pPr>
        <w:pStyle w:val="Normal"/>
      </w:pPr>
      <w:r>
        <w:t xml:space="preserve">8.1 Respondents must complete and submit the following returnable schedules:</w:t>
      </w:r>
    </w:p>
    <w:p>
      <w:pPr>
        <w:pStyle w:val="Normal"/>
      </w:pPr>
      <w:r>
        <w:t xml:space="preserve">Returnable Schedule 1 – Respondent Details and Declaration</w:t>
      </w:r>
    </w:p>
    <w:p>
      <w:pPr>
        <w:pStyle w:val="Normal"/>
      </w:pPr>
      <w:r>
        <w:t xml:space="preserve">Returnable Schedule 2 – Referees (three referees for similar engagements)</w:t>
      </w:r>
    </w:p>
    <w:p>
      <w:pPr>
        <w:pStyle w:val="Normal"/>
      </w:pPr>
      <w:r>
        <w:t xml:space="preserve">Returnable Schedule 3 – Pricing Schedule</w:t>
      </w:r>
    </w:p>
    <w:p>
      <w:pPr>
        <w:pStyle w:val="Normal"/>
      </w:pPr>
      <w:r>
        <w:t xml:space="preserve">Returnable Schedule 4 – Statement of Departures</w:t>
      </w:r>
    </w:p>
    <w:p>
      <w:pPr>
        <w:pStyle w:val="Normal"/>
      </w:pPr>
      <w:r>
        <w:t xml:space="preserve">Returnable Schedule 5 – Conflict of Interest Declaration</w:t>
      </w:r>
    </w:p>
    <w:p>
      <w:pPr>
        <w:pStyle w:val="Normal"/>
      </w:pPr>
      <w:r>
        <w:t xml:space="preserve">Contact officer: Procurement Team, Southern Rivers Water Authority, procurement@srwa.example.au</w:t>
      </w:r>
    </w:p>
    <w:sectPr>
      <w:headerReference w:type="default" r:id="rIdHeader1"/>
      <w:footerReference w:type="default" r:id="rIdFooter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SRWA-RFQ-2026-031 Request for Quote</w:t>
    </w:r>
    <w:r>
      <w:tab/>
    </w:r>
    <w:r>
      <w:t xml:space="preserve"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Sample document for the CTO Consulting Proposal Platform. All organisations are fictitious.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57" w:hanging="357"/>
      </w:pPr>
      <w:rPr>
        <w:rFonts w:ascii="Arial" w:hAnsi="Arial" w:hint="default"/>
        <w:color w:val="0B7D88"/>
      </w:rPr>
    </w:lvl>
    <w:lvl w:ilvl="1">
      <w:start w:val="1"/>
      <w:numFmt w:val="bullet"/>
      <w:lvlText w:val="–"/>
      <w:lvlJc w:val="left"/>
      <w:pPr>
        <w:ind w:left="714" w:hanging="357"/>
      </w:pPr>
      <w:rPr>
        <w:rFonts w:ascii="Arial" w:hAnsi="Arial" w:hint="default"/>
        <w:color w:val="0B7D88"/>
      </w:rPr>
    </w:lvl>
    <w:lvl w:ilvl="2">
      <w:start w:val="1"/>
      <w:numFmt w:val="bullet"/>
      <w:lvlText w:val="•"/>
      <w:lvlJc w:val="left"/>
      <w:pPr>
        <w:ind w:left="1071" w:hanging="357"/>
      </w:pPr>
      <w:rPr>
        <w:rFonts w:ascii="Arial" w:hAnsi="Arial" w:hint="default"/>
        <w:color w:val="0B7D8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14" w:hanging="357"/>
      </w:pPr>
    </w:lvl>
    <w:lvl w:ilvl="2">
      <w:start w:val="1"/>
      <w:numFmt w:val="lowerRoman"/>
      <w:lvlText w:val="%3."/>
      <w:lvlJc w:val="left"/>
      <w:pPr>
        <w:ind w:left="1071" w:hanging="357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removePersonalInformation/>
  <w:defaultTabStop w:val="720"/>
  <w:characterSpacingControl w:val="doNotCompress"/>
  <w:compat>
    <w:compatSetting w:name="compatibilityMode" w:uri="http://schemas.microsoft.com/office/word" w:val="15"/>
  </w:compat>
  <w:themeFontLang w:val="en-AU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outlineLvl w:val="9"/>
    </w:pPr>
    <w:rPr>
      <w:b/>
      <w:bCs/>
      <w:color w:val="0B1F3A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after="360"/>
    </w:pPr>
    <w:rPr>
      <w:color w:val="0B7D88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FA3B1"/>
      </w:pBdr>
      <w:spacing w:before="360" w:after="160"/>
      <w:outlineLvl w:val="0"/>
    </w:pPr>
    <w:rPr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00"/>
      <w:outlineLvl w:val="1"/>
    </w:pPr>
    <w:rPr>
      <w:b/>
      <w:bCs/>
      <w:color w:val="0B7D88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bCs/>
      <w:color w:val="0B1F3A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60" w:after="60"/>
      <w:outlineLvl w:val="3"/>
    </w:pPr>
    <w:rPr>
      <w:b/>
      <w:bCs/>
      <w:i/>
      <w:iCs/>
      <w:color w:val="0B1F3A"/>
      <w:sz w:val="22"/>
      <w:szCs w:val="2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628"/>
      </w:tabs>
      <w:spacing w:before="120" w:after="40"/>
    </w:pPr>
    <w:rPr>
      <w:b/>
      <w:bCs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628"/>
      </w:tabs>
      <w:spacing w:after="40"/>
      <w:ind w:left="284"/>
    </w:pPr>
  </w:style>
  <w:style w:type="paragraph" w:styleId="ListBullet">
    <w:name w:val="List Bullet"/>
    <w:basedOn w:val="Normal"/>
    <w:uiPriority w:val="34"/>
    <w:qFormat/>
    <w:pPr>
      <w:numPr>
        <w:numId w:val="1"/>
      </w:numPr>
      <w:spacing w:after="60"/>
      <w:ind w:left="357" w:hanging="357"/>
    </w:pPr>
  </w:style>
  <w:style w:type="paragraph" w:styleId="ListBullet2">
    <w:name w:val="List Bullet 2"/>
    <w:basedOn w:val="Normal"/>
    <w:uiPriority w:val="34"/>
    <w:qFormat/>
    <w:pPr>
      <w:numPr>
        <w:ilvl w:val="1"/>
        <w:numId w:val="1"/>
      </w:numPr>
      <w:spacing w:after="60"/>
      <w:ind w:left="714" w:hanging="357"/>
    </w:pPr>
  </w:style>
  <w:style w:type="paragraph" w:styleId="ListNumber">
    <w:name w:val="List Number"/>
    <w:basedOn w:val="Normal"/>
    <w:uiPriority w:val="34"/>
    <w:qFormat/>
    <w:pPr>
      <w:numPr>
        <w:numId w:val="2"/>
      </w:numPr>
      <w:spacing w:after="60"/>
      <w:ind w:left="357" w:hanging="357"/>
    </w:pPr>
  </w:style>
  <w:style w:type="paragraph" w:styleId="Caption">
    <w:name w:val="caption"/>
    <w:basedOn w:val="Normal"/>
    <w:next w:val="Normal"/>
    <w:uiPriority w:val="35"/>
    <w:qFormat/>
    <w:pPr>
      <w:keepNext/>
      <w:spacing w:before="160" w:after="80"/>
    </w:pPr>
    <w:rPr>
      <w:b/>
      <w:bCs/>
      <w:color w:val="5A6675"/>
      <w:sz w:val="18"/>
      <w:szCs w:val="18"/>
    </w:rPr>
  </w:style>
  <w:style w:type="paragraph" w:styleId="TableText">
    <w:name w:val="Table Text"/>
    <w:basedOn w:val="Normal"/>
    <w:uiPriority w:val="40"/>
    <w:qFormat/>
    <w:pPr>
      <w:spacing w:before="20" w:after="20" w:line="240" w:lineRule="auto"/>
    </w:pPr>
    <w:rPr>
      <w:sz w:val="19"/>
      <w:szCs w:val="19"/>
    </w:rPr>
  </w:style>
  <w:style w:type="paragraph" w:styleId="TableHeading">
    <w:name w:val="Table Heading"/>
    <w:basedOn w:val="TableText"/>
    <w:uiPriority w:val="40"/>
    <w:qFormat/>
    <w:pPr>
      <w:keepNext/>
      <w:spacing w:before="20" w:after="20" w:line="240" w:lineRule="auto"/>
    </w:pPr>
    <w:rPr>
      <w:b/>
      <w:bCs/>
      <w:color w:val="FFFFFF"/>
      <w:sz w:val="19"/>
      <w:szCs w:val="19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0FA3B1"/>
      </w:pBdr>
      <w:ind w:left="284"/>
    </w:pPr>
    <w:rPr>
      <w:i/>
      <w:iCs/>
      <w:color w:val="5A6675"/>
    </w:rPr>
  </w:style>
  <w:style w:type="paragraph" w:styleId="CoverMeta">
    <w:name w:val="Cover Meta"/>
    <w:basedOn w:val="Normal"/>
    <w:uiPriority w:val="41"/>
    <w:qFormat/>
    <w:pPr>
      <w:spacing w:after="60"/>
    </w:pPr>
    <w:rPr>
      <w:color w:val="5A6675"/>
      <w:sz w:val="22"/>
      <w:szCs w:val="22"/>
    </w:rPr>
  </w:style>
  <w:style w:type="paragraph" w:styleId="CoverMark">
    <w:name w:val="Cover Mark"/>
    <w:basedOn w:val="Normal"/>
    <w:uiPriority w:val="42"/>
    <w:qFormat/>
    <w:pPr>
      <w:spacing w:before="480" w:after="120"/>
    </w:pPr>
    <w:rPr>
      <w:b/>
      <w:bCs/>
      <w:caps/>
      <w:color w:val="B42318"/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4" w:space="4" w:color="CFD7E2"/>
      </w:pBdr>
      <w:tabs>
        <w:tab w:val="right" w:pos="9638"/>
      </w:tabs>
      <w:spacing w:after="0"/>
    </w:pPr>
    <w:rPr>
      <w:color w:val="5A6675"/>
      <w:sz w:val="17"/>
      <w:szCs w:val="17"/>
    </w:rPr>
  </w:style>
  <w:style w:type="paragraph" w:styleId="Footer">
    <w:name w:val="footer"/>
    <w:basedOn w:val="Normal"/>
    <w:link w:val="FooterChar"/>
    <w:uiPriority w:val="99"/>
    <w:qFormat/>
    <w:pPr>
      <w:tabs>
        <w:tab w:val="right" w:pos="9638"/>
      </w:tabs>
      <w:spacing w:after="0"/>
    </w:pPr>
    <w:rPr>
      <w:color w:val="5A6675"/>
      <w:sz w:val="17"/>
      <w:szCs w:val="17"/>
    </w:rPr>
  </w:style>
  <w:style w:type="character" w:styleId="HeaderChar">
    <w:name w:val="Header Char"/>
    <w:basedOn w:val="DefaultParagraphFont"/>
    <w:link w:val="Header"/>
    <w:uiPriority w:val="99"/>
  </w:style>
  <w:style w:type="character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rPr>
      <w:color w:val="0B7D88"/>
      <w:u w:val="single"/>
    </w:rPr>
  </w:style>
  <w:style w:type="table" w:styleId="CTOTable">
    <w:name w:val="CTO Table"/>
    <w:basedOn w:val="TableNormal"/>
    <w:uiPriority w:val="59"/>
    <w:pPr>
      <w:spacing w:before="20" w:after="20" w:line="240" w:lineRule="auto"/>
    </w:pPr>
    <w:rPr>
      <w:sz w:val="19"/>
      <w:szCs w:val="19"/>
    </w:rPr>
    <w:tblPr>
      <w:tblBorders>
        <w:top w:val="single" w:sz="4" w:space="0" w:color="CFD7E2"/>
        <w:left w:val="single" w:sz="4" w:space="0" w:color="CFD7E2"/>
        <w:bottom w:val="single" w:sz="4" w:space="0" w:color="CFD7E2"/>
        <w:right w:val="single" w:sz="4" w:space="0" w:color="CFD7E2"/>
        <w:insideH w:val="single" w:sz="4" w:space="0" w:color="CFD7E2"/>
        <w:insideV w:val="single" w:sz="4" w:space="0" w:color="CFD7E2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0B1F3A"/>
      </w:tcPr>
    </w:tblStylePr>
    <w:tblStylePr w:type="band1Horz">
      <w:tcPr>
        <w:shd w:val="clear" w:color="auto" w:fill="F4F6F9"/>
      </w:tcPr>
    </w:tblStyle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CTO Consulting Proposal Platform</Application>
  <Company>CTO Consulting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SRWA-RFQ-2026-031 Request for Quote</dc:title>
  <dc:subject>SRWA-RFQ-2026-031 Request for Quote</dc:subject>
  <dc:creator>CTO Consulting</dc:creator>
  <cp:lastModifiedBy>CTO Consulting</cp:lastModifiedBy>
  <cp:revision>1</cp:revision>
  <dcterms:created xsi:type="dcterms:W3CDTF">2026-09-30T00:01:29Z</dcterms:created>
  <dcterms:modified xsi:type="dcterms:W3CDTF">2026-09-30T00:01:29Z</dcterms:modified>
</cp:coreProperties>
</file>