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EE1C" w14:textId="23720B88" w:rsidR="00B171BB" w:rsidRPr="00E024ED" w:rsidRDefault="00B171BB" w:rsidP="00B171BB">
      <w:pPr>
        <w:jc w:val="center"/>
        <w:rPr>
          <w:b/>
          <w:bCs/>
          <w:sz w:val="36"/>
          <w:szCs w:val="36"/>
          <w:u w:val="single"/>
        </w:rPr>
      </w:pPr>
      <w:bookmarkStart w:id="0" w:name="_Hlk147071118"/>
      <w:bookmarkEnd w:id="0"/>
      <w:r>
        <w:rPr>
          <w:b/>
          <w:bCs/>
          <w:sz w:val="36"/>
          <w:szCs w:val="36"/>
          <w:u w:val="single"/>
        </w:rPr>
        <w:t>Analog Design</w:t>
      </w:r>
      <w:r>
        <w:rPr>
          <w:b/>
          <w:bCs/>
          <w:sz w:val="36"/>
          <w:szCs w:val="36"/>
          <w:u w:val="single"/>
        </w:rPr>
        <w:t xml:space="preserve"> Lecture</w:t>
      </w:r>
      <w:r w:rsidRPr="00E024ED">
        <w:rPr>
          <w:b/>
          <w:bCs/>
          <w:sz w:val="36"/>
          <w:szCs w:val="36"/>
          <w:u w:val="single"/>
        </w:rPr>
        <w:t xml:space="preserve"> Assignment</w:t>
      </w:r>
      <w:r>
        <w:rPr>
          <w:b/>
          <w:bCs/>
          <w:sz w:val="36"/>
          <w:szCs w:val="36"/>
          <w:u w:val="single"/>
        </w:rPr>
        <w:t xml:space="preserve"> #1</w:t>
      </w:r>
    </w:p>
    <w:p w14:paraId="02915CB3" w14:textId="77777777" w:rsidR="00B171BB" w:rsidRDefault="00B171BB" w:rsidP="00B171BB">
      <w:pPr>
        <w:rPr>
          <w:b/>
          <w:bCs/>
          <w:sz w:val="36"/>
          <w:szCs w:val="36"/>
          <w:u w:val="single"/>
        </w:rPr>
      </w:pPr>
    </w:p>
    <w:p w14:paraId="60F0F68F" w14:textId="77777777" w:rsidR="00A86900" w:rsidRDefault="00A86900" w:rsidP="00B171BB">
      <w:pPr>
        <w:rPr>
          <w:b/>
          <w:bCs/>
          <w:sz w:val="36"/>
          <w:szCs w:val="36"/>
          <w:u w:val="single"/>
        </w:rPr>
      </w:pPr>
    </w:p>
    <w:p w14:paraId="1D9DEB3D" w14:textId="77777777" w:rsidR="00B171BB" w:rsidRDefault="00B171BB" w:rsidP="00B171BB">
      <w:pPr>
        <w:rPr>
          <w:b/>
          <w:bCs/>
          <w:sz w:val="36"/>
          <w:szCs w:val="36"/>
          <w:u w:val="single"/>
        </w:rPr>
      </w:pPr>
    </w:p>
    <w:p w14:paraId="5D7228C4" w14:textId="4C792BB3" w:rsidR="00B171BB" w:rsidRDefault="00B171BB" w:rsidP="00B171BB">
      <w:pPr>
        <w:rPr>
          <w:b/>
          <w:bCs/>
          <w:sz w:val="36"/>
          <w:szCs w:val="36"/>
          <w:u w:val="single"/>
        </w:rPr>
      </w:pPr>
    </w:p>
    <w:p w14:paraId="73F5534E" w14:textId="77777777" w:rsidR="007E4F33" w:rsidRDefault="007E4F33" w:rsidP="00B171BB">
      <w:pPr>
        <w:rPr>
          <w:b/>
          <w:bCs/>
          <w:sz w:val="36"/>
          <w:szCs w:val="36"/>
          <w:u w:val="single"/>
        </w:rPr>
      </w:pPr>
    </w:p>
    <w:p w14:paraId="7F92D4BF" w14:textId="77777777" w:rsidR="00B171BB" w:rsidRDefault="00B171BB" w:rsidP="00B171BB">
      <w:pPr>
        <w:rPr>
          <w:b/>
          <w:bCs/>
          <w:sz w:val="36"/>
          <w:szCs w:val="36"/>
          <w:u w:val="single"/>
        </w:rPr>
      </w:pPr>
    </w:p>
    <w:p w14:paraId="3EF892A8" w14:textId="77777777" w:rsidR="00B171BB" w:rsidRDefault="00B171BB" w:rsidP="00B171BB">
      <w:pPr>
        <w:rPr>
          <w:b/>
          <w:bCs/>
          <w:sz w:val="36"/>
          <w:szCs w:val="36"/>
        </w:rPr>
      </w:pPr>
      <w:r w:rsidRPr="00E024ED">
        <w:rPr>
          <w:b/>
          <w:bCs/>
          <w:sz w:val="36"/>
          <w:szCs w:val="36"/>
          <w:u w:val="single"/>
        </w:rPr>
        <w:t>Name:</w:t>
      </w:r>
      <w:r>
        <w:rPr>
          <w:b/>
          <w:bCs/>
          <w:sz w:val="36"/>
          <w:szCs w:val="36"/>
        </w:rPr>
        <w:t xml:space="preserve"> Karim Mahmoud Kamal Mohamed</w:t>
      </w:r>
    </w:p>
    <w:p w14:paraId="611F06D4" w14:textId="77777777" w:rsidR="00B171BB" w:rsidRDefault="00B171BB" w:rsidP="00B171BB">
      <w:pPr>
        <w:rPr>
          <w:b/>
          <w:bCs/>
          <w:sz w:val="36"/>
          <w:szCs w:val="36"/>
        </w:rPr>
      </w:pPr>
      <w:r w:rsidRPr="00E024ED">
        <w:rPr>
          <w:b/>
          <w:bCs/>
          <w:sz w:val="36"/>
          <w:szCs w:val="36"/>
          <w:u w:val="single"/>
        </w:rPr>
        <w:t>Section:</w:t>
      </w:r>
      <w:r>
        <w:rPr>
          <w:b/>
          <w:bCs/>
          <w:sz w:val="36"/>
          <w:szCs w:val="36"/>
        </w:rPr>
        <w:t xml:space="preserve"> 16</w:t>
      </w:r>
    </w:p>
    <w:p w14:paraId="7E55DE02" w14:textId="77777777" w:rsidR="00B171BB" w:rsidRDefault="00B171BB" w:rsidP="00B171BB">
      <w:pPr>
        <w:rPr>
          <w:b/>
          <w:bCs/>
          <w:sz w:val="36"/>
          <w:szCs w:val="36"/>
        </w:rPr>
      </w:pPr>
      <w:r w:rsidRPr="00E024ED">
        <w:rPr>
          <w:b/>
          <w:bCs/>
          <w:sz w:val="36"/>
          <w:szCs w:val="36"/>
          <w:u w:val="single"/>
        </w:rPr>
        <w:t>AUC ID:</w:t>
      </w:r>
      <w:r>
        <w:rPr>
          <w:b/>
          <w:bCs/>
          <w:sz w:val="36"/>
          <w:szCs w:val="36"/>
        </w:rPr>
        <w:t xml:space="preserve"> V23010174</w:t>
      </w:r>
    </w:p>
    <w:p w14:paraId="3F33019D" w14:textId="77777777" w:rsidR="00B171BB" w:rsidRDefault="00B171BB" w:rsidP="00B171BB">
      <w:pPr>
        <w:rPr>
          <w:b/>
          <w:bCs/>
          <w:sz w:val="36"/>
          <w:szCs w:val="36"/>
        </w:rPr>
      </w:pPr>
    </w:p>
    <w:p w14:paraId="22D1CCDD" w14:textId="77777777" w:rsidR="00B171BB" w:rsidRDefault="00B171BB" w:rsidP="00B171BB">
      <w:pPr>
        <w:rPr>
          <w:b/>
          <w:bCs/>
          <w:sz w:val="36"/>
          <w:szCs w:val="36"/>
        </w:rPr>
      </w:pPr>
    </w:p>
    <w:p w14:paraId="65ACF22E" w14:textId="77777777" w:rsidR="00B171BB" w:rsidRDefault="00B171BB" w:rsidP="00B171BB">
      <w:pPr>
        <w:rPr>
          <w:b/>
          <w:bCs/>
          <w:sz w:val="36"/>
          <w:szCs w:val="36"/>
        </w:rPr>
      </w:pPr>
    </w:p>
    <w:p w14:paraId="36D3BBE2" w14:textId="77777777" w:rsidR="00B171BB" w:rsidRDefault="00B171BB" w:rsidP="00B171BB">
      <w:pPr>
        <w:rPr>
          <w:b/>
          <w:bCs/>
          <w:sz w:val="36"/>
          <w:szCs w:val="36"/>
        </w:rPr>
      </w:pPr>
    </w:p>
    <w:p w14:paraId="1E8433AE" w14:textId="77777777" w:rsidR="00A86900" w:rsidRDefault="00A86900" w:rsidP="00B171BB">
      <w:pPr>
        <w:rPr>
          <w:b/>
          <w:bCs/>
          <w:sz w:val="36"/>
          <w:szCs w:val="36"/>
        </w:rPr>
      </w:pPr>
    </w:p>
    <w:p w14:paraId="73DB9987" w14:textId="77777777" w:rsidR="00B171BB" w:rsidRDefault="00B171BB" w:rsidP="00B171BB">
      <w:pPr>
        <w:rPr>
          <w:b/>
          <w:bCs/>
          <w:sz w:val="36"/>
          <w:szCs w:val="36"/>
        </w:rPr>
      </w:pPr>
    </w:p>
    <w:p w14:paraId="4A9DB45F" w14:textId="77777777" w:rsidR="00B171BB" w:rsidRDefault="00B171BB" w:rsidP="00B171BB">
      <w:pPr>
        <w:rPr>
          <w:b/>
          <w:bCs/>
          <w:sz w:val="36"/>
          <w:szCs w:val="36"/>
        </w:rPr>
      </w:pPr>
    </w:p>
    <w:p w14:paraId="1F1D82BF" w14:textId="77777777" w:rsidR="00B171BB" w:rsidRDefault="00B171BB" w:rsidP="00B171BB">
      <w:pPr>
        <w:rPr>
          <w:b/>
          <w:bCs/>
          <w:sz w:val="36"/>
          <w:szCs w:val="36"/>
        </w:rPr>
      </w:pPr>
    </w:p>
    <w:p w14:paraId="4A2D91E2" w14:textId="77777777" w:rsidR="00B171BB" w:rsidRDefault="00B171BB" w:rsidP="00B171BB">
      <w:pPr>
        <w:jc w:val="center"/>
        <w:rPr>
          <w:b/>
          <w:bCs/>
          <w:sz w:val="36"/>
          <w:szCs w:val="36"/>
        </w:rPr>
      </w:pPr>
      <w:r>
        <w:rPr>
          <w:b/>
          <w:bCs/>
          <w:sz w:val="36"/>
          <w:szCs w:val="36"/>
        </w:rPr>
        <w:t xml:space="preserve">Supervisor: Dr. Mamdouh </w:t>
      </w:r>
      <w:proofErr w:type="spellStart"/>
      <w:r>
        <w:rPr>
          <w:b/>
          <w:bCs/>
          <w:sz w:val="36"/>
          <w:szCs w:val="36"/>
        </w:rPr>
        <w:t>Abdelmejeed</w:t>
      </w:r>
      <w:proofErr w:type="spellEnd"/>
    </w:p>
    <w:p w14:paraId="5142634B" w14:textId="77777777" w:rsidR="00B171BB" w:rsidRDefault="00B171BB" w:rsidP="00B171BB">
      <w:pPr>
        <w:jc w:val="center"/>
        <w:rPr>
          <w:b/>
          <w:bCs/>
          <w:sz w:val="36"/>
          <w:szCs w:val="36"/>
        </w:rPr>
      </w:pPr>
    </w:p>
    <w:p w14:paraId="0298F61B" w14:textId="5B1604A8" w:rsidR="00A86900" w:rsidRPr="00A86900" w:rsidRDefault="00A86900" w:rsidP="00A86900">
      <w:pPr>
        <w:jc w:val="center"/>
        <w:rPr>
          <w:b/>
          <w:bCs/>
          <w:sz w:val="44"/>
          <w:szCs w:val="44"/>
        </w:rPr>
      </w:pPr>
      <w:r w:rsidRPr="00A86900">
        <w:rPr>
          <w:b/>
          <w:bCs/>
          <w:sz w:val="44"/>
          <w:szCs w:val="44"/>
        </w:rPr>
        <w:lastRenderedPageBreak/>
        <w:t>"Who Says Elephants Can't Dance?"</w:t>
      </w:r>
    </w:p>
    <w:p w14:paraId="5ED0401C" w14:textId="77777777" w:rsidR="00A86900" w:rsidRDefault="00A86900" w:rsidP="00A86900">
      <w:pPr>
        <w:rPr>
          <w:b/>
          <w:bCs/>
          <w:sz w:val="36"/>
          <w:szCs w:val="36"/>
        </w:rPr>
      </w:pPr>
      <w:r w:rsidRPr="00A86900">
        <w:rPr>
          <w:b/>
          <w:bCs/>
          <w:sz w:val="36"/>
          <w:szCs w:val="36"/>
        </w:rPr>
        <w:t>In the early 1990s, IBM was facing a significant crisis due to various internal and external challenges</w:t>
      </w:r>
      <w:r>
        <w:rPr>
          <w:b/>
          <w:bCs/>
          <w:sz w:val="36"/>
          <w:szCs w:val="36"/>
        </w:rPr>
        <w:t>:</w:t>
      </w:r>
    </w:p>
    <w:p w14:paraId="2B6AEB78" w14:textId="33E3B87E" w:rsidR="00A86900" w:rsidRPr="00A86900" w:rsidRDefault="00A86900" w:rsidP="00A86900">
      <w:pPr>
        <w:pStyle w:val="ListParagraph"/>
        <w:numPr>
          <w:ilvl w:val="0"/>
          <w:numId w:val="1"/>
        </w:numPr>
        <w:rPr>
          <w:b/>
          <w:bCs/>
          <w:sz w:val="36"/>
          <w:szCs w:val="36"/>
        </w:rPr>
      </w:pPr>
      <w:r w:rsidRPr="00A86900">
        <w:rPr>
          <w:b/>
          <w:bCs/>
          <w:sz w:val="36"/>
          <w:szCs w:val="36"/>
        </w:rPr>
        <w:t>IBM's inability to adapt to the rapidly changing technology landscape. The company had traditionally focused on mainframe computers, which were losing popularity as personal computers and client-server systems gained prominence. IBM's failure to recognize and respond to these shifts in the industry resulted in a decline in market share and financial performance.</w:t>
      </w:r>
    </w:p>
    <w:p w14:paraId="3FD836D5" w14:textId="77777777" w:rsidR="00A86900" w:rsidRPr="00A86900" w:rsidRDefault="00A86900" w:rsidP="00A86900">
      <w:pPr>
        <w:rPr>
          <w:b/>
          <w:bCs/>
          <w:sz w:val="36"/>
          <w:szCs w:val="36"/>
        </w:rPr>
      </w:pPr>
    </w:p>
    <w:p w14:paraId="64BC53DB" w14:textId="3FE38F83" w:rsidR="00A86900" w:rsidRPr="00A86900" w:rsidRDefault="00A86900" w:rsidP="00A86900">
      <w:pPr>
        <w:pStyle w:val="ListParagraph"/>
        <w:numPr>
          <w:ilvl w:val="0"/>
          <w:numId w:val="1"/>
        </w:numPr>
        <w:rPr>
          <w:b/>
          <w:bCs/>
          <w:sz w:val="36"/>
          <w:szCs w:val="36"/>
        </w:rPr>
      </w:pPr>
      <w:r w:rsidRPr="00A86900">
        <w:rPr>
          <w:b/>
          <w:bCs/>
          <w:sz w:val="36"/>
          <w:szCs w:val="36"/>
        </w:rPr>
        <w:t xml:space="preserve">IBM's complex organizational structure and culture. The company had become overly centralized, with decision-making processes being slow and cumbersome. This hindered innovation and agility, making it difficult for IBM to keep up with its </w:t>
      </w:r>
      <w:proofErr w:type="gramStart"/>
      <w:r w:rsidRPr="00A86900">
        <w:rPr>
          <w:b/>
          <w:bCs/>
          <w:sz w:val="36"/>
          <w:szCs w:val="36"/>
        </w:rPr>
        <w:t>more nimble</w:t>
      </w:r>
      <w:proofErr w:type="gramEnd"/>
      <w:r w:rsidRPr="00A86900">
        <w:rPr>
          <w:b/>
          <w:bCs/>
          <w:sz w:val="36"/>
          <w:szCs w:val="36"/>
        </w:rPr>
        <w:t xml:space="preserve"> competitors.</w:t>
      </w:r>
    </w:p>
    <w:p w14:paraId="27E9E787" w14:textId="77777777" w:rsidR="00A86900" w:rsidRPr="00A86900" w:rsidRDefault="00A86900" w:rsidP="00A86900">
      <w:pPr>
        <w:rPr>
          <w:b/>
          <w:bCs/>
          <w:sz w:val="36"/>
          <w:szCs w:val="36"/>
        </w:rPr>
      </w:pPr>
    </w:p>
    <w:p w14:paraId="53640041" w14:textId="0950E283" w:rsidR="00A86900" w:rsidRPr="00A86900" w:rsidRDefault="00A86900" w:rsidP="00A86900">
      <w:pPr>
        <w:pStyle w:val="ListParagraph"/>
        <w:numPr>
          <w:ilvl w:val="0"/>
          <w:numId w:val="1"/>
        </w:numPr>
        <w:rPr>
          <w:b/>
          <w:bCs/>
          <w:sz w:val="36"/>
          <w:szCs w:val="36"/>
        </w:rPr>
      </w:pPr>
      <w:r w:rsidRPr="00A86900">
        <w:rPr>
          <w:b/>
          <w:bCs/>
          <w:sz w:val="36"/>
          <w:szCs w:val="36"/>
        </w:rPr>
        <w:t>IBM had become too focused on selling hardware and had neglected the importance of software and services. As technology evolved, customers were increasingly seeking integrated solutions rather than standalone products.</w:t>
      </w:r>
    </w:p>
    <w:p w14:paraId="3E6AB221" w14:textId="77777777" w:rsidR="00A86900" w:rsidRPr="00A86900" w:rsidRDefault="00A86900" w:rsidP="00A86900">
      <w:pPr>
        <w:rPr>
          <w:b/>
          <w:bCs/>
          <w:sz w:val="36"/>
          <w:szCs w:val="36"/>
        </w:rPr>
      </w:pPr>
    </w:p>
    <w:p w14:paraId="5A391DA4" w14:textId="77777777" w:rsidR="00A86900" w:rsidRDefault="00A86900" w:rsidP="00A86900">
      <w:pPr>
        <w:rPr>
          <w:b/>
          <w:bCs/>
          <w:sz w:val="36"/>
          <w:szCs w:val="36"/>
        </w:rPr>
      </w:pPr>
      <w:r w:rsidRPr="00A86900">
        <w:rPr>
          <w:b/>
          <w:bCs/>
          <w:sz w:val="36"/>
          <w:szCs w:val="36"/>
        </w:rPr>
        <w:lastRenderedPageBreak/>
        <w:t>To address these challenges and lead IBM's recovery, Lou Gerstner implemented several key strategies</w:t>
      </w:r>
      <w:r>
        <w:rPr>
          <w:b/>
          <w:bCs/>
          <w:sz w:val="36"/>
          <w:szCs w:val="36"/>
        </w:rPr>
        <w:t>:</w:t>
      </w:r>
    </w:p>
    <w:p w14:paraId="1E4060C6" w14:textId="12AF443B" w:rsidR="00A86900" w:rsidRPr="00A86900" w:rsidRDefault="00A86900" w:rsidP="00A86900">
      <w:pPr>
        <w:pStyle w:val="ListParagraph"/>
        <w:numPr>
          <w:ilvl w:val="0"/>
          <w:numId w:val="2"/>
        </w:numPr>
        <w:rPr>
          <w:b/>
          <w:bCs/>
          <w:sz w:val="36"/>
          <w:szCs w:val="36"/>
        </w:rPr>
      </w:pPr>
      <w:r>
        <w:rPr>
          <w:b/>
          <w:bCs/>
          <w:sz w:val="36"/>
          <w:szCs w:val="36"/>
        </w:rPr>
        <w:t xml:space="preserve">IBM </w:t>
      </w:r>
      <w:r w:rsidRPr="00A86900">
        <w:rPr>
          <w:b/>
          <w:bCs/>
          <w:sz w:val="36"/>
          <w:szCs w:val="36"/>
        </w:rPr>
        <w:t>shift</w:t>
      </w:r>
      <w:r>
        <w:rPr>
          <w:b/>
          <w:bCs/>
          <w:sz w:val="36"/>
          <w:szCs w:val="36"/>
        </w:rPr>
        <w:t>ed</w:t>
      </w:r>
      <w:r w:rsidRPr="00A86900">
        <w:rPr>
          <w:b/>
          <w:bCs/>
          <w:sz w:val="36"/>
          <w:szCs w:val="36"/>
        </w:rPr>
        <w:t xml:space="preserve"> in focus from hardware to software and services. Gerstner recognized the importance of providing integrated solutions to customers and invested heavily in building a robust software portfolio. This strategic shift helped IBM diversify its revenue streams and better meet customer needs.</w:t>
      </w:r>
    </w:p>
    <w:p w14:paraId="26CD5C08" w14:textId="77777777" w:rsidR="00A86900" w:rsidRPr="00A86900" w:rsidRDefault="00A86900" w:rsidP="00A86900">
      <w:pPr>
        <w:rPr>
          <w:b/>
          <w:bCs/>
          <w:sz w:val="36"/>
          <w:szCs w:val="36"/>
        </w:rPr>
      </w:pPr>
    </w:p>
    <w:p w14:paraId="2F50590D" w14:textId="5AD8A528" w:rsidR="00A86900" w:rsidRPr="00A86900" w:rsidRDefault="00A86900" w:rsidP="00A86900">
      <w:pPr>
        <w:pStyle w:val="ListParagraph"/>
        <w:numPr>
          <w:ilvl w:val="0"/>
          <w:numId w:val="2"/>
        </w:numPr>
        <w:rPr>
          <w:b/>
          <w:bCs/>
          <w:sz w:val="36"/>
          <w:szCs w:val="36"/>
        </w:rPr>
      </w:pPr>
      <w:r w:rsidRPr="00A86900">
        <w:rPr>
          <w:b/>
          <w:bCs/>
          <w:sz w:val="36"/>
          <w:szCs w:val="36"/>
        </w:rPr>
        <w:t>Gerstner also prioritized customer-centricity and emphasized the importance of understanding customer requirements. He encouraged a culture of listening to customers and responding to their needs, which helped IBM regain customer trust and loyalty.</w:t>
      </w:r>
    </w:p>
    <w:p w14:paraId="38751FC4" w14:textId="77777777" w:rsidR="00A86900" w:rsidRPr="00A86900" w:rsidRDefault="00A86900" w:rsidP="00A86900">
      <w:pPr>
        <w:rPr>
          <w:b/>
          <w:bCs/>
          <w:sz w:val="36"/>
          <w:szCs w:val="36"/>
        </w:rPr>
      </w:pPr>
    </w:p>
    <w:p w14:paraId="00506618" w14:textId="6036B200" w:rsidR="00A86900" w:rsidRPr="00A86900" w:rsidRDefault="00A86900" w:rsidP="00A86900">
      <w:pPr>
        <w:pStyle w:val="ListParagraph"/>
        <w:numPr>
          <w:ilvl w:val="0"/>
          <w:numId w:val="2"/>
        </w:numPr>
        <w:rPr>
          <w:b/>
          <w:bCs/>
          <w:sz w:val="36"/>
          <w:szCs w:val="36"/>
        </w:rPr>
      </w:pPr>
      <w:r w:rsidRPr="00A86900">
        <w:rPr>
          <w:b/>
          <w:bCs/>
          <w:sz w:val="36"/>
          <w:szCs w:val="36"/>
        </w:rPr>
        <w:t>Gerstner implemented a significant organizational transformation within IBM. He streamlined the company's complex structure, reducing bureaucracy and empowering employees to make decisions more efficiently. This allowed for greater innovation and responsiveness to market changes.</w:t>
      </w:r>
    </w:p>
    <w:p w14:paraId="27694990" w14:textId="77777777" w:rsidR="00A86900" w:rsidRPr="00A86900" w:rsidRDefault="00A86900" w:rsidP="00A86900">
      <w:pPr>
        <w:rPr>
          <w:b/>
          <w:bCs/>
          <w:sz w:val="36"/>
          <w:szCs w:val="36"/>
        </w:rPr>
      </w:pPr>
    </w:p>
    <w:p w14:paraId="0D37DE8D" w14:textId="11E6801A" w:rsidR="00A86900" w:rsidRPr="00A86900" w:rsidRDefault="00A86900" w:rsidP="00EF5559">
      <w:pPr>
        <w:pStyle w:val="ListParagraph"/>
        <w:numPr>
          <w:ilvl w:val="0"/>
          <w:numId w:val="2"/>
        </w:numPr>
        <w:rPr>
          <w:b/>
          <w:bCs/>
          <w:sz w:val="36"/>
          <w:szCs w:val="36"/>
        </w:rPr>
      </w:pPr>
      <w:r w:rsidRPr="00A86900">
        <w:rPr>
          <w:b/>
          <w:bCs/>
          <w:sz w:val="36"/>
          <w:szCs w:val="36"/>
        </w:rPr>
        <w:t xml:space="preserve">Another crucial aspect of IBM's recovery under Gerstner was a focus on partnerships and alliances. Recognizing that no single company could excel in all areas, Gerstner </w:t>
      </w:r>
      <w:r w:rsidRPr="00A86900">
        <w:rPr>
          <w:b/>
          <w:bCs/>
          <w:sz w:val="36"/>
          <w:szCs w:val="36"/>
        </w:rPr>
        <w:lastRenderedPageBreak/>
        <w:t>forged strategic partnerships with other technology companies. These alliances helped IBM expand its offerings and access new markets, strengthening its competitive position.</w:t>
      </w:r>
    </w:p>
    <w:p w14:paraId="336182CB" w14:textId="77777777" w:rsidR="00A86900" w:rsidRPr="00A86900" w:rsidRDefault="00A86900" w:rsidP="00A86900">
      <w:pPr>
        <w:rPr>
          <w:b/>
          <w:bCs/>
          <w:sz w:val="36"/>
          <w:szCs w:val="36"/>
        </w:rPr>
      </w:pPr>
    </w:p>
    <w:p w14:paraId="3EE368BB" w14:textId="3A18F1C2" w:rsidR="00A86900" w:rsidRPr="00A86900" w:rsidRDefault="00A86900" w:rsidP="00A86900">
      <w:pPr>
        <w:rPr>
          <w:b/>
          <w:bCs/>
          <w:sz w:val="36"/>
          <w:szCs w:val="36"/>
        </w:rPr>
      </w:pPr>
      <w:r w:rsidRPr="00A86900">
        <w:rPr>
          <w:b/>
          <w:bCs/>
          <w:sz w:val="36"/>
          <w:szCs w:val="36"/>
        </w:rPr>
        <w:t>Overall, Lou Gerstner's leadership played a pivotal role in IBM's successful turnaround. By shifting the company's focus, transforming its organizational structure, prioritizing customer-centricity, and forming strategic partnerships, Gerstner was able to guide IBM out of crisis and restore its position as a leading technology company.</w:t>
      </w:r>
    </w:p>
    <w:p w14:paraId="3535B69C" w14:textId="69FF799D" w:rsidR="00A86900" w:rsidRDefault="00A91E91" w:rsidP="00A86900">
      <w:pPr>
        <w:rPr>
          <w:b/>
          <w:bCs/>
          <w:sz w:val="36"/>
          <w:szCs w:val="36"/>
        </w:rPr>
      </w:pPr>
      <w:r>
        <w:rPr>
          <w:b/>
          <w:bCs/>
          <w:noProof/>
          <w:sz w:val="36"/>
          <w:szCs w:val="36"/>
        </w:rPr>
        <w:drawing>
          <wp:anchor distT="0" distB="0" distL="114300" distR="114300" simplePos="0" relativeHeight="251658240" behindDoc="1" locked="0" layoutInCell="1" allowOverlap="1" wp14:anchorId="648ECA34" wp14:editId="66CDFF10">
            <wp:simplePos x="0" y="0"/>
            <wp:positionH relativeFrom="column">
              <wp:posOffset>-12192</wp:posOffset>
            </wp:positionH>
            <wp:positionV relativeFrom="paragraph">
              <wp:posOffset>198120</wp:posOffset>
            </wp:positionV>
            <wp:extent cx="5943600" cy="3434080"/>
            <wp:effectExtent l="0" t="0" r="0" b="0"/>
            <wp:wrapNone/>
            <wp:docPr id="193038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34080"/>
                    </a:xfrm>
                    <a:prstGeom prst="rect">
                      <a:avLst/>
                    </a:prstGeom>
                    <a:noFill/>
                    <a:ln>
                      <a:noFill/>
                    </a:ln>
                  </pic:spPr>
                </pic:pic>
              </a:graphicData>
            </a:graphic>
          </wp:anchor>
        </w:drawing>
      </w:r>
    </w:p>
    <w:p w14:paraId="536D5504" w14:textId="3CAE7287" w:rsidR="00EF5559" w:rsidRDefault="00EF5559" w:rsidP="00A86900">
      <w:pPr>
        <w:rPr>
          <w:b/>
          <w:bCs/>
          <w:sz w:val="36"/>
          <w:szCs w:val="36"/>
        </w:rPr>
      </w:pPr>
    </w:p>
    <w:p w14:paraId="11D95098" w14:textId="59013E31" w:rsidR="00EF5559" w:rsidRDefault="00EF5559" w:rsidP="00A86900">
      <w:pPr>
        <w:rPr>
          <w:b/>
          <w:bCs/>
          <w:sz w:val="36"/>
          <w:szCs w:val="36"/>
        </w:rPr>
      </w:pPr>
    </w:p>
    <w:p w14:paraId="5F271CB7" w14:textId="77777777" w:rsidR="00EF5559" w:rsidRDefault="00EF5559" w:rsidP="00A86900">
      <w:pPr>
        <w:rPr>
          <w:b/>
          <w:bCs/>
          <w:sz w:val="36"/>
          <w:szCs w:val="36"/>
        </w:rPr>
      </w:pPr>
    </w:p>
    <w:p w14:paraId="6C62C6C0" w14:textId="6E6C88E2" w:rsidR="00EF5559" w:rsidRDefault="00EF5559" w:rsidP="00A86900">
      <w:pPr>
        <w:rPr>
          <w:b/>
          <w:bCs/>
          <w:sz w:val="36"/>
          <w:szCs w:val="36"/>
        </w:rPr>
      </w:pPr>
    </w:p>
    <w:p w14:paraId="6CB3653F" w14:textId="5BAF9359" w:rsidR="00EF5559" w:rsidRDefault="00EF5559" w:rsidP="00A86900">
      <w:pPr>
        <w:rPr>
          <w:b/>
          <w:bCs/>
          <w:sz w:val="36"/>
          <w:szCs w:val="36"/>
        </w:rPr>
      </w:pPr>
    </w:p>
    <w:p w14:paraId="6ADECFE4" w14:textId="521B2A1C" w:rsidR="00EF5559" w:rsidRDefault="00EF5559" w:rsidP="00A86900">
      <w:pPr>
        <w:rPr>
          <w:b/>
          <w:bCs/>
          <w:sz w:val="36"/>
          <w:szCs w:val="36"/>
        </w:rPr>
      </w:pPr>
    </w:p>
    <w:p w14:paraId="54BAC633" w14:textId="0153C133" w:rsidR="00EF5559" w:rsidRDefault="00EF5559" w:rsidP="00A86900">
      <w:pPr>
        <w:rPr>
          <w:b/>
          <w:bCs/>
          <w:sz w:val="36"/>
          <w:szCs w:val="36"/>
        </w:rPr>
      </w:pPr>
    </w:p>
    <w:p w14:paraId="247B281A" w14:textId="77777777" w:rsidR="00EF5559" w:rsidRDefault="00EF5559" w:rsidP="00A86900">
      <w:pPr>
        <w:rPr>
          <w:b/>
          <w:bCs/>
          <w:sz w:val="36"/>
          <w:szCs w:val="36"/>
        </w:rPr>
      </w:pPr>
    </w:p>
    <w:p w14:paraId="51550025" w14:textId="77777777" w:rsidR="00EF5559" w:rsidRDefault="00EF5559" w:rsidP="00A86900">
      <w:pPr>
        <w:rPr>
          <w:b/>
          <w:bCs/>
          <w:sz w:val="36"/>
          <w:szCs w:val="36"/>
        </w:rPr>
      </w:pPr>
    </w:p>
    <w:p w14:paraId="4A4D3823" w14:textId="77777777" w:rsidR="00EF5559" w:rsidRPr="00A86900" w:rsidRDefault="00EF5559" w:rsidP="00A86900">
      <w:pPr>
        <w:rPr>
          <w:b/>
          <w:bCs/>
          <w:sz w:val="36"/>
          <w:szCs w:val="36"/>
        </w:rPr>
      </w:pPr>
    </w:p>
    <w:p w14:paraId="65AB54DF" w14:textId="1851044B" w:rsidR="00A91E91" w:rsidRDefault="00A91E91" w:rsidP="00A86900">
      <w:pPr>
        <w:rPr>
          <w:b/>
          <w:bCs/>
          <w:noProof/>
          <w:sz w:val="36"/>
          <w:szCs w:val="36"/>
        </w:rPr>
      </w:pPr>
      <w:r>
        <w:rPr>
          <w:b/>
          <w:bCs/>
          <w:noProof/>
          <w:sz w:val="36"/>
          <w:szCs w:val="36"/>
        </w:rPr>
        <w:lastRenderedPageBreak/>
        <w:drawing>
          <wp:anchor distT="0" distB="0" distL="114300" distR="114300" simplePos="0" relativeHeight="251659264" behindDoc="1" locked="0" layoutInCell="1" allowOverlap="1" wp14:anchorId="564C1D3F" wp14:editId="771E7727">
            <wp:simplePos x="0" y="0"/>
            <wp:positionH relativeFrom="margin">
              <wp:align>right</wp:align>
            </wp:positionH>
            <wp:positionV relativeFrom="paragraph">
              <wp:posOffset>-519430</wp:posOffset>
            </wp:positionV>
            <wp:extent cx="5937250" cy="4450080"/>
            <wp:effectExtent l="0" t="0" r="6350" b="7620"/>
            <wp:wrapNone/>
            <wp:docPr id="1738230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4450080"/>
                    </a:xfrm>
                    <a:prstGeom prst="rect">
                      <a:avLst/>
                    </a:prstGeom>
                    <a:noFill/>
                    <a:ln>
                      <a:noFill/>
                    </a:ln>
                  </pic:spPr>
                </pic:pic>
              </a:graphicData>
            </a:graphic>
          </wp:anchor>
        </w:drawing>
      </w:r>
    </w:p>
    <w:p w14:paraId="598B45FD" w14:textId="6BE61E0B" w:rsidR="00A91E91" w:rsidRDefault="00A91E91" w:rsidP="00A86900">
      <w:pPr>
        <w:rPr>
          <w:b/>
          <w:bCs/>
          <w:noProof/>
          <w:sz w:val="36"/>
          <w:szCs w:val="36"/>
        </w:rPr>
      </w:pPr>
    </w:p>
    <w:p w14:paraId="225D89D6" w14:textId="55182798" w:rsidR="00A91E91" w:rsidRDefault="00A91E91" w:rsidP="00A86900">
      <w:pPr>
        <w:rPr>
          <w:b/>
          <w:bCs/>
          <w:noProof/>
          <w:sz w:val="36"/>
          <w:szCs w:val="36"/>
        </w:rPr>
      </w:pPr>
    </w:p>
    <w:p w14:paraId="6259FEED" w14:textId="77777777" w:rsidR="00A91E91" w:rsidRDefault="00A91E91" w:rsidP="00A86900">
      <w:pPr>
        <w:rPr>
          <w:b/>
          <w:bCs/>
          <w:noProof/>
          <w:sz w:val="36"/>
          <w:szCs w:val="36"/>
        </w:rPr>
      </w:pPr>
    </w:p>
    <w:p w14:paraId="55997608" w14:textId="77777777" w:rsidR="00A91E91" w:rsidRDefault="00A91E91" w:rsidP="00A86900">
      <w:pPr>
        <w:rPr>
          <w:b/>
          <w:bCs/>
          <w:noProof/>
          <w:sz w:val="36"/>
          <w:szCs w:val="36"/>
        </w:rPr>
      </w:pPr>
    </w:p>
    <w:p w14:paraId="0FA4BEB3" w14:textId="77777777" w:rsidR="00A91E91" w:rsidRDefault="00A91E91" w:rsidP="00A86900">
      <w:pPr>
        <w:rPr>
          <w:b/>
          <w:bCs/>
          <w:noProof/>
          <w:sz w:val="36"/>
          <w:szCs w:val="36"/>
        </w:rPr>
      </w:pPr>
    </w:p>
    <w:p w14:paraId="04C4D716" w14:textId="77777777" w:rsidR="00A91E91" w:rsidRDefault="00A91E91" w:rsidP="00A86900">
      <w:pPr>
        <w:rPr>
          <w:b/>
          <w:bCs/>
          <w:noProof/>
          <w:sz w:val="36"/>
          <w:szCs w:val="36"/>
        </w:rPr>
      </w:pPr>
    </w:p>
    <w:p w14:paraId="7D844208" w14:textId="161E0275" w:rsidR="00A91E91" w:rsidRDefault="00A91E91" w:rsidP="00A86900">
      <w:pPr>
        <w:rPr>
          <w:b/>
          <w:bCs/>
          <w:sz w:val="36"/>
          <w:szCs w:val="36"/>
        </w:rPr>
      </w:pPr>
    </w:p>
    <w:p w14:paraId="78D94E4D" w14:textId="77777777" w:rsidR="00A91E91" w:rsidRDefault="00A91E91" w:rsidP="00A86900">
      <w:pPr>
        <w:rPr>
          <w:b/>
          <w:bCs/>
          <w:sz w:val="36"/>
          <w:szCs w:val="36"/>
        </w:rPr>
      </w:pPr>
    </w:p>
    <w:p w14:paraId="17BFB1ED" w14:textId="77777777" w:rsidR="00A91E91" w:rsidRDefault="00A91E91" w:rsidP="00A86900">
      <w:pPr>
        <w:rPr>
          <w:b/>
          <w:bCs/>
          <w:sz w:val="36"/>
          <w:szCs w:val="36"/>
        </w:rPr>
      </w:pPr>
    </w:p>
    <w:p w14:paraId="603BD356" w14:textId="77777777" w:rsidR="00A91E91" w:rsidRDefault="00A91E91" w:rsidP="00A86900">
      <w:pPr>
        <w:rPr>
          <w:b/>
          <w:bCs/>
          <w:sz w:val="36"/>
          <w:szCs w:val="36"/>
        </w:rPr>
      </w:pPr>
    </w:p>
    <w:p w14:paraId="68AB4EFE" w14:textId="50492C0C" w:rsidR="00A86900" w:rsidRPr="00A86900" w:rsidRDefault="00A86900" w:rsidP="00A86900">
      <w:pPr>
        <w:rPr>
          <w:b/>
          <w:bCs/>
          <w:sz w:val="36"/>
          <w:szCs w:val="36"/>
        </w:rPr>
      </w:pPr>
      <w:r w:rsidRPr="00A86900">
        <w:rPr>
          <w:b/>
          <w:bCs/>
          <w:sz w:val="36"/>
          <w:szCs w:val="36"/>
        </w:rPr>
        <w:t>Top 3 Authoritative Reference Publications or Domain Names Used:</w:t>
      </w:r>
    </w:p>
    <w:p w14:paraId="0F025BB0" w14:textId="77777777" w:rsidR="00A86900" w:rsidRPr="00A86900" w:rsidRDefault="00A86900" w:rsidP="00A86900">
      <w:pPr>
        <w:rPr>
          <w:b/>
          <w:bCs/>
          <w:sz w:val="36"/>
          <w:szCs w:val="36"/>
        </w:rPr>
      </w:pPr>
    </w:p>
    <w:p w14:paraId="68843A9D" w14:textId="77777777" w:rsidR="00A86900" w:rsidRPr="00A86900" w:rsidRDefault="00A86900" w:rsidP="00A86900">
      <w:pPr>
        <w:rPr>
          <w:b/>
          <w:bCs/>
          <w:sz w:val="36"/>
          <w:szCs w:val="36"/>
        </w:rPr>
      </w:pPr>
      <w:r w:rsidRPr="00A86900">
        <w:rPr>
          <w:b/>
          <w:bCs/>
          <w:sz w:val="36"/>
          <w:szCs w:val="36"/>
        </w:rPr>
        <w:t>1. "Who Said Elephants Can't Dance?" by Louis V. Gerstner Jr.</w:t>
      </w:r>
    </w:p>
    <w:p w14:paraId="33C98469" w14:textId="77777777" w:rsidR="00A86900" w:rsidRPr="00A86900" w:rsidRDefault="00A86900" w:rsidP="00A86900">
      <w:pPr>
        <w:rPr>
          <w:b/>
          <w:bCs/>
          <w:sz w:val="36"/>
          <w:szCs w:val="36"/>
        </w:rPr>
      </w:pPr>
      <w:r w:rsidRPr="00A86900">
        <w:rPr>
          <w:b/>
          <w:bCs/>
          <w:sz w:val="36"/>
          <w:szCs w:val="36"/>
        </w:rPr>
        <w:t>2. IBM official website (www.ibm.com)</w:t>
      </w:r>
    </w:p>
    <w:p w14:paraId="329A8C44" w14:textId="54E96EC9" w:rsidR="007E4F33" w:rsidRDefault="00A86900" w:rsidP="00A86900">
      <w:pPr>
        <w:rPr>
          <w:b/>
          <w:bCs/>
          <w:sz w:val="36"/>
          <w:szCs w:val="36"/>
        </w:rPr>
      </w:pPr>
      <w:r w:rsidRPr="00A86900">
        <w:rPr>
          <w:b/>
          <w:bCs/>
          <w:sz w:val="36"/>
          <w:szCs w:val="36"/>
        </w:rPr>
        <w:t>3. Harvard Business Review (hbr.org)</w:t>
      </w:r>
    </w:p>
    <w:p w14:paraId="05E3088D" w14:textId="77777777" w:rsidR="00423348" w:rsidRDefault="00423348"/>
    <w:sectPr w:rsidR="00423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54816"/>
    <w:multiLevelType w:val="hybridMultilevel"/>
    <w:tmpl w:val="7D908D70"/>
    <w:lvl w:ilvl="0" w:tplc="59EE7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95573"/>
    <w:multiLevelType w:val="hybridMultilevel"/>
    <w:tmpl w:val="9E3612EA"/>
    <w:lvl w:ilvl="0" w:tplc="533A2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185709">
    <w:abstractNumId w:val="0"/>
  </w:num>
  <w:num w:numId="2" w16cid:durableId="1347750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BB"/>
    <w:rsid w:val="00423348"/>
    <w:rsid w:val="007E4F33"/>
    <w:rsid w:val="00A86900"/>
    <w:rsid w:val="00A91E91"/>
    <w:rsid w:val="00B171BB"/>
    <w:rsid w:val="00EF5559"/>
    <w:rsid w:val="00F24D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AB36"/>
  <w15:chartTrackingRefBased/>
  <w15:docId w15:val="{0EE56F41-5455-4CC4-A620-6FC73C8B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7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mahmoud</dc:creator>
  <cp:keywords/>
  <dc:description/>
  <cp:lastModifiedBy>karim mahmoud</cp:lastModifiedBy>
  <cp:revision>2</cp:revision>
  <dcterms:created xsi:type="dcterms:W3CDTF">2023-10-01T14:45:00Z</dcterms:created>
  <dcterms:modified xsi:type="dcterms:W3CDTF">2023-10-01T14:45:00Z</dcterms:modified>
</cp:coreProperties>
</file>