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B1F3A"/>
          <w:sz w:val="80"/>
        </w:rPr>
        <w:t>AETHERIS AI</w:t>
      </w:r>
    </w:p>
    <w:p>
      <w:pPr>
        <w:spacing w:after="320"/>
        <w:jc w:val="center"/>
      </w:pPr>
      <w:r>
        <w:rPr>
          <w:rFonts w:ascii="Calibri" w:hAnsi="Calibri"/>
          <w:b/>
          <w:i w:val="0"/>
          <w:color w:val="00B8A9"/>
          <w:sz w:val="80"/>
        </w:rPr>
        <w:t>A I</w:t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26"/>
        </w:rPr>
        <w:t>Applied AI Infrastructure for European Industry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Aetheris AI S.r.l. · Startup Innovativa · Toscana, Italia</w:t>
      </w:r>
    </w:p>
    <w:p>
      <w:pPr>
        <w:pBdr>
          <w:bottom w:val="single" w:sz="12" w:space="1" w:color="00B8A9"/>
        </w:pBdr>
      </w:pPr>
    </w:p>
    <w:p>
      <w:pPr>
        <w:spacing w:before="320"/>
        <w:jc w:val="center"/>
      </w:pPr>
      <w:r>
        <w:rPr>
          <w:rFonts w:ascii="Calibri" w:hAnsi="Calibri"/>
          <w:b/>
          <w:i w:val="0"/>
          <w:color w:val="0B1F3A"/>
          <w:sz w:val="48"/>
        </w:rPr>
        <w:t>MASTER PLAN STRATEGICO</w:t>
      </w:r>
    </w:p>
    <w:p>
      <w:pPr>
        <w:jc w:val="center"/>
      </w:pPr>
      <w:r>
        <w:rPr>
          <w:rFonts w:ascii="Calibri" w:hAnsi="Calibri"/>
          <w:b w:val="0"/>
          <w:i/>
          <w:color w:val="00B8A9"/>
          <w:sz w:val="24"/>
        </w:rPr>
        <w:t>Versione 3.0 — Grounded &amp; Proven</w:t>
      </w:r>
    </w:p>
    <w:p>
      <w:pPr>
        <w:spacing w:after="400"/>
        <w:jc w:val="center"/>
      </w:pPr>
      <w:r>
        <w:rPr>
          <w:rFonts w:ascii="Calibri" w:hAnsi="Calibri"/>
          <w:b w:val="0"/>
          <w:i/>
          <w:color w:val="6B7280"/>
          <w:sz w:val="22"/>
        </w:rPr>
        <w:t>Edizione 2026 · Confidenziale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7937"/>
            <w:shd w:val="clear" w:color="auto" w:fill="0B1F3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B8A9"/>
                <w:sz w:val="20"/>
              </w:rPr>
              <w:t>GROUNDED &amp; PROVEN</w:t>
            </w:r>
          </w:p>
          <w:p>
            <w:pPr>
              <w:spacing w:before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Funding ask: € 200-300k Phase 1</w:t>
            </w:r>
          </w:p>
          <w:p>
            <w:pPr>
              <w:spacing w:before="8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Founder solo + 2 advisor → part-time → co-founder → team</w:t>
              <w:br/>
              <w:t>3 PoC pubblici in 12-15 settimane</w:t>
            </w:r>
          </w:p>
        </w:tc>
      </w:tr>
    </w:tbl>
    <w:p/>
    <w:p/>
    <w:p/>
    <w:p/>
    <w:p>
      <w:pPr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Sede legale: Toscana, Italia</w:t>
      </w:r>
    </w:p>
    <w:p>
      <w:pPr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Startup Innovativa ex D.L. 179/2012</w:t>
      </w:r>
    </w:p>
    <w:p>
      <w:pPr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Architettura AI Act–ready (Reg. UE 2024/1689)</w:t>
      </w:r>
    </w:p>
    <w:p>
      <w:r>
        <w:br w:type="page"/>
      </w:r>
    </w:p>
    <w:p>
      <w:pPr>
        <w:spacing w:after="16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B1F3A"/>
          <w:sz w:val="36"/>
        </w:rPr>
        <w:t>INDICE DEI CONTENUTI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1.  Executive Summary (v3.0 — onesta e grounded)</w:t>
      </w:r>
      <w:r>
        <w:rPr>
          <w:rFonts w:ascii="Calibri" w:hAnsi="Calibri"/>
          <w:b/>
          <w:i w:val="0"/>
          <w:color w:val="00B8A9"/>
          <w:sz w:val="22"/>
        </w:rPr>
        <w:tab/>
        <w:t>5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2.  Founder &amp; Team (track record + evolution plan)</w:t>
      </w:r>
      <w:r>
        <w:rPr>
          <w:rFonts w:ascii="Calibri" w:hAnsi="Calibri"/>
          <w:b/>
          <w:i w:val="0"/>
          <w:color w:val="00B8A9"/>
          <w:sz w:val="22"/>
        </w:rPr>
        <w:tab/>
        <w:t>7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3.  Problema (Energy + Manufacturing)</w:t>
      </w:r>
      <w:r>
        <w:rPr>
          <w:rFonts w:ascii="Calibri" w:hAnsi="Calibri"/>
          <w:b/>
          <w:i w:val="0"/>
          <w:color w:val="00B8A9"/>
          <w:sz w:val="22"/>
        </w:rPr>
        <w:tab/>
        <w:t>9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4.  Market Opportunity (bottom-up conservativo)</w:t>
      </w:r>
      <w:r>
        <w:rPr>
          <w:rFonts w:ascii="Calibri" w:hAnsi="Calibri"/>
          <w:b/>
          <w:i w:val="0"/>
          <w:color w:val="00B8A9"/>
          <w:sz w:val="22"/>
        </w:rPr>
        <w:tab/>
        <w:t>10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5.  Customer Discovery Plan</w:t>
      </w:r>
      <w:r>
        <w:rPr>
          <w:rFonts w:ascii="Calibri" w:hAnsi="Calibri"/>
          <w:b/>
          <w:i w:val="0"/>
          <w:color w:val="00B8A9"/>
          <w:sz w:val="22"/>
        </w:rPr>
        <w:tab/>
        <w:t>12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6.  Soluzione (Core Platform + 3 applications)</w:t>
      </w:r>
      <w:r>
        <w:rPr>
          <w:rFonts w:ascii="Calibri" w:hAnsi="Calibri"/>
          <w:b/>
          <w:i w:val="0"/>
          <w:color w:val="00B8A9"/>
          <w:sz w:val="22"/>
        </w:rPr>
        <w:tab/>
        <w:t>13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7.  Prodotto</w:t>
      </w:r>
      <w:r>
        <w:rPr>
          <w:rFonts w:ascii="Calibri" w:hAnsi="Calibri"/>
          <w:b/>
          <w:i w:val="0"/>
          <w:color w:val="00B8A9"/>
          <w:sz w:val="22"/>
        </w:rPr>
        <w:tab/>
        <w:t>14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8.  Tecnologia e Architettura</w:t>
      </w:r>
      <w:r>
        <w:rPr>
          <w:rFonts w:ascii="Calibri" w:hAnsi="Calibri"/>
          <w:b/>
          <w:i w:val="0"/>
          <w:color w:val="00B8A9"/>
          <w:sz w:val="22"/>
        </w:rPr>
        <w:tab/>
        <w:t>15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9.  Competitive Landscape</w:t>
      </w:r>
      <w:r>
        <w:rPr>
          <w:rFonts w:ascii="Calibri" w:hAnsi="Calibri"/>
          <w:b/>
          <w:i w:val="0"/>
          <w:color w:val="00B8A9"/>
          <w:sz w:val="22"/>
        </w:rPr>
        <w:tab/>
        <w:t>16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10. Moat (5 livelli)</w:t>
      </w:r>
      <w:r>
        <w:rPr>
          <w:rFonts w:ascii="Calibri" w:hAnsi="Calibri"/>
          <w:b/>
          <w:i w:val="0"/>
          <w:color w:val="00B8A9"/>
          <w:sz w:val="22"/>
        </w:rPr>
        <w:tab/>
        <w:t>17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11. Business Model</w:t>
      </w:r>
      <w:r>
        <w:rPr>
          <w:rFonts w:ascii="Calibri" w:hAnsi="Calibri"/>
          <w:b/>
          <w:i w:val="0"/>
          <w:color w:val="00B8A9"/>
          <w:sz w:val="22"/>
        </w:rPr>
        <w:tab/>
        <w:t>18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12. Go-to-Market</w:t>
      </w:r>
      <w:r>
        <w:rPr>
          <w:rFonts w:ascii="Calibri" w:hAnsi="Calibri"/>
          <w:b/>
          <w:i w:val="0"/>
          <w:color w:val="00B8A9"/>
          <w:sz w:val="22"/>
        </w:rPr>
        <w:tab/>
        <w:t>19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13. Design Partners</w:t>
      </w:r>
      <w:r>
        <w:rPr>
          <w:rFonts w:ascii="Calibri" w:hAnsi="Calibri"/>
          <w:b/>
          <w:i w:val="0"/>
          <w:color w:val="00B8A9"/>
          <w:sz w:val="22"/>
        </w:rPr>
        <w:tab/>
        <w:t>20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14. PoC Strategy (3 PoC pubblici)</w:t>
      </w:r>
      <w:r>
        <w:rPr>
          <w:rFonts w:ascii="Calibri" w:hAnsi="Calibri"/>
          <w:b/>
          <w:i w:val="0"/>
          <w:color w:val="00B8A9"/>
          <w:sz w:val="22"/>
        </w:rPr>
        <w:tab/>
        <w:t>21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15. Traction &amp; Validation</w:t>
      </w:r>
      <w:r>
        <w:rPr>
          <w:rFonts w:ascii="Calibri" w:hAnsi="Calibri"/>
          <w:b/>
          <w:i w:val="0"/>
          <w:color w:val="00B8A9"/>
          <w:sz w:val="22"/>
        </w:rPr>
        <w:tab/>
        <w:t>22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16. Regulatory Strategy (AI Act–ready)</w:t>
      </w:r>
      <w:r>
        <w:rPr>
          <w:rFonts w:ascii="Calibri" w:hAnsi="Calibri"/>
          <w:b/>
          <w:i w:val="0"/>
          <w:color w:val="00B8A9"/>
          <w:sz w:val="22"/>
        </w:rPr>
        <w:tab/>
        <w:t>23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17. IP Strategy</w:t>
      </w:r>
      <w:r>
        <w:rPr>
          <w:rFonts w:ascii="Calibri" w:hAnsi="Calibri"/>
          <w:b/>
          <w:i w:val="0"/>
          <w:color w:val="00B8A9"/>
          <w:sz w:val="22"/>
        </w:rPr>
        <w:tab/>
        <w:t>24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18. Roadmap (5 Gate + 3 PoC)</w:t>
      </w:r>
      <w:r>
        <w:rPr>
          <w:rFonts w:ascii="Calibri" w:hAnsi="Calibri"/>
          <w:b/>
          <w:i w:val="0"/>
          <w:color w:val="00B8A9"/>
          <w:sz w:val="22"/>
        </w:rPr>
        <w:tab/>
        <w:t>25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19. Team Evolution Plan (24 mesi)</w:t>
      </w:r>
      <w:r>
        <w:rPr>
          <w:rFonts w:ascii="Calibri" w:hAnsi="Calibri"/>
          <w:b/>
          <w:i w:val="0"/>
          <w:color w:val="00B8A9"/>
          <w:sz w:val="22"/>
        </w:rPr>
        <w:tab/>
        <w:t>27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20. Financial Model (conservativo)</w:t>
      </w:r>
      <w:r>
        <w:rPr>
          <w:rFonts w:ascii="Calibri" w:hAnsi="Calibri"/>
          <w:b/>
          <w:i w:val="0"/>
          <w:color w:val="00B8A9"/>
          <w:sz w:val="22"/>
        </w:rPr>
        <w:tab/>
        <w:t>28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21. Funding Strategy (milestone-based)</w:t>
      </w:r>
      <w:r>
        <w:rPr>
          <w:rFonts w:ascii="Calibri" w:hAnsi="Calibri"/>
          <w:b/>
          <w:i w:val="0"/>
          <w:color w:val="00B8A9"/>
          <w:sz w:val="22"/>
        </w:rPr>
        <w:tab/>
        <w:t>30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22. Use of Funds</w:t>
      </w:r>
      <w:r>
        <w:rPr>
          <w:rFonts w:ascii="Calibri" w:hAnsi="Calibri"/>
          <w:b/>
          <w:i w:val="0"/>
          <w:color w:val="00B8A9"/>
          <w:sz w:val="22"/>
        </w:rPr>
        <w:tab/>
        <w:t>31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23. Rischi</w:t>
      </w:r>
      <w:r>
        <w:rPr>
          <w:rFonts w:ascii="Calibri" w:hAnsi="Calibri"/>
          <w:b/>
          <w:i w:val="0"/>
          <w:color w:val="00B8A9"/>
          <w:sz w:val="22"/>
        </w:rPr>
        <w:tab/>
        <w:t>32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24. ESG &amp; Impatto</w:t>
      </w:r>
      <w:r>
        <w:rPr>
          <w:rFonts w:ascii="Calibri" w:hAnsi="Calibri"/>
          <w:b/>
          <w:i w:val="0"/>
          <w:color w:val="00B8A9"/>
          <w:sz w:val="22"/>
        </w:rPr>
        <w:tab/>
        <w:t>33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25. Grant Alignment (status 2026)</w:t>
      </w:r>
      <w:r>
        <w:rPr>
          <w:rFonts w:ascii="Calibri" w:hAnsi="Calibri"/>
          <w:b/>
          <w:i w:val="0"/>
          <w:color w:val="00B8A9"/>
          <w:sz w:val="22"/>
        </w:rPr>
        <w:tab/>
        <w:t>34</w:t>
      </w:r>
    </w:p>
    <w:p>
      <w:pPr>
        <w:tabs>
          <w:tab w:pos="8787" w:val="right" w:leader="hyphen"/>
        </w:tabs>
        <w:spacing w:after="40"/>
      </w:pPr>
      <w:r>
        <w:rPr>
          <w:rFonts w:ascii="Calibri" w:hAnsi="Calibri"/>
          <w:b w:val="0"/>
          <w:i w:val="0"/>
          <w:color w:val="1A1A1A"/>
          <w:sz w:val="22"/>
        </w:rPr>
        <w:t>26. Appendici</w:t>
      </w:r>
      <w:r>
        <w:rPr>
          <w:rFonts w:ascii="Calibri" w:hAnsi="Calibri"/>
          <w:b/>
          <w:i w:val="0"/>
          <w:color w:val="00B8A9"/>
          <w:sz w:val="22"/>
        </w:rPr>
        <w:tab/>
        <w:t>36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1.  </w:t>
      </w:r>
      <w:r>
        <w:rPr>
          <w:rFonts w:ascii="Calibri" w:hAnsi="Calibri"/>
          <w:b/>
          <w:i w:val="0"/>
          <w:color w:val="0B1F3A"/>
          <w:sz w:val="30"/>
        </w:rPr>
        <w:t>EXECUTIVE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v3.0 — Investment proposition onesta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Aetheris AI è una startup innovativa fondata da un AI engineer con track record production (5+ anni, 100k+ utenti/giorno, 99.9% uptime, € 2M+ impatto annuo). Il piano v3.0 è la versione onesta e grounded: founder solo per 6 mesi + 3 PoC pubblici in 12-15 settimane + 2 advisor prima del fundraising principale. Funding Phase 1: € 200-300k. Y3: 8-12 clienti in Energy + Manufacturing, € 800k-1.5M revenue.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Cosa è cambiato rispetto a v2.0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Numeri più conservativi. </w:t>
      </w:r>
      <w:r>
        <w:rPr>
          <w:rFonts w:ascii="Calibri" w:hAnsi="Calibri"/>
          <w:b w:val="0"/>
          <w:i w:val="0"/>
          <w:color w:val="1A1A1A"/>
          <w:sz w:val="21"/>
        </w:rPr>
        <w:t>Customer numbers: Y1 1-2, Y2 3-5, Y3 8-12 (vs 3-5/10-15/25-30).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Revenue range. </w:t>
      </w:r>
      <w:r>
        <w:rPr>
          <w:rFonts w:ascii="Calibri" w:hAnsi="Calibri"/>
          <w:b w:val="0"/>
          <w:i w:val="0"/>
          <w:color w:val="1A1A1A"/>
          <w:sz w:val="21"/>
        </w:rPr>
        <w:t>Y1 €50-100k, Y2 €300-500k, Y3 €800k-1.5M (vs €180k/€1.4M/€4.2M).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Team evolution. </w:t>
      </w:r>
      <w:r>
        <w:rPr>
          <w:rFonts w:ascii="Calibri" w:hAnsi="Calibri"/>
          <w:b w:val="0"/>
          <w:i w:val="0"/>
          <w:color w:val="1A1A1A"/>
          <w:sz w:val="21"/>
        </w:rPr>
        <w:t>Founder solo per 6 mesi, +advisor, +part-time engineer, +co-founder commerciale M9.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Funding Phase 1 ridotto: €200-300k. </w:t>
      </w:r>
      <w:r>
        <w:rPr>
          <w:rFonts w:ascii="Calibri" w:hAnsi="Calibri"/>
          <w:b w:val="0"/>
          <w:i w:val="0"/>
          <w:color w:val="1A1A1A"/>
          <w:sz w:val="21"/>
        </w:rPr>
        <w:t>Proporzionato a un team in crescita (vs €300-400k per team completo).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Proof of Capability. </w:t>
      </w:r>
      <w:r>
        <w:rPr>
          <w:rFonts w:ascii="Calibri" w:hAnsi="Calibri"/>
          <w:b w:val="0"/>
          <w:i w:val="0"/>
          <w:color w:val="1A1A1A"/>
          <w:sz w:val="21"/>
        </w:rPr>
        <w:t>3 PoC pubblicati in 12-15 settimane su dataset aperti, con GitHub+demo+blog.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Cloud. </w:t>
      </w:r>
      <w:r>
        <w:rPr>
          <w:rFonts w:ascii="Calibri" w:hAnsi="Calibri"/>
          <w:b w:val="0"/>
          <w:i w:val="0"/>
          <w:color w:val="1A1A1A"/>
          <w:sz w:val="21"/>
        </w:rPr>
        <w:t>Self-hosted M0-M3 (zero costi cloud), poi scaling graduale.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Proof of Capability Stack (4 livelli)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Livello</w:t>
            </w:r>
          </w:p>
        </w:tc>
        <w:tc>
          <w:tcPr>
            <w:tcW w:type="dxa" w:w="45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Cosa dimostra</w:t>
            </w:r>
          </w:p>
        </w:tc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Tempo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L1 — Self-provable</w:t>
            </w:r>
          </w:p>
        </w:tc>
        <w:tc>
          <w:tcPr>
            <w:tcW w:type="dxa" w:w="45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 PoC pubblicati (GitHub + demo + blog + white paper)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M0-M4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Founder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L2 — Network-derivable</w:t>
            </w:r>
          </w:p>
        </w:tc>
        <w:tc>
          <w:tcPr>
            <w:tcW w:type="dxa" w:w="45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2-4 advisor firmati (AI Act + industry), LinkedIn following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M2-M6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Founder + prospect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L3 — Customer-derivable</w:t>
            </w:r>
          </w:p>
        </w:tc>
        <w:tc>
          <w:tcPr>
            <w:tcW w:type="dxa" w:w="45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1-2 design partner agreement, primo PoC pagato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M6-M9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Founder + L2 advisors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L4 — Full validation</w:t>
            </w:r>
          </w:p>
        </w:tc>
        <w:tc>
          <w:tcPr>
            <w:tcW w:type="dxa" w:w="45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5+ clienti paganti, sales playbook ripetibile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M9-M18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Team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Key plan metrics v3.0 (coerenti con Financial 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Metrica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1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2</w:t>
            </w:r>
          </w:p>
        </w:tc>
        <w:tc>
          <w:tcPr>
            <w:tcW w:type="dxa" w:w="238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Ricavi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€ 80k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€ 400k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€ 1.150k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Clienti paganti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ACV (Annual Contract Value)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€ 40k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€ 80k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€ 115k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Team (FTE medi)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0.8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2.5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Margine lordo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60%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65%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70%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EBITDA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-€ 200k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-€ 50k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+€ 200k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Cash position EoY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€ 200k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€ 350k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€ 1.3M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Target funding · € 200-300k (Phase 1) + € 750k (Phase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</w:t>
            </w:r>
          </w:p>
        </w:tc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Importo</w:t>
            </w:r>
          </w:p>
        </w:tc>
        <w:tc>
          <w:tcPr>
            <w:tcW w:type="dxa" w:w="323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 / Stato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Phase 1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Smart&amp;Start Italia (tasso zero)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€ 200k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Bando attivo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Phase 1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IKIGAI / Polo Navacchio / Nana Bianca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€ 30k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continua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Phase 1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Round pre-seed (angel/strategic)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€ 100k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Dopo Gate 2 (M6)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Phase 2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Round seed (VC + corporate)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€ 750k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Dopo Gate 3 (M12)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Phase 3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EIC Accelerator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€ 500k-2.5M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Dopo Gate 4 (M18)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2.  </w:t>
      </w:r>
      <w:r>
        <w:rPr>
          <w:rFonts w:ascii="Calibri" w:hAnsi="Calibri"/>
          <w:b/>
          <w:i w:val="0"/>
          <w:color w:val="0B1F3A"/>
          <w:sz w:val="30"/>
        </w:rPr>
        <w:t>FOUNDER &amp; TEAM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2.1  Founder — Technical profile &amp; production track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Founder onesto, percorso chiaro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Senior AI Engineer con 5+ anni di esperienza production: GenAI, RAG, Computer Vision, MLOps, Cloud. Sistemi AI in produzione serventi 100.000+ utenti/giorno, 99.9% uptime, € 2M+ impatto annuo. Onestamente: per ora è una one-man show — questo è normale per una pre-seed startup. Il piano v3.0 mostra un percorso credibile per costruire il team.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2.2  Track record production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33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Risultato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Generative AI / RAG</w:t>
            </w:r>
          </w:p>
        </w:tc>
        <w:tc>
          <w:tcPr>
            <w:tcW w:type="dxa" w:w="6633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Sistemi RAG in produzione, 10.000+ documenti/giorno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Affidabilità</w:t>
            </w:r>
          </w:p>
        </w:tc>
        <w:tc>
          <w:tcPr>
            <w:tcW w:type="dxa" w:w="6633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99.9% uptime su sistemi AI serventi clienti enterprise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Efficienza operativa</w:t>
            </w:r>
          </w:p>
        </w:tc>
        <w:tc>
          <w:tcPr>
            <w:tcW w:type="dxa" w:w="6633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Riduzione tempi di review del 60%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Pipeline MLOps</w:t>
            </w:r>
          </w:p>
        </w:tc>
        <w:tc>
          <w:tcPr>
            <w:tcW w:type="dxa" w:w="6633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Miglioramento throughput pipeline del 35%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Cost optimization</w:t>
            </w:r>
          </w:p>
        </w:tc>
        <w:tc>
          <w:tcPr>
            <w:tcW w:type="dxa" w:w="6633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Riduzione costi cloud del 25%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Computer Vision</w:t>
            </w:r>
          </w:p>
        </w:tc>
        <w:tc>
          <w:tcPr>
            <w:tcW w:type="dxa" w:w="6633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YOLOv8 in produzione, +22% difettosità rilevata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Scalabilità</w:t>
            </w:r>
          </w:p>
        </w:tc>
        <w:tc>
          <w:tcPr>
            <w:tcW w:type="dxa" w:w="6633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Sistemi AI serventi 100.000+ utenti/giorno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Impatto economico</w:t>
            </w:r>
          </w:p>
        </w:tc>
        <w:tc>
          <w:tcPr>
            <w:tcW w:type="dxa" w:w="6633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€ 2M+/anno di impatto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2.3  Onestà sul team attuale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Sì, Aetheris AI parte come one-man show. Questo è normale per l'80%+ delle startup pre-seed europee. Il punto non è negarlo ma mostrare: (a) il founder ha produzione reale alle spalle; (b) il Proof of Capability Stack (§14) costruisce prove concrete nei primi 6 mesi; (c) il piano team evolution (§19) è credibile e sequenziale.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2.4  2-4 Advisor già identificati (M0-M3)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Ruolo advisor</w:t>
            </w:r>
          </w:p>
        </w:tc>
        <w:tc>
          <w:tcPr>
            <w:tcW w:type="dxa" w:w="323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Profilo ideale</w:t>
            </w:r>
          </w:p>
        </w:tc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Quando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Advisor AI Act / Legal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Avvocato/legale specializzato AI Act, GDPR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M0-M3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 identificazione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Advisor Industry (Energy)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Ex-CTO/Director in utility, multi-utility o energy tech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M0-M3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 identificazione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Advisor Industry (Manufacturing)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Ex-CTO/Director Operations in OEM medio-grande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M3-M6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Da identificare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Advisor AI/ML tecnico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Senior AI/ML practitioner, ex-collega o professor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M3-M6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Da identificare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3.  </w:t>
      </w:r>
      <w:r>
        <w:rPr>
          <w:rFonts w:ascii="Calibri" w:hAnsi="Calibri"/>
          <w:b/>
          <w:i w:val="0"/>
          <w:color w:val="0B1F3A"/>
          <w:sz w:val="30"/>
        </w:rPr>
        <w:t>PROBLEMA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Energy e Manufacturing in Europa si trovano ad affrontare la stessa frattura: la quantità di dati operativi, tecnici e documentali che producono è esplosa, ma la capacità di estrarne decisioni azionabili rimane bloccata da strozzature concrete.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3.1  Le tre strozzature specifiche dei due verticali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Strozzatura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Energy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Manufacturing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Conoscenza frammentata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Decine di migliaia di documenti tecnici inaccessibili agli operatori sul campo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Manuali macchina, schede tecniche, log di qualità non interrogabili in linguaggio naturale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Ispezione manuale lenta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Ispezione visiva di asset remoti con team costosi e tempi lunghi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Controllo qualità visivo su linee ad alta cadenza con tasso di errore umano non trascurabile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Decisioni reattive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Manutenzione a guasto o scheduled, non predittiva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Fermi macchina non previsti, OEE eroso, costi di non-qualità ricorrenti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Misurabilità del problema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Costo del problema: ogni ora di fermo non programmato vale € 5.000-50.000; ogni decisione operativa basata su dati vecchi costa 1-3 punti di margine operativo.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4.  </w:t>
      </w:r>
      <w:r>
        <w:rPr>
          <w:rFonts w:ascii="Calibri" w:hAnsi="Calibri"/>
          <w:b/>
          <w:i w:val="0"/>
          <w:color w:val="0B1F3A"/>
          <w:sz w:val="30"/>
        </w:rPr>
        <w:t>MARKET OPPORTUNITY — BOTTOM-UP CONSERVATIVO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4.1  Dimensionamento top-down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Segmento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TAM EU 2030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SAM EU 2030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AI in Energy &amp; Utilities (EU)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€ 28 Mld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€ 6 Mld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AI in Manufacturing (EU)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€ 47 Mld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€ 10 Mld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AI Document Intelligence industriale (EU)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€ 12 Mld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€ 3 Mld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AI Vision industriale (EU)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€ 18 Mld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€ 4 Mld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AI Predictive Maintenance (EU)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€ 14 Mld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€ 3 Mld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Totale Aetheris addressable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€ 119 Mld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€ 26 Mld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4.2  Modello bottom-up CONSERVATIVO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Il numero che segue è il target, non la promessa. Y1 con founder solo significa realisticamente 1-2 clienti, non 3-5. La crescita a Y2 (5 clienti) richiede già un co-founder commerciale.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</w:t>
            </w:r>
          </w:p>
        </w:tc>
        <w:tc>
          <w:tcPr>
            <w:tcW w:type="dxa" w:w="85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Clienti</w:t>
            </w:r>
          </w:p>
        </w:tc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ACV</w:t>
            </w:r>
          </w:p>
        </w:tc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Mix prodotti</w:t>
            </w:r>
          </w:p>
        </w:tc>
        <w:tc>
          <w:tcPr>
            <w:tcW w:type="dxa" w:w="266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Revenue (range)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Y1 (M0-M12)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1-2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€ 30-50k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70% services + PoC, 30% subscription</w:t>
            </w:r>
          </w:p>
        </w:tc>
        <w:tc>
          <w:tcPr>
            <w:tcW w:type="dxa" w:w="26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€ 50-100k</w:t>
            </w:r>
          </w:p>
        </w:tc>
      </w:tr>
      <w:tr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Y2 (M12-M24)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3-5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€ 60-90k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50% subscription, 30% services, 20% managed</w:t>
            </w:r>
          </w:p>
        </w:tc>
        <w:tc>
          <w:tcPr>
            <w:tcW w:type="dxa" w:w="26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€ 300-500k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Y3 (M24-M36)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8-12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€ 100-140k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60% subscription, 20% services, 20% managed+usage</w:t>
            </w:r>
          </w:p>
        </w:tc>
        <w:tc>
          <w:tcPr>
            <w:tcW w:type="dxa" w:w="26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€ 800k-1.5M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5.  </w:t>
      </w:r>
      <w:r>
        <w:rPr>
          <w:rFonts w:ascii="Calibri" w:hAnsi="Calibri"/>
          <w:b/>
          <w:i w:val="0"/>
          <w:color w:val="0B1F3A"/>
          <w:sz w:val="30"/>
        </w:rPr>
        <w:t>CUSTOMER DISCOVERY &amp; VALIDATION PLAN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Il track record commerciale di Aetheris AI è ancora da costruire. Per ridurre il rischio di execution, il piano prevede un programma strutturato di customer discovery prima del fundraising Phase 2.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5.1  Piano interviste (M0-M9)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Parametro</w:t>
            </w:r>
          </w:p>
        </w:tc>
        <w:tc>
          <w:tcPr>
            <w:tcW w:type="dxa" w:w="69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Numero totale interviste</w:t>
            </w:r>
          </w:p>
        </w:tc>
        <w:tc>
          <w:tcPr>
            <w:tcW w:type="dxa" w:w="69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30-50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Mix verticale</w:t>
            </w:r>
          </w:p>
        </w:tc>
        <w:tc>
          <w:tcPr>
            <w:tcW w:type="dxa" w:w="69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60% Energy &amp; Industrial, 40% Manufacturing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Mix geografico</w:t>
            </w:r>
          </w:p>
        </w:tc>
        <w:tc>
          <w:tcPr>
            <w:tcW w:type="dxa" w:w="69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70% Italia, 30% DACH/Benelux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Mix ruolo</w:t>
            </w:r>
          </w:p>
        </w:tc>
        <w:tc>
          <w:tcPr>
            <w:tcW w:type="dxa" w:w="69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CTO, CIO, Chief Innovation, Operations Director, Plant Manager, Energy Manager, AI/ML Lead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Durata</w:t>
            </w:r>
          </w:p>
        </w:tc>
        <w:tc>
          <w:tcPr>
            <w:tcW w:type="dxa" w:w="69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45-60 min, strutturata, registrata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Output</w:t>
            </w:r>
          </w:p>
        </w:tc>
        <w:tc>
          <w:tcPr>
            <w:tcW w:type="dxa" w:w="69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Database strutturato, prioritizzazione use case, lista PoC prospect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5.2  Output atteso (Gate 2, M6)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Risultato misurabile atteso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Al Gate 2 il piano di validazione dovrà poter documentare: 30-50 aziende intervistate, 20+ con use case prioritizzati, 10+ con agreement a valutare un PoC, 1-2 con design partner agreement formale. Questi numeri sono la base per il fundraising di Phase 2.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6.  </w:t>
      </w:r>
      <w:r>
        <w:rPr>
          <w:rFonts w:ascii="Calibri" w:hAnsi="Calibri"/>
          <w:b/>
          <w:i w:val="0"/>
          <w:color w:val="0B1F3A"/>
          <w:sz w:val="30"/>
        </w:rPr>
        <w:t>SOLUZIONE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La soluzione Aetheris AI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Aetheris AI è una piattaforma di Applied AI progettata per l'industria europea, che combina in un'unica architettura GenAI, RAG, AI Agents, Computer Vision e Predictive AI, con AI Act–ready by design. Partiamo da due verticali — Energy e Manufacturing.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6.1  Architettura della soluzione (Phase 1-2)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1) Aetheris Knowledge (GenAI / RAG / AI Agents)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Knowledge management basato su RAG multimodale: ingestion di documenti tecnici, manuali, normative, log; agenti per recupero, sintesi, generazione; web/API per operatori. Use case: engineering knowledge copilot, document intelligence, technical Q&amp;A.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2) Aetheris Vision (Computer Vision)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Modelli pre-addestrati + fine-tuning rapido: object detection, classificazione difetti, OCR, video analytics. Use case: ispezione su linea, monitoraggio asset remoti.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3) Aetheris Predict (Predictive AI)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Forecasting, anomaly detection, predictive maintenance. Integrazione con SCADA, IoT, sensori. Use case: manutenzione predittiva, energy optimization.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6.2  Architettura AI Act–ready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Risk management. </w:t>
      </w:r>
      <w:r>
        <w:rPr>
          <w:rFonts w:ascii="Calibri" w:hAnsi="Calibri"/>
          <w:b w:val="0"/>
          <w:i w:val="0"/>
          <w:color w:val="1A1A1A"/>
          <w:sz w:val="21"/>
        </w:rPr>
        <w:t>Model registry, data lineage automatico, audit trail completo.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Documentazione. </w:t>
      </w:r>
      <w:r>
        <w:rPr>
          <w:rFonts w:ascii="Calibri" w:hAnsi="Calibri"/>
          <w:b w:val="0"/>
          <w:i w:val="0"/>
          <w:color w:val="1A1A1A"/>
          <w:sz w:val="21"/>
        </w:rPr>
        <w:t>DPIA e scheda tecnica per ogni sistema AI; explainability integrata.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Human oversight. </w:t>
      </w:r>
      <w:r>
        <w:rPr>
          <w:rFonts w:ascii="Calibri" w:hAnsi="Calibri"/>
          <w:b w:val="0"/>
          <w:i w:val="0"/>
          <w:color w:val="1A1A1A"/>
          <w:sz w:val="21"/>
        </w:rPr>
        <w:t>Pattern architetturali per revisione umana, override, feedback loop.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Sicurezza &amp; GDPR. </w:t>
      </w:r>
      <w:r>
        <w:rPr>
          <w:rFonts w:ascii="Calibri" w:hAnsi="Calibri"/>
          <w:b w:val="0"/>
          <w:i w:val="0"/>
          <w:color w:val="1A1A1A"/>
          <w:sz w:val="21"/>
        </w:rPr>
        <w:t>Data residency EU, cifratura, gestione consensi.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7.  </w:t>
      </w:r>
      <w:r>
        <w:rPr>
          <w:rFonts w:ascii="Calibri" w:hAnsi="Calibri"/>
          <w:b/>
          <w:i w:val="0"/>
          <w:color w:val="0B1F3A"/>
          <w:sz w:val="30"/>
        </w:rPr>
        <w:t>PRODOTTO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7.1  Portfolia prodotti (focus Phase 1-2)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Prodotto</w:t>
            </w:r>
          </w:p>
        </w:tc>
        <w:tc>
          <w:tcPr>
            <w:tcW w:type="dxa" w:w="51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Descrizione</w:t>
            </w:r>
          </w:p>
        </w:tc>
        <w:tc>
          <w:tcPr>
            <w:tcW w:type="dxa" w:w="181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Stato / GA target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Aetheris AI Platform (core)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Layer di orchestrazione, MLOps, governance, sicurezza. Cloud-native, edge, multi-cloud EU.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MVP M4 · GA M12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Aetheris Knowledge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GenAI: RAG multimodale, AI Agents, knowledge copilot, Q&amp;A.</w:t>
            </w:r>
          </w:p>
        </w:tc>
        <w:tc>
          <w:tcPr>
            <w:tcW w:type="dxa" w:w="181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PoC M1-M4 · GA M9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Aetheris Vision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Computer Vision: defect detection, industrial inspection, OCR.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PoC M5-M8 · GA M12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Aetheris Predict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Predictive AI: predictive maintenance, energy optimization.</w:t>
            </w:r>
          </w:p>
        </w:tc>
        <w:tc>
          <w:tcPr>
            <w:tcW w:type="dxa" w:w="181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PoC M9-M12 · GA M15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7.2  Cosa NON costruiamo nella Phase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Deliberate scope reduction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Robotics, consumer Copilot, Healthcare/Banking/PA verticals → Phase 3+. L'architettura è progettata per ospitare questi moduli in futuro.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8.  </w:t>
      </w:r>
      <w:r>
        <w:rPr>
          <w:rFonts w:ascii="Calibri" w:hAnsi="Calibri"/>
          <w:b/>
          <w:i w:val="0"/>
          <w:color w:val="0B1F3A"/>
          <w:sz w:val="30"/>
        </w:rPr>
        <w:t>TECNOLOGIA E ARCHITETTURA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Per il dettaglio tecnico completo vedi il Technical Dossier allegato. Questa sezione fornisce la sintesi executive.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8.1  5 pilastri della piattaforma (visione di lungo termine)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Pilastro</w:t>
            </w:r>
          </w:p>
        </w:tc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 1-2</w:t>
            </w:r>
          </w:p>
        </w:tc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 3+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Enterprise Generative AI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Attivo (Knowledge)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Consolidamento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Computer Vision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Attivo (Vision)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Modelli 3D avanzati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Predictive AI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Attivo (Predict)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Causal AI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MLOps / Platform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Attivo (core)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Federated learning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Robotics &amp; Autonomous Systems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— Roadmap Phase 3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In roadmap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8.2  Innovazioni distinctive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Unified AI Operating Layer. </w:t>
      </w:r>
      <w:r>
        <w:rPr>
          <w:rFonts w:ascii="Calibri" w:hAnsi="Calibri"/>
          <w:b w:val="0"/>
          <w:i w:val="0"/>
          <w:color w:val="1A1A1A"/>
          <w:sz w:val="21"/>
        </w:rPr>
        <w:t>Layer unico che permette a LLM, CV, modelli predittivi e agenti di cooperare in un workflow comune.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Multi-modal RAG. </w:t>
      </w:r>
      <w:r>
        <w:rPr>
          <w:rFonts w:ascii="Calibri" w:hAnsi="Calibri"/>
          <w:b w:val="0"/>
          <w:i w:val="0"/>
          <w:color w:val="1A1A1A"/>
          <w:sz w:val="21"/>
        </w:rPr>
        <w:t>RAG su documenti, immagini, video, dati tabellari, sensor data.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Compliance-by-design. </w:t>
      </w:r>
      <w:r>
        <w:rPr>
          <w:rFonts w:ascii="Calibri" w:hAnsi="Calibri"/>
          <w:b w:val="0"/>
          <w:i w:val="0"/>
          <w:color w:val="1A1A1A"/>
          <w:sz w:val="21"/>
        </w:rPr>
        <w:t>Pipeline e modelli progettati per supportare i requisiti di risk management, documentazione, trasparenza e human oversight dell'AI Act.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Evaluation infrastructure. </w:t>
      </w:r>
      <w:r>
        <w:rPr>
          <w:rFonts w:ascii="Calibri" w:hAnsi="Calibri"/>
          <w:b w:val="0"/>
          <w:i w:val="0"/>
          <w:color w:val="1A1A1A"/>
          <w:sz w:val="21"/>
        </w:rPr>
        <w:t>Sistema interno per selezionare il modello migliore per il task del cliente; benchmark continuo.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/>
          <w:i w:val="0"/>
          <w:color w:val="0B1F3A"/>
          <w:sz w:val="21"/>
        </w:rPr>
        <w:t xml:space="preserve">Edge AI container. </w:t>
      </w:r>
      <w:r>
        <w:rPr>
          <w:rFonts w:ascii="Calibri" w:hAnsi="Calibri"/>
          <w:b w:val="0"/>
          <w:i w:val="0"/>
          <w:color w:val="1A1A1A"/>
          <w:sz w:val="21"/>
        </w:rPr>
        <w:t>Container ottimizzati per Jetson, Coral, edge server, con aggiornamento OTA.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9.  </w:t>
      </w:r>
      <w:r>
        <w:rPr>
          <w:rFonts w:ascii="Calibri" w:hAnsi="Calibri"/>
          <w:b/>
          <w:i w:val="0"/>
          <w:color w:val="0B1F3A"/>
          <w:sz w:val="30"/>
        </w:rPr>
        <w:t>COMPETITIVE LANDSCAPE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Esempi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Forza</w:t>
            </w:r>
          </w:p>
        </w:tc>
        <w:tc>
          <w:tcPr>
            <w:tcW w:type="dxa" w:w="351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Debolezza vs Aetheris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Big Tech extra-UE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Microsoft, Google, AWS, IBM, Oracle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Capacità di investimento e distribuzione globale</w:t>
            </w:r>
          </w:p>
        </w:tc>
        <w:tc>
          <w:tcPr>
            <w:tcW w:type="dxa" w:w="351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AI Act readiness limitata, sovranità EU non garantita, lock-in.</w:t>
            </w:r>
          </w:p>
        </w:tc>
      </w:tr>
      <w:tr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Vendor verticali EU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Aleph Alpha, Mistral, Helsing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EU sovereignty, specializzazione</w:t>
            </w:r>
          </w:p>
        </w:tc>
        <w:tc>
          <w:tcPr>
            <w:tcW w:type="dxa" w:w="351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Focus su modello/ricerca, non su piattaforma applicativa Energy/Manufacturing.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System integrator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Capgemini Engineering, Reply, Accenture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Delivery capacity, network clienti</w:t>
            </w:r>
          </w:p>
        </w:tc>
        <w:tc>
          <w:tcPr>
            <w:tcW w:type="dxa" w:w="351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Piattaforma proprietaria debole, costi alti, poca innovazione.</w:t>
            </w:r>
          </w:p>
        </w:tc>
      </w:tr>
      <w:tr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Aetheris AI v3.0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Knowledge+Vision+Predict + AI Act–ready + Made in EU + 3 PoC pubblici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Approccio verticale profondo, architettura unificata, proof of capability visibile</w:t>
            </w:r>
          </w:p>
        </w:tc>
        <w:tc>
          <w:tcPr>
            <w:tcW w:type="dxa" w:w="351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Team in crescita, brand emergente, track record commerciale da costruire.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10.  </w:t>
      </w:r>
      <w:r>
        <w:rPr>
          <w:rFonts w:ascii="Calibri" w:hAnsi="Calibri"/>
          <w:b/>
          <w:i w:val="0"/>
          <w:color w:val="0B1F3A"/>
          <w:sz w:val="30"/>
        </w:rPr>
        <w:t>MOAT (5 LIVELLI)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Il vantaggio competitivo di Aetheris AI non è una singola tecnologia, bensì una struttura a cinque livelli che diventa più solida con ogni cliente e con ogni PoC pubblicato.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Livello</w:t>
            </w:r>
          </w:p>
        </w:tc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Contenuto</w:t>
            </w:r>
          </w:p>
        </w:tc>
        <w:tc>
          <w:tcPr>
            <w:tcW w:type="dxa" w:w="408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Perché è difendibile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1. Orchestration layer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Coordina LLM → Vision → Predictive → Agents → Edge in un workflow unico. Know-how interno.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Replicabile solo ricostruendo da zero l'integrazione.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2. Domain datasets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Ogni deployment produce dataset di valutazione, knowledge di dominio, feedback, failure cases.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 dati si accumulano; effetto data network nel lungo periodo.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3. Evaluation infrastructure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Sistema per selezionare il modello migliore per il task specifico; benchmark continuo.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Difficile da clonare: richiede workload reale e tempo.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4. Compliance infrastructure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Model registry, audit trail, lineage, human oversight, data governance, generazione automatica di schede tecniche.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Replicabile solo con investimento significativo; valore crescente con l'entrata in vigore completa dell'AI Act.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5. Industrial integrations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Connettori SAP, ERP, SCADA, OPC-UA, MES, IoT, document repositories.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Più clienti = più integrazioni = più difficile sostituire.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11.  </w:t>
      </w:r>
      <w:r>
        <w:rPr>
          <w:rFonts w:ascii="Calibri" w:hAnsi="Calibri"/>
          <w:b/>
          <w:i w:val="0"/>
          <w:color w:val="0B1F3A"/>
          <w:sz w:val="30"/>
        </w:rPr>
        <w:t>BUSINESS MODEL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Modello ibrido multi-revenue: piattaforma, servizi, consumo.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Stream</w:t>
            </w:r>
          </w:p>
        </w:tc>
        <w:tc>
          <w:tcPr>
            <w:tcW w:type="dxa" w:w="255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Descrizione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Pricing tipico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Y3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Subscription piattaforma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Licenza annuale piattaforma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€ 30-150k/anno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50%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Servizi professionali</w:t>
            </w:r>
          </w:p>
        </w:tc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Customization, integrazione, training, advisory AI Act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€ 800-1.500/giorno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25%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Managed services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Gestione operativa piattaforma 24/7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€ 5-25k/mese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15%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Usage-based</w:t>
            </w:r>
          </w:p>
        </w:tc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Inference, training, storage, monitoring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€ 0.001-0.05/token/immagine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8%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Formazione &amp; certificazione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Corsi per team cliente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€ 1.500-8.000/persona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12.  </w:t>
      </w:r>
      <w:r>
        <w:rPr>
          <w:rFonts w:ascii="Calibri" w:hAnsi="Calibri"/>
          <w:b/>
          <w:i w:val="0"/>
          <w:color w:val="0B1F3A"/>
          <w:sz w:val="30"/>
        </w:rPr>
        <w:t>GO-TO-MARKET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12.1  Strategia focalizzata Energy + Manufacturing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Phase 1 (M0-M12) — Fondazione + 3 PoC + 1-2 design partner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3 PoC pubblici su dataset aperti (Knowledge, Vision, Predict) — vedi §14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Customer discovery (30-50 interviste, vedi §5)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2 advisor firmati (AI Act + industry)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1-2 design partner agreement (LOI/MoU)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Application Smart&amp;Start + accelerator (IKIGAI/Polo Navacchio/Nana Bianca)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Round pre-seed € 100k post-Gate 2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Phase 2 (M12-M24) — Italia + primo EU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Espansione in Italia + 1 cliente EU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GA di Knowledge, Vision, Predict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Co-founder commerciale attivo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Round seed € 750k post-Gate 3 (3-5 clienti, € 250-400k ARR)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5-6 clienti paganti, € 300-500k revenue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00B8A9"/>
          <w:sz w:val="22"/>
        </w:rPr>
        <w:t>Phase 3 (M24-M36) — EU expansion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Primo ufficio commerciale EU (DACH o Benelux)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Partnership con 1-2 system integrator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EIC Accelerator application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8-12 clienti, € 800k-1.5M ARR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13.  </w:t>
      </w:r>
      <w:r>
        <w:rPr>
          <w:rFonts w:ascii="Calibri" w:hAnsi="Calibri"/>
          <w:b/>
          <w:i w:val="0"/>
          <w:color w:val="0B1F3A"/>
          <w:sz w:val="30"/>
        </w:rPr>
        <w:t>DESIGN PARTNERS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Prima di pensare a 5+ clienti, l'obiettivo Phase 1 è ottenere 1-2 design partner formali con cui validare il prodotto, ottenere dati di dominio e raccogliere evidenze di ROI.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Partner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Verticale</w:t>
            </w:r>
          </w:p>
        </w:tc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 case</w:t>
            </w:r>
          </w:p>
        </w:tc>
        <w:tc>
          <w:tcPr>
            <w:tcW w:type="dxa" w:w="294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 atteso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Design Partner 1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Energy (utility italiana)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Engineering Knowledge Copilot + predictive maintenance su asset remoti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LOI, dataset, PoC 8-12 settimane, KPI su riduzione tempi accesso documentazione</w:t>
            </w:r>
          </w:p>
        </w:tc>
      </w:tr>
      <w:tr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Design Partner 2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Manufacturing (OEM italiano)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Computer Vision Quality Inspection su linea di produzione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MoU, dataset di difettosità annotato, PoC su 1-2 linee, KPI su difetti non rilevati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Cosa offre Aetheris al design partner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Aetheris AI offre: PoC a costo ridotto o gratuito (in forma di credito di servizi), prezzo di favore per 12 mesi in caso di conversione a contratto, co-autorship del case study e visibilità condivisa.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14.  </w:t>
      </w:r>
      <w:r>
        <w:rPr>
          <w:rFonts w:ascii="Calibri" w:hAnsi="Calibri"/>
          <w:b/>
          <w:i w:val="0"/>
          <w:color w:val="0B1F3A"/>
          <w:sz w:val="30"/>
        </w:rPr>
        <w:t>POC STRATEGY (3 POC PUBBLICI)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Perché i 3 PoC vengono prima di tutto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 3 PoC sono la base della strategia di credibilità. Senza artefatti pubblici, è impossibile attrarre advisor, design partner o investitori. Per questo, la Phase 1 è costruita attorno a 3 PoC eseguibili in 12-15 settimane da solo, su dataset pubblici, con deliverable pubblicamente verificabili (GitHub, demo live, blog post, model card).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14.1  I 3 PoC — sintesi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PoC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Tecnologia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Dataset pubblico</w:t>
            </w:r>
          </w:p>
        </w:tc>
        <w:tc>
          <w:tcPr>
            <w:tcW w:type="dxa" w:w="85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238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 pubblici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PoC 1 — Knowledge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RAG multi-modale + AI Agents + evaluation suite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100+ documenti (ISO, normative, datasheet)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M1-M4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GitHub + Docker + demo + white paper AI Act + blog</w:t>
            </w:r>
          </w:p>
        </w:tc>
      </w:tr>
      <w:tr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PoC 2 — Vision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YOLOv8 + custom training + ONNX + edge demo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MVTec + NEU-DET + DAGM (~30k immagini)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M5-M8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GitHub + Gradio demo + HF model card + blog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PoC 3 — Predict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Prophet + XGBoost + LSTM + Transformer + dashboard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NASA C-MAPSS + AI4I + NAB (~100k time series)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M9-M12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GitHub + Streamlit dashboard + MLflow registry + blog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14.2  Effort e costi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Realistic effort &amp; costs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Effort totale: ~270-330 ore in 15 settimane = 18-22 ore/settimana. Compatibile con attività part-time. Costi operativi: &lt;€200/mese (free tier su GitHub, HF, Streamlit Cloud, Ollama self-hosted, Qdrant free tier, OpenAI solo per evaluation). Tutto bootstrap-abile.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14.3  Dettaglio PoC — vedi documento PoC Specifications allegato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Per le specifiche complete vedi il documento allegato 'Aetheris AI PoC Specifications' (17 pagine con architettura, dataset, evaluation metrics, timeline settimanale, AI Act checklist, template GitHub README, model card template).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15.  </w:t>
      </w:r>
      <w:r>
        <w:rPr>
          <w:rFonts w:ascii="Calibri" w:hAnsi="Calibri"/>
          <w:b/>
          <w:i w:val="0"/>
          <w:color w:val="0B1F3A"/>
          <w:sz w:val="30"/>
        </w:rPr>
        <w:t>TRACTION &amp; VALIDATION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15.1  Traction esistente (M0)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Al momento della pubblicazione di questo piano, Aetheris AI è in fase di pre-costituzione. La traction di cui disponiamo è di tipo «founder production track record»: 5+ anni di consegne AI in produzione, 100.000+ utenti serviti, 99.9% uptime, € 2M+ impatto annuo. Nei prossimi 6 mesi la traction da costruire è di tipo «portfolio pubblico + advisor + design partner».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15.2  Traction da costruire (M0-M6)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635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 atteso (Gate 2)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PoC pubblicati</w:t>
            </w:r>
          </w:p>
        </w:tc>
        <w:tc>
          <w:tcPr>
            <w:tcW w:type="dxa" w:w="63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 PoC su GitHub con README, demo, evaluation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Blog post</w:t>
            </w:r>
          </w:p>
        </w:tc>
        <w:tc>
          <w:tcPr>
            <w:tcW w:type="dxa" w:w="63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 technical blog post pubblicati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White paper</w:t>
            </w:r>
          </w:p>
        </w:tc>
        <w:tc>
          <w:tcPr>
            <w:tcW w:type="dxa" w:w="63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 white paper su AI Act–ready architecture (10-15 pagine)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Customer discovery</w:t>
            </w:r>
          </w:p>
        </w:tc>
        <w:tc>
          <w:tcPr>
            <w:tcW w:type="dxa" w:w="63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30-50 interviste documentate, use case prioritizzati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Advisors</w:t>
            </w:r>
          </w:p>
        </w:tc>
        <w:tc>
          <w:tcPr>
            <w:tcW w:type="dxa" w:w="63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2-4 advisor firmati (AI Act + industry)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Design partner</w:t>
            </w:r>
          </w:p>
        </w:tc>
        <w:tc>
          <w:tcPr>
            <w:tcW w:type="dxa" w:w="63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1-2 LOI/MoU firmati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Bandi / accelerator</w:t>
            </w:r>
          </w:p>
        </w:tc>
        <w:tc>
          <w:tcPr>
            <w:tcW w:type="dxa" w:w="63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presentate a Smart&amp;Start + IKIGAI/Polo Navacchio/Nana Bianca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Fundraising Phase 1</w:t>
            </w:r>
          </w:p>
        </w:tc>
        <w:tc>
          <w:tcPr>
            <w:tcW w:type="dxa" w:w="63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€ 200-300k commitment o soft-circle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16.  </w:t>
      </w:r>
      <w:r>
        <w:rPr>
          <w:rFonts w:ascii="Calibri" w:hAnsi="Calibri"/>
          <w:b/>
          <w:i w:val="0"/>
          <w:color w:val="0B1F3A"/>
          <w:sz w:val="30"/>
        </w:rPr>
        <w:t>REGULATORY STRATEGY (AI ACT–READY)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Aetheris AI è progettata con un'architettura AI Act–ready: la piattaforma è ingegnerizzata per supportare i requisiti del Regolamento (UE) 2024/1689, non per dichiarare una conformità che deve ancora essere certificata.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16.1  Linguaggio utilizzato nel piano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Formulazione precisa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Dichiariamo che l'architettura è «AI Act–ready / compliance-by-design» e che la piattaforma è «progettata per supportare» i requisiti di risk management, documentazione, trasparenza e human oversight dell'AI Act. Non dichiariamo oggi una piena conformità normativa.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16.2  Quadro regolatorio di riferimento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Regolamento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Impatto</w:t>
            </w:r>
          </w:p>
        </w:tc>
        <w:tc>
          <w:tcPr>
            <w:tcW w:type="dxa" w:w="351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Approccio Aetheris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Reg. UE 2024/1689 – AI Act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Risk management, documentazione, trasparenza, human oversight</w:t>
            </w:r>
          </w:p>
        </w:tc>
        <w:tc>
          <w:tcPr>
            <w:tcW w:type="dxa" w:w="351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Architettura by design; roadmap certificazione M18+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Reg. UE 2016/679 – GDPR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Protezione dati personali, data breach</w:t>
            </w:r>
          </w:p>
        </w:tc>
        <w:tc>
          <w:tcPr>
            <w:tcW w:type="dxa" w:w="351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Privacy by design, DPO designato, DPIA per use case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Reg. UE 2023/2854 – Data Act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Portabilità, interoperabilità</w:t>
            </w:r>
          </w:p>
        </w:tc>
        <w:tc>
          <w:tcPr>
            <w:tcW w:type="dxa" w:w="351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API standard per export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Reg. UE 2022/2554 – NIS2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Sicurezza reti e sistemi, notifica incidenti</w:t>
            </w:r>
          </w:p>
        </w:tc>
        <w:tc>
          <w:tcPr>
            <w:tcW w:type="dxa" w:w="351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Piano incident response, monitoring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Reg. UE 2024/2847 – Cyber Resilience Act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SBOM, gestione vulnerabilità</w:t>
            </w:r>
          </w:p>
        </w:tc>
        <w:tc>
          <w:tcPr>
            <w:tcW w:type="dxa" w:w="351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SBOM automatico, vulnerability management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16.3  Roadmap di compliance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M0-M6: designazione AI Compliance Officer + DPO, modello di risk classification.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M6-M12: completamento data lineage, policy di human oversight.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M12-M18: assessment di terza parte, preparazione ISO/IEC 42001.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M18-M24: marcatura CE per sistemi high-risk.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17.  </w:t>
      </w:r>
      <w:r>
        <w:rPr>
          <w:rFonts w:ascii="Calibri" w:hAnsi="Calibri"/>
          <w:b/>
          <w:i w:val="0"/>
          <w:color w:val="0B1F3A"/>
          <w:sz w:val="30"/>
        </w:rPr>
        <w:t>IP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Asset</w:t>
            </w:r>
          </w:p>
        </w:tc>
        <w:tc>
          <w:tcPr>
            <w:tcW w:type="dxa" w:w="408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Protezione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Marchi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Aetheris, Aetheris AI, Aetheris Knowledge/Vision/Predict, tagline, logo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Registrazione UIBM + EUIPO entro M3</w:t>
            </w:r>
          </w:p>
        </w:tc>
      </w:tr>
      <w:tr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Copyright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Codice sorgente, architettura software, documentazione tecnica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Diritto d'autore automatico; licenze commerciali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Trade secrets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Orchestration layer, evaluation infrastructure, prompt engineering di dominio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NDA, access control</w:t>
            </w:r>
          </w:p>
        </w:tc>
      </w:tr>
      <w:tr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Possibili brevetti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Metodi di orchestration multi-pilastro, algoritmi di evaluation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Analisi di patentabilità M6-M12; eventuali filing M12+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Modelli AI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Modelli fine-tuned, dataset di training, evaluation suites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Deposito modelli dove rilevante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18.  </w:t>
      </w:r>
      <w:r>
        <w:rPr>
          <w:rFonts w:ascii="Calibri" w:hAnsi="Calibri"/>
          <w:b/>
          <w:i w:val="0"/>
          <w:color w:val="0B1F3A"/>
          <w:sz w:val="30"/>
        </w:rPr>
        <w:t>ROADMAP (5 GATE + 3 POC)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La roadmap è strutturata in 5 Gate, ciascuno con criteri di uscita misurabili. I 3 PoC (§14) sono integrati nei Gate 1-3.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Gate</w:t>
            </w:r>
          </w:p>
        </w:tc>
        <w:tc>
          <w:tcPr>
            <w:tcW w:type="dxa" w:w="85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Timing</w:t>
            </w:r>
          </w:p>
        </w:tc>
        <w:tc>
          <w:tcPr>
            <w:tcW w:type="dxa" w:w="635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Criteri di uscita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Gate 1 — Technical validation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M3</w:t>
            </w:r>
          </w:p>
        </w:tc>
        <w:tc>
          <w:tcPr>
            <w:tcW w:type="dxa" w:w="63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PoC 1 (Knowledge RAG) pubblicato · GitHub + demo + blog + white paper AI Act · 2 advisor firmati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Gate 2 — Customer validation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M6</w:t>
            </w:r>
          </w:p>
        </w:tc>
        <w:tc>
          <w:tcPr>
            <w:tcW w:type="dxa" w:w="63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PoC 2 (Vision) pubblicato · 30-50 interviste · 1-2 design partner agreement · € 50-100k pipeline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Gate 3 — Product-market validation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M12</w:t>
            </w:r>
          </w:p>
        </w:tc>
        <w:tc>
          <w:tcPr>
            <w:tcW w:type="dxa" w:w="63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PoC 3 (Predict) pubblicato · 2-3 clienti paganti · € 50-100k ARR · primo case study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Gate 4 — Repeatability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M18</w:t>
            </w:r>
          </w:p>
        </w:tc>
        <w:tc>
          <w:tcPr>
            <w:tcW w:type="dxa" w:w="63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5-6 clienti paganti · € 250-400k ARR · sales playbook · co-founder commerciale attivo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Gate 5 — Scale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M24</w:t>
            </w:r>
          </w:p>
        </w:tc>
        <w:tc>
          <w:tcPr>
            <w:tcW w:type="dxa" w:w="63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8-12 clienti · € 800k-1.2M ARR · 1-2 clienti EU · team 4-5 FTE · EIC application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19.  </w:t>
      </w:r>
      <w:r>
        <w:rPr>
          <w:rFonts w:ascii="Calibri" w:hAnsi="Calibri"/>
          <w:b/>
          <w:i w:val="0"/>
          <w:color w:val="0B1F3A"/>
          <w:sz w:val="30"/>
        </w:rPr>
        <w:t>TEAM EVOLUTION PLAN (24 MESI)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La tabella mostra l'evoluzione realistica del team nei prossimi 24 mesi. Il founder è solo per 6 mesi, poi aggiunge advisor, poi part-time, poi un co-founder commerciale al Gate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Mesi</w:t>
            </w:r>
          </w:p>
        </w:tc>
        <w:tc>
          <w:tcPr>
            <w:tcW w:type="dxa" w:w="51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Team</w:t>
            </w:r>
          </w:p>
        </w:tc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FTE medi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Costo annuo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M0-M3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Founder bootstrap + 2 advisor (AI Act + industry, gratis/equity)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1.0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€ 0-10k</w:t>
            </w:r>
          </w:p>
        </w:tc>
      </w:tr>
      <w:tr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M3-M6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+ 1 technical advisor (4h/mese gratis)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1.0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€ 30k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M6-M9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+ 1 part-time AI engineer (collaboration)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1.5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€ 50k</w:t>
            </w:r>
          </w:p>
        </w:tc>
      </w:tr>
      <w:tr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M9-M12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 co-founder commerciale (5-10% equity + stipend)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2.5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€ 100k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M12-M18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+ 1 senior AI engineer (full) + 1 part-time customer success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4.0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€ 200k</w:t>
            </w:r>
          </w:p>
        </w:tc>
      </w:tr>
      <w:tr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M18-M24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+ 1 customer success (full) + 1 marketing/sales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5.0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€ 280k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19.1  Come trovare gli advisor (M0-M3)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Lista LinkedIn di ex-colleghi, professori, contatti di eventi AI/Energy/Manufacturing.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Messaggio tipo: 'Sto costruendo X, cerco 1-2 advisor per 2-4 ore/mese. Equity 0.5-1%'.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Criteri: 5+ anni esperienza settore, network Energy/Manufacturing, 2-4h/mese.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Banca target: 1 ex-CTO/Director Energy, 1 AI Act lawyer, 1 AI/ML professor.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19.2  Quando trovare il co-founder commerciale (M6-M9)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Advisor L2 (firmati M3) fanno warm intro al network.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Evento IKIGAI / Nana Bianca demo day = fonte primaria.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Criteri: 5+ anni B2B sales Energy/Manufacturing, network in IT + EU.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20.  </w:t>
      </w:r>
      <w:r>
        <w:rPr>
          <w:rFonts w:ascii="Calibri" w:hAnsi="Calibri"/>
          <w:b/>
          <w:i w:val="0"/>
          <w:color w:val="0B1F3A"/>
          <w:sz w:val="30"/>
        </w:rPr>
        <w:t>FINANCIAL MODEL V3.0 (CONSERVATIVO)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I numeri seguenti sono coerenti con il Financial Model Excel allegato (385 formule live, 0 errori). Sono numeri conservativi.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20.1  Conto economico previsionale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Voce (k€)</w:t>
            </w:r>
          </w:p>
        </w:tc>
        <w:tc>
          <w:tcPr>
            <w:tcW w:type="dxa" w:w="192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1</w:t>
            </w:r>
          </w:p>
        </w:tc>
        <w:tc>
          <w:tcPr>
            <w:tcW w:type="dxa" w:w="192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2</w:t>
            </w:r>
          </w:p>
        </w:tc>
        <w:tc>
          <w:tcPr>
            <w:tcW w:type="dxa" w:w="192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3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Ricavi totali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80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1.150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COGS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-32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-140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-345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Margine Lordo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48 (60%)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260 (65%)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805 (70%)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Personale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-44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-184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-235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Costi operativi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-30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-72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-120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R&amp;D e innovazione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-6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-36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-60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EBITDA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-200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-50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+200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Ammortamenti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-2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-3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-4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EBIT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-202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-53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+196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Risultato netto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-202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-53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+166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20.2  Cash flow previsionale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Voce (k€)</w:t>
            </w:r>
          </w:p>
        </w:tc>
        <w:tc>
          <w:tcPr>
            <w:tcW w:type="dxa" w:w="192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1</w:t>
            </w:r>
          </w:p>
        </w:tc>
        <w:tc>
          <w:tcPr>
            <w:tcW w:type="dxa" w:w="192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2</w:t>
            </w:r>
          </w:p>
        </w:tc>
        <w:tc>
          <w:tcPr>
            <w:tcW w:type="dxa" w:w="192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3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Cash flow operativo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-200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-50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+200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Cash flow da investimenti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-3.5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-3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-5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Cash flow da finanziamenti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+330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+200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+750</w:t>
            </w:r>
          </w:p>
        </w:tc>
      </w:tr>
      <w:tr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Variazione netta cassa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+126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+147</w:t>
            </w:r>
          </w:p>
        </w:tc>
        <w:tc>
          <w:tcPr>
            <w:tcW w:type="dxa" w:w="192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+945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Disponibilità liquide finali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+200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+350</w:t>
            </w:r>
          </w:p>
        </w:tc>
        <w:tc>
          <w:tcPr>
            <w:tcW w:type="dxa" w:w="192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+1.295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20.3  KPI operativi e finanziari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1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2</w:t>
            </w:r>
          </w:p>
        </w:tc>
        <w:tc>
          <w:tcPr>
            <w:tcW w:type="dxa" w:w="238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 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Clienti paganti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ACV medio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€ 40k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€ 80k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€ 115k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ARR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€ 24k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€ 200k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€ 690k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Gross margin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60%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65%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70%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EBITDA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-€ 200k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-€ 50k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+€ 200k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Cash position EoY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€ 200k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€ 350k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€ 1.3M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Team (FTE medi)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0.8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2.5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4.0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21.  </w:t>
      </w:r>
      <w:r>
        <w:rPr>
          <w:rFonts w:ascii="Calibri" w:hAnsi="Calibri"/>
          <w:b/>
          <w:i w:val="0"/>
          <w:color w:val="0B1F3A"/>
          <w:sz w:val="30"/>
        </w:rPr>
        <w:t>FUNDING STRATEGY (MILESTONE-BASED)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La strategia di funding è milestone-based: il rilascio di capitale successivo è condizionato al superamento di Gate misurabili.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21.1  Le tre fasi di funding (v3.0)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Importo</w:t>
            </w:r>
          </w:p>
        </w:tc>
        <w:tc>
          <w:tcPr>
            <w:tcW w:type="dxa" w:w="425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 di uscita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 prioritaria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Phase 1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€ 200-300k</w:t>
            </w:r>
          </w:p>
        </w:tc>
        <w:tc>
          <w:tcPr>
            <w:tcW w:type="dxa" w:w="425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Gate 1+2 (M0-M6): 3 PoC + 1-2 design partner + 30-50 interviste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Smart&amp;Start + accelerator + pre-seed (piccolo)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Phase 2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€ 750k</w:t>
            </w:r>
          </w:p>
        </w:tc>
        <w:tc>
          <w:tcPr>
            <w:tcW w:type="dxa" w:w="425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Gate 3 (M12): 2-3 clienti paganti, € 50-100k ARR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Round seed con VC specializzati + corporate strategici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Phase 3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€ 500k-2.5M (grant + equity)</w:t>
            </w:r>
          </w:p>
        </w:tc>
        <w:tc>
          <w:tcPr>
            <w:tcW w:type="dxa" w:w="425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Gate 4 (M18): € 250-400k ARR, sales playbook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EIC Accelerator + round Series A lead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21.2  Perché € 200-300k Phase 1 (non € 1.5M upfront)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Chiedere subito l'importo massimo espone la startup a una valutazione troppo alta senza evidenze, e costringe a diluizioni anticipate. La struttura milestone-based allinea gli incentivi.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21.3  Smart&amp;Start — focus specifico (v3.0)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Smart&amp;Start Italia è attivo a sportello, ammette team pre-costituzione, finanzia esplicitamente progetti di AI. Per Aetheris AI: applicazione per € 200k (anziché € 1.5M), proporzionato al team in crescita.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22.  </w:t>
      </w:r>
      <w:r>
        <w:rPr>
          <w:rFonts w:ascii="Calibri" w:hAnsi="Calibri"/>
          <w:b/>
          <w:i w:val="0"/>
          <w:color w:val="0B1F3A"/>
          <w:sz w:val="30"/>
        </w:rPr>
        <w:t>USE OF FUNDS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22.1  Phase 1 — € 200-300k (M0-M12)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Destinazione</w:t>
            </w:r>
          </w:p>
        </w:tc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Importo (k€)</w:t>
            </w:r>
          </w:p>
        </w:tc>
        <w:tc>
          <w:tcPr>
            <w:tcW w:type="dxa" w:w="85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</w:t>
            </w:r>
          </w:p>
        </w:tc>
        <w:tc>
          <w:tcPr>
            <w:tcW w:type="dxa" w:w="436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 atteso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Founder stipend (M3-M12)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30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15%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Founder motivato a tempo pieno da M3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R&amp;D e PoC infrastructure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60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30%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 PoC pubblicati con GitHub + demo + evaluation + blog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Customer discovery + design partner pilot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20%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30-50 interviste + 1-2 design partner agreement con paid pilot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Cloud / GPU / tools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10%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Self-hosted + cloud EU, MLOps, evaluation suite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Compliance / AI Act / legal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10%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 advisor (AI Act + industry) + legal + accounting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Marketing / LinkedIn / outreach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7.5%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Brand, content, LinkedIn, advisor outreach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Capex + G&amp;A + 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7.5%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Laptop, GPU used, tools, imprevisti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TOTALE</w:t>
            </w:r>
          </w:p>
        </w:tc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200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100%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 PoC + 1-2 design partner + co-founder search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23.  </w:t>
      </w:r>
      <w:r>
        <w:rPr>
          <w:rFonts w:ascii="Calibri" w:hAnsi="Calibri"/>
          <w:b/>
          <w:i w:val="0"/>
          <w:color w:val="0B1F3A"/>
          <w:sz w:val="30"/>
        </w:rPr>
        <w:t>RISCHI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Rischio</w:t>
            </w:r>
          </w:p>
        </w:tc>
        <w:tc>
          <w:tcPr>
            <w:tcW w:type="dxa" w:w="85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850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Impatto</w:t>
            </w:r>
          </w:p>
        </w:tc>
        <w:tc>
          <w:tcPr>
            <w:tcW w:type="dxa" w:w="379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Mitigazione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Team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Founder solo per 6+ mesi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Alta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Alto</w:t>
            </w:r>
          </w:p>
        </w:tc>
        <w:tc>
          <w:tcPr>
            <w:tcW w:type="dxa" w:w="37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2-4 advisor M0-M6 + part-time engineer M6 + co-founder M9</w:t>
            </w:r>
          </w:p>
        </w:tc>
      </w:tr>
      <w:tr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Commerciale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Lunghezza del ciclo di vendita enterprise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Alta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Alto</w:t>
            </w:r>
          </w:p>
        </w:tc>
        <w:tc>
          <w:tcPr>
            <w:tcW w:type="dxa" w:w="37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PoC pubblici come portfolio, design partner, advisor network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Tecnologico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Obsolescenza rapida modelli AI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Alta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Medio</w:t>
            </w:r>
          </w:p>
        </w:tc>
        <w:tc>
          <w:tcPr>
            <w:tcW w:type="dxa" w:w="37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Architettura agnostica, evaluation infrastructure</w:t>
            </w:r>
          </w:p>
        </w:tc>
      </w:tr>
      <w:tr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Regolatorio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Evoluzione AI Act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Media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Alto</w:t>
            </w:r>
          </w:p>
        </w:tc>
        <w:tc>
          <w:tcPr>
            <w:tcW w:type="dxa" w:w="37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AI Compliance Officer M3, monitoring regolatorio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Commerciale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PoC non convertono in clienti paganti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Media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Alto</w:t>
            </w:r>
          </w:p>
        </w:tc>
        <w:tc>
          <w:tcPr>
            <w:tcW w:type="dxa" w:w="37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30-50 discovery, use case prioritizzati, pivot rapido</w:t>
            </w:r>
          </w:p>
        </w:tc>
      </w:tr>
      <w:tr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Persone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Difficoltà trovare co-founder commerciale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Media</w:t>
            </w:r>
          </w:p>
        </w:tc>
        <w:tc>
          <w:tcPr>
            <w:tcW w:type="dxa" w:w="850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Alto</w:t>
            </w:r>
          </w:p>
        </w:tc>
        <w:tc>
          <w:tcPr>
            <w:tcW w:type="dxa" w:w="37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Advisor network, acceleratori, demo day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Finanziario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Ritardi erogazione Smart&amp;Start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Media</w:t>
            </w:r>
          </w:p>
        </w:tc>
        <w:tc>
          <w:tcPr>
            <w:tcW w:type="dxa" w:w="850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Medio</w:t>
            </w:r>
          </w:p>
        </w:tc>
        <w:tc>
          <w:tcPr>
            <w:tcW w:type="dxa" w:w="37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Cash plan rolling, diversificazione fonti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24.  </w:t>
      </w:r>
      <w:r>
        <w:rPr>
          <w:rFonts w:ascii="Calibri" w:hAnsi="Calibri"/>
          <w:b/>
          <w:i w:val="0"/>
          <w:color w:val="0B1F3A"/>
          <w:sz w:val="30"/>
        </w:rPr>
        <w:t>ESG &amp; IMPATTO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Dimensione</w:t>
            </w:r>
          </w:p>
        </w:tc>
        <w:tc>
          <w:tcPr>
            <w:tcW w:type="dxa" w:w="7483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Iniziative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Environmental</w:t>
            </w:r>
          </w:p>
        </w:tc>
        <w:tc>
          <w:tcPr>
            <w:tcW w:type="dxa" w:w="7483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Misurazione carbon footprint computazionale; preferenza per cloud EU rinnovabile; ottimizzazione modelli.</w:t>
            </w:r>
          </w:p>
        </w:tc>
      </w:tr>
      <w:tr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Social</w:t>
            </w:r>
          </w:p>
        </w:tc>
        <w:tc>
          <w:tcPr>
            <w:tcW w:type="dxa" w:w="7483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D&amp;I policy, pay equity, formazione continua; AI literacy per clienti; partnership con università toscane.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Governance</w:t>
            </w:r>
          </w:p>
        </w:tc>
        <w:tc>
          <w:tcPr>
            <w:tcW w:type="dxa" w:w="7483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Board con indipendenti; Comitato Etico/AI Safety; compliance GDPR, AI Act, NIS2 fin dalla fondazione.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25.  </w:t>
      </w:r>
      <w:r>
        <w:rPr>
          <w:rFonts w:ascii="Calibri" w:hAnsi="Calibri"/>
          <w:b/>
          <w:i w:val="0"/>
          <w:color w:val="0B1F3A"/>
          <w:sz w:val="30"/>
        </w:rPr>
        <w:t>GRANT ALIGNMENT — STATUS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Programma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2026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Ruolo nel piano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Smart&amp;Start Italia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Attivo a sportello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★ Fase 1 funding route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post-costituzione, € 200k tasso zero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Invitalia – ON / OPI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Verificare aperture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Possibile fonte capitale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Valutare se c'è sportello attivo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Regione Toscana – vecchio bando startup innovative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✗ Scaduto 31/1/2025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Monitorare future riaperture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Costruire piano modulare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Bando Innovazione Strategica STEP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✗ Chiuso per esaurimento 8/4/2026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Monitorare future riaperture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Stesso approccio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Regione Toscana – bandi FESR Innovazione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Pubblicati periodicamente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Possibile fonte Phase 1-2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Verificare call attive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IKIGAI Toscana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Accelerator attivo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Programma accelerazione + mentoring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continua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Polo Navacchio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Incubator attivo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Sede operativa + matching investitori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post-costituzione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Nana Bianca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Accelerator attivo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Network + possibile pre-seed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continua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EIC Accelerator (M24+)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Cut-off periodici EU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★ Fase 3 funding route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Application da Gate 4 (M18+)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Business Angels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Disponibili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Pre-seed e seed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Network IKIGAI, Nana Bianca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Seed VC EU (B2B AI / deep tech)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✓ Disponibili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Phase 2 round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Outbound mirato, demo day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/>
          <w:b/>
          <w:i w:val="0"/>
          <w:color w:val="00B8A9"/>
          <w:sz w:val="26"/>
        </w:rPr>
        <w:t xml:space="preserve">26.  </w:t>
      </w:r>
      <w:r>
        <w:rPr>
          <w:rFonts w:ascii="Calibri" w:hAnsi="Calibri"/>
          <w:b/>
          <w:i w:val="0"/>
          <w:color w:val="0B1F3A"/>
          <w:sz w:val="30"/>
        </w:rPr>
        <w:t>APPENDICI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26.1  Documenti del package v3.0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45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Contenuto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1. One-pager v3.0</w:t>
            </w:r>
          </w:p>
        </w:tc>
        <w:tc>
          <w:tcPr>
            <w:tcW w:type="dxa" w:w="45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 pagina, perfetto per primo contatto email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Prodotto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2. Business Plan v3.0 (questo documento)</w:t>
            </w:r>
          </w:p>
        </w:tc>
        <w:tc>
          <w:tcPr>
            <w:tcW w:type="dxa" w:w="45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26 sezioni, founder solo + 3 PoC + team evolution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Prodotto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3. Pitch Deck v3.0</w:t>
            </w:r>
          </w:p>
        </w:tc>
        <w:tc>
          <w:tcPr>
            <w:tcW w:type="dxa" w:w="45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10-12 slide, problem/solution/PoC/team/ask, PowerPoint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Prodotto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4. Financial Model v3.0 Excel</w:t>
            </w:r>
          </w:p>
        </w:tc>
        <w:tc>
          <w:tcPr>
            <w:tcW w:type="dxa" w:w="45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 fogli, 385 formule live, scenari, monthly cash flow, Smart&amp;Start precompilato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Prodotto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5. Technical Dossier v3.0</w:t>
            </w:r>
          </w:p>
        </w:tc>
        <w:tc>
          <w:tcPr>
            <w:tcW w:type="dxa" w:w="45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11 pagine su architettura, stack, AI Act-readiness, security, performance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Prodotto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6. PoC Specifications v3.0</w:t>
            </w:r>
          </w:p>
        </w:tc>
        <w:tc>
          <w:tcPr>
            <w:tcW w:type="dxa" w:w="45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17 pagine: 3 PoC dettagliati + 4-livelli Proof of Capability Stack + team evolution + action plan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Prodotto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26.2  Differenze v2.0 → v3.0 (sintesi)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Customer numbers ridotti: 1-2/3-5/8-12 (vs 3-5/10-15/25-30).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ACV ridotti: €40k/€80k/€115k (vs €45k/€95k/€130k).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Funding Phase 1: €200-300k (vs €300-400k).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Team evolution realistica: founder solo M0-M6, +advisor M0-M3, +part-time M6, +co-founder M9.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Aggiunto 3 PoC pubblici eseguibili in 12-15 settimane come Proof of Capability Stack.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Self-hosted M0-M3 (zero costi cloud) → scaling graduale.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Pilastro Robotics rimosso dal Phase 1.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Aggiunto documento PoC Specifications (17 pagine) — guida operativa.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0B1F3A"/>
          <w:sz w:val="25"/>
        </w:rPr>
        <w:t>26.3  Disclaimer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Riservatezza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Questo documento è strettamente riservato e confidenziale. I dati di mercato, finanziari e tecnologici sono target condizionati al superamento dei Gate indicati nel §18 e non costituiscono una garantzia di performance future. Nessuna informazione in questo documento deve essere considerata come consulenza legale, fiscale o finanziaria. © 2026 Aetheris AI S.r.l. — Tutti i diritti riservati.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rFonts w:ascii="Calibri" w:hAnsi="Calibri"/>
          <w:b w:val="0"/>
          <w:i/>
          <w:color w:val="6B7280"/>
          <w:sz w:val="20"/>
        </w:rPr>
        <w:t>— Fine del documento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280"/>
        <w:sz w:val="17"/>
      </w:rPr>
      <w:t xml:space="preserve">Documento riservato · © 2026 Aetheris AI S.r.l. · Pagina </w:t>
    </w:r>
    <w:r>
      <w:rPr>
        <w:rFonts w:ascii="Calibri" w:hAnsi="Calibri"/>
        <w:b/>
        <w:i w:val="0"/>
        <w:color w:val="6B7280"/>
        <w:sz w:val="17"/>
      </w:rP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6B7280"/>
        <w:sz w:val="17"/>
      </w:rPr>
      <w:t xml:space="preserve"> di </w:t>
    </w:r>
    <w:r>
      <w:rPr>
        <w:rFonts w:ascii="Calibri" w:hAnsi="Calibri"/>
        <w:b/>
        <w:i w:val="0"/>
        <w:color w:val="6B7280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CBD2D9"/>
      </w:pBdr>
    </w:pPr>
    <w:r>
      <w:rPr>
        <w:rFonts w:ascii="Calibri" w:hAnsi="Calibri"/>
        <w:b w:val="0"/>
        <w:i/>
        <w:color w:val="6B7280"/>
        <w:sz w:val="18"/>
      </w:rPr>
      <w:t>Aetheris AI S.r.l.  ·  Master Plan Strategico v3.0 — Grounded &amp; Proven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