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0"/>
        <w:jc w:val="center"/>
      </w:pPr>
      <w:r>
        <w:rPr>
          <w:rFonts w:ascii="Calibri" w:hAnsi="Calibri" w:cs="Calibri"/>
          <w:b/>
          <w:i w:val="0"/>
          <w:color w:val="0B1F3A"/>
          <w:sz w:val="72"/>
        </w:rPr>
        <w:t>AETHERIS AI</w:t>
      </w:r>
    </w:p>
    <w:p>
      <w:pPr>
        <w:spacing w:after="240"/>
        <w:jc w:val="center"/>
      </w:pPr>
      <w:r>
        <w:rPr>
          <w:rFonts w:ascii="Calibri" w:hAnsi="Calibri" w:cs="Calibri"/>
          <w:b/>
          <w:i w:val="0"/>
          <w:color w:val="00B8A9"/>
          <w:sz w:val="72"/>
        </w:rPr>
        <w:t>A I</w:t>
      </w:r>
    </w:p>
    <w:p>
      <w:pPr>
        <w:jc w:val="center"/>
      </w:pPr>
      <w:r>
        <w:rPr>
          <w:rFonts w:ascii="Calibri" w:hAnsi="Calibri" w:cs="Calibri"/>
          <w:b/>
          <w:i w:val="0"/>
          <w:color w:val="0B1F3A"/>
          <w:sz w:val="40"/>
        </w:rPr>
        <w:t>Technical Dossier</w:t>
      </w:r>
    </w:p>
    <w:p>
      <w:pPr>
        <w:spacing w:after="400"/>
        <w:jc w:val="center"/>
      </w:pPr>
      <w:r>
        <w:rPr>
          <w:rFonts w:ascii="Calibri" w:hAnsi="Calibri" w:cs="Calibri"/>
          <w:b w:val="0"/>
          <w:i/>
          <w:color w:val="6B7280"/>
          <w:sz w:val="24"/>
        </w:rPr>
        <w:t>Architecture · Stack · AI Act–readiness · Security ·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7937"/>
            <w:shd w:val="clear" w:color="auto" w:fill="0B1F3A"/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00B8A9"/>
                <w:sz w:val="20"/>
              </w:rPr>
              <w:t>FOR EIC ACCELERATOR · SMART&amp;START · TECHNICAL DUE DILIGENCE</w:t>
            </w:r>
          </w:p>
          <w:p>
            <w:pPr>
              <w:spacing w:before="8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Version 1.0 · Edition 2026 · Confidential</w:t>
            </w:r>
          </w:p>
        </w:tc>
      </w:tr>
    </w:tbl>
    <w:p/>
    <w:p/>
    <w:p/>
    <w:p/>
    <w:p>
      <w:pPr>
        <w:jc w:val="center"/>
      </w:pPr>
      <w:r>
        <w:rPr>
          <w:rFonts w:ascii="Calibri" w:hAnsi="Calibri" w:cs="Calibri"/>
          <w:b w:val="0"/>
          <w:i w:val="0"/>
          <w:color w:val="6B7280"/>
          <w:sz w:val="20"/>
        </w:rPr>
        <w:t>Aetheris AI S.r.l.  ·  Startup Innovativa  ·  Toscana, Italia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6B7280"/>
          <w:sz w:val="20"/>
        </w:rPr>
        <w:t>AI Act–ready by design (Reg. UE 2024/1689)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6B7280"/>
          <w:sz w:val="20"/>
        </w:rPr>
        <w:t>ISO/IEC 27001 (roadmap) · GDPR · NIS2 · Cyber Resilience Act</w:t>
      </w: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1.  SYSTEM ARCHITECTURE OVERVIEW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The Aetheris AI platform is built as a layered, cloud-native architecture designed for industrial workloads. Each layer is containerised and can be deployed independently on Kubernetes (cloud or on-premise) or on edge runtimes. The architecture is AI Act–ready by design: every layer supports risk management, documentation, transparency, and human oversight out of the box.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1.1  High-level architecture diagram</w:t>
      </w:r>
    </w:p>
    <w:p>
      <w:pPr>
        <w:spacing w:before="40" w:after="120" w:line="276" w:lineRule="auto"/>
        <w:ind w:left="227"/>
        <w:shd w:val="clear" w:color="auto" w:fill="F4F6FA"/>
      </w:pPr>
      <w:r>
        <w:rPr>
          <w:rFonts w:ascii="Consolas" w:hAnsi="Consolas" w:cs="Consolas"/>
          <w:b w:val="0"/>
          <w:i w:val="0"/>
          <w:color w:val="1A1A1A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PRESENTATION  │ Web App · Mobile · API Gateway · SDK · IDE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APPLICATION   │ Knowledge Copilot · Vision Inspector · Predict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ORCHESTRATION │ Agent Runtime · RAG Engine · MCP Server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AI MODELS     │ Foundation Models · Custom Models · Model Registry│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DATA          │ Vector DB · Feature Store · Data Lake · KG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INFRASTRUCTURE│ Kubernetes · EU Cloud · Edge · Security · Obs.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1.2  Design principles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Container-native. </w:t>
      </w:r>
      <w:r>
        <w:rPr>
          <w:rFonts w:ascii="Calibri" w:hAnsi="Calibri" w:cs="Calibri"/>
          <w:b w:val="0"/>
          <w:i w:val="0"/>
          <w:color w:val="1A1A1A"/>
          <w:sz w:val="21"/>
        </w:rPr>
        <w:t>All layers are containerised with Docker, orchestrated by Kubernetes.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Stateless-first. </w:t>
      </w:r>
      <w:r>
        <w:rPr>
          <w:rFonts w:ascii="Calibri" w:hAnsi="Calibri" w:cs="Calibri"/>
          <w:b w:val="0"/>
          <w:i w:val="0"/>
          <w:color w:val="1A1A1A"/>
          <w:sz w:val="21"/>
        </w:rPr>
        <w:t>Stateless APIs, stateful data layer only — enables horizontal scaling and zero-downtime deploys.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Audit-by-default. </w:t>
      </w:r>
      <w:r>
        <w:rPr>
          <w:rFonts w:ascii="Calibri" w:hAnsi="Calibri" w:cs="Calibri"/>
          <w:b w:val="0"/>
          <w:i w:val="0"/>
          <w:color w:val="1A1A1A"/>
          <w:sz w:val="21"/>
        </w:rPr>
        <w:t>All model calls, agent decisions, and data accesses are logged in a tamper-evident audit trail.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Multi-cloud EU. </w:t>
      </w:r>
      <w:r>
        <w:rPr>
          <w:rFonts w:ascii="Calibri" w:hAnsi="Calibri" w:cs="Calibri"/>
          <w:b w:val="0"/>
          <w:i w:val="0"/>
          <w:color w:val="1A1A1A"/>
          <w:sz w:val="21"/>
        </w:rPr>
        <w:t>Provider-agnostic (AWS, Azure, GCP, OVHcloud, IONOS, Arsys). Same Helm charts, different targets.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Edge-ready. </w:t>
      </w:r>
      <w:r>
        <w:rPr>
          <w:rFonts w:ascii="Calibri" w:hAnsi="Calibri" w:cs="Calibri"/>
          <w:b w:val="0"/>
          <w:i w:val="0"/>
          <w:color w:val="1A1A1A"/>
          <w:sz w:val="21"/>
        </w:rPr>
        <w:t>Critical inference paths (real-time vision, edge AI) are designed to run disconnected from the cloud.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Compliance-by-design. </w:t>
      </w:r>
      <w:r>
        <w:rPr>
          <w:rFonts w:ascii="Calibri" w:hAnsi="Calibri" w:cs="Calibri"/>
          <w:b w:val="0"/>
          <w:i w:val="0"/>
          <w:color w:val="1A1A1A"/>
          <w:sz w:val="21"/>
        </w:rPr>
        <w:t>AI Act risk classification, model registry, and lineage are first-class primitives, not afterthoughts.</w:t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2.  AETHERIS AI PLATFORM (CORE)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The Platform layer provides the MLOps and governance substrate for all applications. It is the core of the Aetheris offering and the most defensible component over time.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2.1  Platform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4819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Function</w:t>
            </w:r>
          </w:p>
        </w:tc>
        <w:tc>
          <w:tcPr>
            <w:tcW w:type="dxa" w:w="238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Tech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Model Registry</w:t>
            </w:r>
          </w:p>
        </w:tc>
        <w:tc>
          <w:tcPr>
            <w:tcW w:type="dxa" w:w="481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Versioned catalogue of all models with metadata, lineage, ownership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MLflow + custom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Feature Store</w:t>
            </w:r>
          </w:p>
        </w:tc>
        <w:tc>
          <w:tcPr>
            <w:tcW w:type="dxa" w:w="481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Reusable features with versioning and online/offline serving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Feast / custom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Vector DB</w:t>
            </w:r>
          </w:p>
        </w:tc>
        <w:tc>
          <w:tcPr>
            <w:tcW w:type="dxa" w:w="481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Embeddings for RAG and semantic search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Weaviate, Qdrant, pgvector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Pipeline Orchestrator</w:t>
            </w:r>
          </w:p>
        </w:tc>
        <w:tc>
          <w:tcPr>
            <w:tcW w:type="dxa" w:w="481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DAG-based ML and data pipelines (training, retraining, evaluation)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Argo Workflows, Airflow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CI/CD</w:t>
            </w:r>
          </w:p>
        </w:tc>
        <w:tc>
          <w:tcPr>
            <w:tcW w:type="dxa" w:w="481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Code, model, and infrastructure as code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GitHub Actions, ArgoCD, Terraform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Serving</w:t>
            </w:r>
          </w:p>
        </w:tc>
        <w:tc>
          <w:tcPr>
            <w:tcW w:type="dxa" w:w="481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Low-latency inference for online models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FastAPI, NVIDIA Triton, TorchServe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Observability</w:t>
            </w:r>
          </w:p>
        </w:tc>
        <w:tc>
          <w:tcPr>
            <w:tcW w:type="dxa" w:w="481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Metrics, logs, traces; SLO-based alerting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Prometheus, Grafana, OpenTelemetry, Loki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 Lineage</w:t>
            </w:r>
          </w:p>
        </w:tc>
        <w:tc>
          <w:tcPr>
            <w:tcW w:type="dxa" w:w="481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End-to-end traceability of data, transformations, model, decisions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OpenLineage, Marquez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2.2  Governance and AI Act readiness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olor w:val="0B1F3A"/>
                <w:sz w:val="22"/>
              </w:rPr>
              <w:t>AI Act risk management by design</w:t>
            </w:r>
          </w:p>
          <w:p>
            <w:pPr>
              <w:spacing w:line="288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1"/>
              </w:rPr>
              <w:t>The platform implements the AI Act risk management primitives as first-class objects: each system AI has a registered risk class, a current risk assessment, a data lineage report, a transparency documentation, and a human oversight configuration. The registry is queryable by auditors and by the AI Compliance Officer.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AI Act article</w:t>
            </w:r>
          </w:p>
        </w:tc>
        <w:tc>
          <w:tcPr>
            <w:tcW w:type="dxa" w:w="6066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Art. 9 — Risk management</w:t>
            </w:r>
          </w:p>
        </w:tc>
        <w:tc>
          <w:tcPr>
            <w:tcW w:type="dxa" w:w="6066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Risk register per system AI, updated at each deployment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Art. 10 — Data governance</w:t>
            </w:r>
          </w:p>
        </w:tc>
        <w:tc>
          <w:tcPr>
            <w:tcW w:type="dxa" w:w="6066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 quality checks, dataset registry, full lineage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Art. 11 — Technical documentation</w:t>
            </w:r>
          </w:p>
        </w:tc>
        <w:tc>
          <w:tcPr>
            <w:tcW w:type="dxa" w:w="6066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Auto-generated technical sheets per system AI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Art. 12 — Record-keeping</w:t>
            </w:r>
          </w:p>
        </w:tc>
        <w:tc>
          <w:tcPr>
            <w:tcW w:type="dxa" w:w="6066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Immutable audit log of inputs, outputs, decisions, operator actions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Art. 13 — Transparency</w:t>
            </w:r>
          </w:p>
        </w:tc>
        <w:tc>
          <w:tcPr>
            <w:tcW w:type="dxa" w:w="6066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Model cards, dataset sheets, AI Act notices for end users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Art. 14 — Human oversight</w:t>
            </w:r>
          </w:p>
        </w:tc>
        <w:tc>
          <w:tcPr>
            <w:tcW w:type="dxa" w:w="6066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Configurable HITL patterns: review queue, override, feedback loop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Art. 15 — Accuracy, robustness, cybersecurity</w:t>
            </w:r>
          </w:p>
        </w:tc>
        <w:tc>
          <w:tcPr>
            <w:tcW w:type="dxa" w:w="6066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Continuous evaluation, adversarial testing, security scans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3.  APPLICATIONS (AETHERIS KNOWLEDGE · VISION · PREDICT)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On top of the Platform, Aetheris AI ships three focused applications in Phase 1-2. Each addresses a specific enterprise need in the Energy and Manufacturing verticals and is designed to deliver measurable ROI in 8-12 weeks.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3.1  Aetheris Knowledge — GenAI / RAG / Agents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Aetheris Knowledge is the enterprise knowledge and document intelligence application. It is built on a multi-modal RAG architecture with an agent orchestration layer.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294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Document ingestion (PDF, DOCX, HTML, code, images)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Unstructured.io, custom parsers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OCR + layout-aware extraction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Chunking and embedding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Custom chunker + BGE-M3 / E5 / OpenAI text-embedding-3</w:t>
            </w:r>
          </w:p>
        </w:tc>
        <w:tc>
          <w:tcPr>
            <w:tcW w:type="dxa" w:w="294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Hybrid semantic + lexical search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Multi-modal RAG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LangChain, LlamaIndex, custom orchestrator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Text + image + table + OCR-aware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Agent runtime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MCP (Model Context Protocol), LangGraph</w:t>
            </w:r>
          </w:p>
        </w:tc>
        <w:tc>
          <w:tcPr>
            <w:tcW w:type="dxa" w:w="294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Tools, memory, planning, reflection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Knowledge graph (optional)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Neo4j / Memgraph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For complex enterprise domains (energy grids, manufacturing processes)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Safety layer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NeMo Guardrails, custom validators</w:t>
            </w:r>
          </w:p>
        </w:tc>
        <w:tc>
          <w:tcPr>
            <w:tcW w:type="dxa" w:w="294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PII detection, prompt injection defense, output validation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3.2  Aetheris Vision — Computer Vision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Aetheris Vision delivers industrial and medical computer vision with fast fine-tuning and edge deployment. It combines pre-trained foundation models with custom training pipelines.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323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Object detection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YOLOv8/v11, DINO, RT-DETR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Defect detection on production line, asset detection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Image classification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ConvNeXt, EfficientNet, custom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Quality grading, medical image triage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Semantic segmentation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SAM 2, SegFormer, Mask2Former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Defect localisation, medical lesion segmentation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OCR + document AI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PaddleOCR, Donut, custom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Technical document digitisation, form extraction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Video analytics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ByteTrack + custom event detector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Site surveillance, process monitoring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Edge deployment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NVIDIA Jetson, Coral, ONNX Runtime, TensorRT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On-premise vision without cloud dependency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3.3  Aetheris Predict — Predictive AI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Aetheris Predict covers forecasting, anomaly detection, predictive maintenance, and energy optimisation. It combines classical statistics, traditional ML, and deep learning on time series.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323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Time series forecasting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Prophet, N-BEATS, TFT, Lag-Llama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Demand forecasting, energy load, production volume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Anomaly detection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Isolation Forest, AutoEncoder, USAD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Process anomalies, security events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Predictive maintenance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Survival analysis, XGBoost, LSTM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Remaining useful life, failure prediction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Energy optimisation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Linear programming, RL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HVAC scheduling, peak shaving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Industrial connectors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OPC-UA, MQTT, Modbus, SCADA SDKs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Plug into existing OT infrastructure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4.  DATA ARCHITECTURE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The data layer is engineered to support three workloads: training data for AI models, operational data for AI inference, and analytical data for the customer's business. All data stays in the EU by default.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4.1  Data domains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Domain</w:t>
            </w:r>
          </w:p>
        </w:tc>
        <w:tc>
          <w:tcPr>
            <w:tcW w:type="dxa" w:w="311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Storage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Retention</w:t>
            </w:r>
          </w:p>
        </w:tc>
        <w:tc>
          <w:tcPr>
            <w:tcW w:type="dxa" w:w="209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Compliance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Customer documents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Object storage (S3-compatible, EU region)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Per contract</w:t>
            </w:r>
          </w:p>
        </w:tc>
        <w:tc>
          <w:tcPr>
            <w:tcW w:type="dxa" w:w="20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GDPR, customer-controlled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Embeddings</w:t>
            </w:r>
          </w:p>
        </w:tc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Vector DB (Weaviate, Qdrant, pgvector)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Per contract</w:t>
            </w:r>
          </w:p>
        </w:tc>
        <w:tc>
          <w:tcPr>
            <w:tcW w:type="dxa" w:w="209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GDPR, customer-controlled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Structured business data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PostgreSQL, encrypted at rest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Per contract</w:t>
            </w:r>
          </w:p>
        </w:tc>
        <w:tc>
          <w:tcPr>
            <w:tcW w:type="dxa" w:w="20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GDPR, NIS2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Time series</w:t>
            </w:r>
          </w:p>
        </w:tc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TimescaleDB / InfluxDB (EU region)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Per contract</w:t>
            </w:r>
          </w:p>
        </w:tc>
        <w:tc>
          <w:tcPr>
            <w:tcW w:type="dxa" w:w="209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GDPR, customer-controlled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Audit logs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Immutable log store (WORM)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10 years (financial), 5 years (operational)</w:t>
            </w:r>
          </w:p>
        </w:tc>
        <w:tc>
          <w:tcPr>
            <w:tcW w:type="dxa" w:w="20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NIS2, AI Act Art. 12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Model artefacts</w:t>
            </w:r>
          </w:p>
        </w:tc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Object storage + MLflow registry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Lifetime of system</w:t>
            </w:r>
          </w:p>
        </w:tc>
        <w:tc>
          <w:tcPr>
            <w:tcW w:type="dxa" w:w="209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AI Act Art. 11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Telemetry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EU region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12 months</w:t>
            </w:r>
          </w:p>
        </w:tc>
        <w:tc>
          <w:tcPr>
            <w:tcW w:type="dxa" w:w="20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NIS2, GDPR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4.2  Data residency and sovereignty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olor w:val="0B1F3A"/>
                <w:sz w:val="22"/>
              </w:rPr>
              <w:t>EU data sovereignty by design</w:t>
            </w:r>
          </w:p>
          <w:p>
            <w:pPr>
              <w:spacing w:line="288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1"/>
              </w:rPr>
              <w:t>All customer data is stored in EU regions by default (OVHcloud, IONOS, Arsys, or AWS eu-west / eu-central). Customers can opt for on-premise deployment for the most sensitive workloads. No data is transferred outside the EU without explicit contractual basis and customer consent. Provider selection is documented per customer.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5.  SECURITY AND COMPLIANCE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Security is built into every layer of the platform. The architecture is designed to satisfy the security requirements of NIS2, the Cyber Resilience Act, GDPR, and the AI Act simultaneously.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5.1  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Domain</w:t>
            </w:r>
          </w:p>
        </w:tc>
        <w:tc>
          <w:tcPr>
            <w:tcW w:type="dxa" w:w="7200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Controls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Identity &amp; access</w:t>
            </w:r>
          </w:p>
        </w:tc>
        <w:tc>
          <w:tcPr>
            <w:tcW w:type="dxa" w:w="720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OAuth 2.0/OIDC, SSO, MFA enforced, role-based access (RBAC), principle of least privilege, audit log of all access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Network</w:t>
            </w:r>
          </w:p>
        </w:tc>
        <w:tc>
          <w:tcPr>
            <w:tcW w:type="dxa" w:w="720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mTLS between services, network policies in K8s, private subnets, WAF at edge, rate limiting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Data</w:t>
            </w:r>
          </w:p>
        </w:tc>
        <w:tc>
          <w:tcPr>
            <w:tcW w:type="dxa" w:w="720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Encryption at rest (AES-256) and in transit (TLS 1.3), customer-managed keys (KMS / HSM), data masking in non-prod environments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Application</w:t>
            </w:r>
          </w:p>
        </w:tc>
        <w:tc>
          <w:tcPr>
            <w:tcW w:type="dxa" w:w="720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SBOM per release, signed container images (Sigstore/Cosign), SLSA Level 3 build provenance, dependency scanning, secret scanning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Operations</w:t>
            </w:r>
          </w:p>
        </w:tc>
        <w:tc>
          <w:tcPr>
            <w:tcW w:type="dxa" w:w="720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24/7 monitoring, incident response plan, vulnerability management, regular pen testing, runbook automation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AI-specific</w:t>
            </w:r>
          </w:p>
        </w:tc>
        <w:tc>
          <w:tcPr>
            <w:tcW w:type="dxa" w:w="720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Prompt injection defense, output validation, PII detection, model card per system, data lineage for every training run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5.2  Compliance certifications (roadmap)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1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Certification</w:t>
            </w:r>
          </w:p>
        </w:tc>
        <w:tc>
          <w:tcPr>
            <w:tcW w:type="dxa" w:w="14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Target</w:t>
            </w:r>
          </w:p>
        </w:tc>
        <w:tc>
          <w:tcPr>
            <w:tcW w:type="dxa" w:w="4649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ISO/IEC 27001 (Information Security)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M18</w:t>
            </w:r>
          </w:p>
        </w:tc>
        <w:tc>
          <w:tcPr>
            <w:tcW w:type="dxa" w:w="464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Roadmap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ISO/IEC 42001 (AI Management System)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M24</w:t>
            </w:r>
          </w:p>
        </w:tc>
        <w:tc>
          <w:tcPr>
            <w:tcW w:type="dxa" w:w="464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Roadmap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SOC 2 Type II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M30</w:t>
            </w:r>
          </w:p>
        </w:tc>
        <w:tc>
          <w:tcPr>
            <w:tcW w:type="dxa" w:w="464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Roadmap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GDPR full compliance + DPIA process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M0</w:t>
            </w:r>
          </w:p>
        </w:tc>
        <w:tc>
          <w:tcPr>
            <w:tcW w:type="dxa" w:w="464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In place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AI Act readiness (Articles 9-15)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M0</w:t>
            </w:r>
          </w:p>
        </w:tc>
        <w:tc>
          <w:tcPr>
            <w:tcW w:type="dxa" w:w="464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By design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NIS2 readiness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M0</w:t>
            </w:r>
          </w:p>
        </w:tc>
        <w:tc>
          <w:tcPr>
            <w:tcW w:type="dxa" w:w="464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In place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Cyber Resilience Act readiness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M12</w:t>
            </w:r>
          </w:p>
        </w:tc>
        <w:tc>
          <w:tcPr>
            <w:tcW w:type="dxa" w:w="464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Roadmap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5.3  Threat model and AI-specific risks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Prompt injection. </w:t>
      </w:r>
      <w:r>
        <w:rPr>
          <w:rFonts w:ascii="Calibri" w:hAnsi="Calibri" w:cs="Calibri"/>
          <w:b w:val="0"/>
          <w:i w:val="0"/>
          <w:color w:val="1A1A1A"/>
          <w:sz w:val="21"/>
        </w:rPr>
        <w:t>Adversarial inputs (crafted prompts or images to fool the model).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Mitigation. </w:t>
      </w:r>
      <w:r>
        <w:rPr>
          <w:rFonts w:ascii="Calibri" w:hAnsi="Calibri" w:cs="Calibri"/>
          <w:b w:val="0"/>
          <w:i w:val="0"/>
          <w:color w:val="1A1A1A"/>
          <w:sz w:val="21"/>
        </w:rPr>
        <w:t>Defence: input sanitization, output validation, jailbreak detectors, NeMo Guardrails.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Bias. </w:t>
      </w:r>
      <w:r>
        <w:rPr>
          <w:rFonts w:ascii="Calibri" w:hAnsi="Calibri" w:cs="Calibri"/>
          <w:b w:val="0"/>
          <w:i w:val="0"/>
          <w:color w:val="1A1A1A"/>
          <w:sz w:val="21"/>
        </w:rPr>
        <w:t>Models trained on biased data may produce discriminatory outputs.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Mitigation. </w:t>
      </w:r>
      <w:r>
        <w:rPr>
          <w:rFonts w:ascii="Calibri" w:hAnsi="Calibri" w:cs="Calibri"/>
          <w:b w:val="0"/>
          <w:i w:val="0"/>
          <w:color w:val="1A1A1A"/>
          <w:sz w:val="21"/>
        </w:rPr>
        <w:t>Defence: dataset audit, fairness metrics, human oversight, monitoring of demographic skew.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Data leakage. </w:t>
      </w:r>
      <w:r>
        <w:rPr>
          <w:rFonts w:ascii="Calibri" w:hAnsi="Calibri" w:cs="Calibri"/>
          <w:b w:val="0"/>
          <w:i w:val="0"/>
          <w:color w:val="1A1A1A"/>
          <w:sz w:val="21"/>
        </w:rPr>
        <w:t>Sensitive data may be revealed through model outputs or training data extraction.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Mitigation. </w:t>
      </w:r>
      <w:r>
        <w:rPr>
          <w:rFonts w:ascii="Calibri" w:hAnsi="Calibri" w:cs="Calibri"/>
          <w:b w:val="0"/>
          <w:i w:val="0"/>
          <w:color w:val="1A1A1A"/>
          <w:sz w:val="21"/>
        </w:rPr>
        <w:t>Defence: PII detection, output filtering, differential privacy (roadmap), data minimisation.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Supply chain. </w:t>
      </w:r>
      <w:r>
        <w:rPr>
          <w:rFonts w:ascii="Calibri" w:hAnsi="Calibri" w:cs="Calibri"/>
          <w:b w:val="0"/>
          <w:i w:val="0"/>
          <w:color w:val="1A1A1A"/>
          <w:sz w:val="21"/>
        </w:rPr>
        <w:t>A compromised component could be used as a foothold in the customer's network.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Mitigation. </w:t>
      </w:r>
      <w:r>
        <w:rPr>
          <w:rFonts w:ascii="Calibri" w:hAnsi="Calibri" w:cs="Calibri"/>
          <w:b w:val="0"/>
          <w:i w:val="0"/>
          <w:color w:val="1A1A1A"/>
          <w:sz w:val="21"/>
        </w:rPr>
        <w:t>Defence: SBOM, signed images, SLSA provenance, vendor assessment.</w:t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6.  INFRASTRUCTURE AND DEPLOYMENT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Aetheris AI supports three deployment models: fully managed cloud, hybrid, and on-premise. The same Helm charts and IaC code target all three.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6.1  Deployment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3969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Use case</w:t>
            </w:r>
          </w:p>
        </w:tc>
        <w:tc>
          <w:tcPr>
            <w:tcW w:type="dxa" w:w="323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Components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Cloud EU (managed)</w:t>
            </w:r>
          </w:p>
        </w:tc>
        <w:tc>
          <w:tcPr>
            <w:tcW w:type="dxa" w:w="396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Customers who want fast time-to-value without managing infrastructure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Kubernetes on OVHcloud / IONOS / Arsys / AWS eu-region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Hybrid</w:t>
            </w:r>
          </w:p>
        </w:tc>
        <w:tc>
          <w:tcPr>
            <w:tcW w:type="dxa" w:w="396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Customers with sensitive data that must stay on-premise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Control plane in cloud EU, data plane on customer infrastructure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On-premise</w:t>
            </w:r>
          </w:p>
        </w:tc>
        <w:tc>
          <w:tcPr>
            <w:tcW w:type="dxa" w:w="396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Customers in regulated industries (healthcare, defense, energy)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Full stack on customer-managed K8s (OpenShift, Rancher, vanilla)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6.2  Edge AI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Hardware. </w:t>
      </w:r>
      <w:r>
        <w:rPr>
          <w:rFonts w:ascii="Calibri" w:hAnsi="Calibri" w:cs="Calibri"/>
          <w:b w:val="0"/>
          <w:i w:val="0"/>
          <w:color w:val="1A1A1A"/>
          <w:sz w:val="21"/>
        </w:rPr>
        <w:t>Inference runtime for Jetson (Orin, Xavier), Coral Edge TPU, and x86_64 servers.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Optimisation. </w:t>
      </w:r>
      <w:r>
        <w:rPr>
          <w:rFonts w:ascii="Calibri" w:hAnsi="Calibri" w:cs="Calibri"/>
          <w:b w:val="0"/>
          <w:i w:val="0"/>
          <w:color w:val="1A1A1A"/>
          <w:sz w:val="21"/>
        </w:rPr>
        <w:t>ONNX Runtime, TensorRT (NVIDIA), OpenVINO (Intel) for hardware-specific acceleration.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Deployment. </w:t>
      </w:r>
      <w:r>
        <w:rPr>
          <w:rFonts w:ascii="Calibri" w:hAnsi="Calibri" w:cs="Calibri"/>
          <w:b w:val="0"/>
          <w:i w:val="0"/>
          <w:color w:val="1A1A1A"/>
          <w:sz w:val="21"/>
        </w:rPr>
        <w:t>Container-based with OTA updates; signed images; rollback capability.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Offline. </w:t>
      </w:r>
      <w:r>
        <w:rPr>
          <w:rFonts w:ascii="Calibri" w:hAnsi="Calibri" w:cs="Calibri"/>
          <w:b w:val="0"/>
          <w:i w:val="0"/>
          <w:color w:val="1A1A1A"/>
          <w:sz w:val="21"/>
        </w:rPr>
        <w:t>Disconnected operation: model + edge DB + orchestration agent run without cloud connectivity.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Federated. </w:t>
      </w:r>
      <w:r>
        <w:rPr>
          <w:rFonts w:ascii="Calibri" w:hAnsi="Calibri" w:cs="Calibri"/>
          <w:b w:val="0"/>
          <w:i w:val="0"/>
          <w:color w:val="1A1A1A"/>
          <w:sz w:val="21"/>
        </w:rPr>
        <w:t>Federated learning for cross-site training without centralising data (roadmap M18+).</w:t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7.  EVALUATION AND QUALITY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Evaluation is a first-class component of the platform. Every model has an evaluation suite that runs continuously in production, not just at training time.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7.1  Evaluation infrastructure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Datasets. </w:t>
      </w:r>
      <w:r>
        <w:rPr>
          <w:rFonts w:ascii="Calibri" w:hAnsi="Calibri" w:cs="Calibri"/>
          <w:b w:val="0"/>
          <w:i w:val="0"/>
          <w:color w:val="1A1A1A"/>
          <w:sz w:val="21"/>
        </w:rPr>
        <w:t>Golden datasets per use case, maintained by the customer with Aetheris support.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Metrics. </w:t>
      </w:r>
      <w:r>
        <w:rPr>
          <w:rFonts w:ascii="Calibri" w:hAnsi="Calibri" w:cs="Calibri"/>
          <w:b w:val="0"/>
          <w:i w:val="0"/>
          <w:color w:val="1A1A1A"/>
          <w:sz w:val="21"/>
        </w:rPr>
        <w:t>Task-specific metrics (accuracy, F1, mAP, ROUGE, hallucination rate, latency).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Online eval. </w:t>
      </w:r>
      <w:r>
        <w:rPr>
          <w:rFonts w:ascii="Calibri" w:hAnsi="Calibri" w:cs="Calibri"/>
          <w:b w:val="0"/>
          <w:i w:val="0"/>
          <w:color w:val="1A1A1A"/>
          <w:sz w:val="21"/>
        </w:rPr>
        <w:t>Continuous evaluation in production (shadow mode, sampled live traffic).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A/B. </w:t>
      </w:r>
      <w:r>
        <w:rPr>
          <w:rFonts w:ascii="Calibri" w:hAnsi="Calibri" w:cs="Calibri"/>
          <w:b w:val="0"/>
          <w:i w:val="0"/>
          <w:color w:val="1A1A1A"/>
          <w:sz w:val="21"/>
        </w:rPr>
        <w:t>A/B testing framework for model and prompt iterations.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Regression. </w:t>
      </w:r>
      <w:r>
        <w:rPr>
          <w:rFonts w:ascii="Calibri" w:hAnsi="Calibri" w:cs="Calibri"/>
          <w:b w:val="0"/>
          <w:i w:val="0"/>
          <w:color w:val="1A1A1A"/>
          <w:sz w:val="21"/>
        </w:rPr>
        <w:t>Performance regression alerts; automatic rollback on degradation.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7.2  Target quality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Application</w:t>
            </w:r>
          </w:p>
        </w:tc>
        <w:tc>
          <w:tcPr>
            <w:tcW w:type="dxa" w:w="311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Primary metric</w:t>
            </w:r>
          </w:p>
        </w:tc>
        <w:tc>
          <w:tcPr>
            <w:tcW w:type="dxa" w:w="323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Aetheris Knowledge (RAG)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Answer accuracy (human eval)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85%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Aetheris Knowledge (RAG)</w:t>
            </w:r>
          </w:p>
        </w:tc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Hallucination rate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5%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Aetheris Vision (defect detection)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Recall (defecti non persi)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95%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Aetheris Vision (defect detection)</w:t>
            </w:r>
          </w:p>
        </w:tc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Precision (falsi positivi)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80%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Aetheris Predict (maintenance)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AUC-ROC failure prediction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0.85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Aetheris Predict (forecasting)</w:t>
            </w:r>
          </w:p>
        </w:tc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MAPE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10%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All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End-to-end latency (P95)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2s per request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All</w:t>
            </w:r>
          </w:p>
        </w:tc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Uptime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99.9%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8.  ENGINEERING TEAM AND CAPABILITY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8.1  Founder technical capability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The founder is a senior AI engineer with 5+ years of production experience across the full stack of the platform. The track record is documented in the Business Plan §2 and reproduced here in summary: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311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Experience</w:t>
            </w:r>
          </w:p>
        </w:tc>
        <w:tc>
          <w:tcPr>
            <w:tcW w:type="dxa" w:w="408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Production evidence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LLM and GenAI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OpenAI, Anthropic, Mistral, open-weight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Multi-tenant RAG systems in production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RAG and AI Agents</w:t>
            </w:r>
          </w:p>
        </w:tc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LangChain, LlamaIndex, MCP, custom agents</w:t>
            </w:r>
          </w:p>
        </w:tc>
        <w:tc>
          <w:tcPr>
            <w:tcW w:type="dxa" w:w="408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10,000+ docs/day, multi-tenant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Computer Vision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YOLOv8, DINO, SAM, custom training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+22% defect detection vs baseline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MLOps</w:t>
            </w:r>
          </w:p>
        </w:tc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MLflow, Kubeflow, Argo, Docker, K8s</w:t>
            </w:r>
          </w:p>
        </w:tc>
        <w:tc>
          <w:tcPr>
            <w:tcW w:type="dxa" w:w="408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99.9% uptime, 35% pipeline improvement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Cloud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AWS, Azure, GCP, OVHcloud, IONOS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25% cloud cost reduction via optimisation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Edge AI</w:t>
            </w:r>
          </w:p>
        </w:tc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Jetson, Coral, ONNX, TensorRT</w:t>
            </w:r>
          </w:p>
        </w:tc>
        <w:tc>
          <w:tcPr>
            <w:tcW w:type="dxa" w:w="408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Field-deployed vision systems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Python, FastAPI, Node.js, Go, PostgreSQL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100,000+ users/day on AI systems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8.2  Open positions (Phase 1 hiring plan)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When</w:t>
            </w:r>
          </w:p>
        </w:tc>
        <w:tc>
          <w:tcPr>
            <w:tcW w:type="dxa" w:w="493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Why critical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Co-founder / VP Commercial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Gate 2 (M6-M9)</w:t>
            </w:r>
          </w:p>
        </w:tc>
        <w:tc>
          <w:tcPr>
            <w:tcW w:type="dxa" w:w="493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B2B enterprise sales for Energy/Manufacturing verticals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Senior AI Engineer (product)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Gate 2 (M6-M9)</w:t>
            </w:r>
          </w:p>
        </w:tc>
        <w:tc>
          <w:tcPr>
            <w:tcW w:type="dxa" w:w="493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Translates technical vision into shippable product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MLOps Engineer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Gate 2 (M6-M9)</w:t>
            </w:r>
          </w:p>
        </w:tc>
        <w:tc>
          <w:tcPr>
            <w:tcW w:type="dxa" w:w="493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Reliability, observability, on-call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AI Compliance Officer (advisor)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Gate 1 (M3)</w:t>
            </w:r>
          </w:p>
        </w:tc>
        <w:tc>
          <w:tcPr>
            <w:tcW w:type="dxa" w:w="493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AI Act readiness, certification roadmap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9.  TECHNICAL RISKS AND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14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Probability</w:t>
            </w:r>
          </w:p>
        </w:tc>
        <w:tc>
          <w:tcPr>
            <w:tcW w:type="dxa" w:w="113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436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Rapid model obsolescence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Model-agnostic architecture, evaluation infrastructure, continuous model benchmarking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Cloud provider lock-in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43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Multi-cloud EU support, IaC abstraction, open standards (Kubernetes, ONNX, OpenTelemetry)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Dependency on third-party models (OpenAI, Mistral)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Multi-model strategy, open-weight fallback, in-house fine-tuning where economically justified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AI Act risk reclassification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Low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43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Continuous regulatory monitoring, ISO/IEC 42001 preparation, modular architecture for re-classification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Adversarial attack on production AI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Defense in depth, input/output validation, continuous red-teaming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Performance degradation in production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43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Online evaluation, A/B testing, automatic rollback, SLO alerting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 breach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Low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Security by design, encryption, pen testing, incident response plan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10. TECHNICAL ROADMAP (12-24 MONTHS)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The technical roadmap is structured around 5 Gates (see Business Plan §17) with explicit technical deliverables at each Gate.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3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Gate</w:t>
            </w:r>
          </w:p>
        </w:tc>
        <w:tc>
          <w:tcPr>
            <w:tcW w:type="dxa" w:w="850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Timing</w:t>
            </w:r>
          </w:p>
        </w:tc>
        <w:tc>
          <w:tcPr>
            <w:tcW w:type="dxa" w:w="7200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Technical deliverables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Gate 1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M3</w:t>
            </w:r>
          </w:p>
        </w:tc>
        <w:tc>
          <w:tcPr>
            <w:tcW w:type="dxa" w:w="720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MVP Aetheris Knowledge (RAG + agenti base); benchmark suite; security baseline; first dataset; container registry; CI/CD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Gate 2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M6</w:t>
            </w:r>
          </w:p>
        </w:tc>
        <w:tc>
          <w:tcPr>
            <w:tcW w:type="dxa" w:w="720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MVP Aetheris Vision; SCADA/OPC-UA connectors; data lineage; model registry; SBOM; signed images; first PoC in production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Gate 3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M12</w:t>
            </w:r>
          </w:p>
        </w:tc>
        <w:tc>
          <w:tcPr>
            <w:tcW w:type="dxa" w:w="720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MVP Aetheris Predict; AI Act documentation automation; third-party pen test; ISO/IEC 27001 prep; HITL patterns GA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Gate 4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M18</w:t>
            </w:r>
          </w:p>
        </w:tc>
        <w:tc>
          <w:tcPr>
            <w:tcW w:type="dxa" w:w="720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GA Knowledge, Vision, Predict; ISO/IEC 42001 audit; federated learning MVP; EIC application submitted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Gate 5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M24</w:t>
            </w:r>
          </w:p>
        </w:tc>
        <w:tc>
          <w:tcPr>
            <w:tcW w:type="dxa" w:w="720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Federated learning GA; CE marking for high-risk systems; SOC 2 Type II; multi-region EU; EU expansion architecture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11. APPENDIX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11.1  Reference architecture standards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CNCF. </w:t>
      </w:r>
      <w:r>
        <w:rPr>
          <w:rFonts w:ascii="Calibri" w:hAnsi="Calibri" w:cs="Calibri"/>
          <w:b w:val="0"/>
          <w:i w:val="0"/>
          <w:color w:val="1A1A1A"/>
          <w:sz w:val="21"/>
        </w:rPr>
        <w:t>Kubernetes API and Operator Framework for the platform layer.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OpenAPI. </w:t>
      </w:r>
      <w:r>
        <w:rPr>
          <w:rFonts w:ascii="Calibri" w:hAnsi="Calibri" w:cs="Calibri"/>
          <w:b w:val="0"/>
          <w:i w:val="0"/>
          <w:color w:val="1A1A1A"/>
          <w:sz w:val="21"/>
        </w:rPr>
        <w:t>OpenAPI 3.1 for all platform APIs; AsyncAPI for streaming.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ONNX. </w:t>
      </w:r>
      <w:r>
        <w:rPr>
          <w:rFonts w:ascii="Calibri" w:hAnsi="Calibri" w:cs="Calibri"/>
          <w:b w:val="0"/>
          <w:i w:val="0"/>
          <w:color w:val="1A1A1A"/>
          <w:sz w:val="21"/>
        </w:rPr>
        <w:t>ONNX as the canonical interchange format for models; OpenVINO/TensorRT for hardware-specific acceleration.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MCP. </w:t>
      </w:r>
      <w:r>
        <w:rPr>
          <w:rFonts w:ascii="Calibri" w:hAnsi="Calibri" w:cs="Calibri"/>
          <w:b w:val="0"/>
          <w:i w:val="0"/>
          <w:color w:val="1A1A1A"/>
          <w:sz w:val="21"/>
        </w:rPr>
        <w:t>Model Context Protocol (MCP) for agent tool-use standardisation.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ROS 2. </w:t>
      </w:r>
      <w:r>
        <w:rPr>
          <w:rFonts w:ascii="Calibri" w:hAnsi="Calibri" w:cs="Calibri"/>
          <w:b w:val="0"/>
          <w:i w:val="0"/>
          <w:color w:val="1A1A1A"/>
          <w:sz w:val="21"/>
        </w:rPr>
        <w:t>ROS 2 for future robotics integration (Phase 3).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OpenTelemetry. </w:t>
      </w:r>
      <w:r>
        <w:rPr>
          <w:rFonts w:ascii="Calibri" w:hAnsi="Calibri" w:cs="Calibri"/>
          <w:b w:val="0"/>
          <w:i w:val="0"/>
          <w:color w:val="1A1A1A"/>
          <w:sz w:val="21"/>
        </w:rPr>
        <w:t>OpenTelemetry for logs, metrics, traces; Prometheus exposition format.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SLSA. </w:t>
      </w:r>
      <w:r>
        <w:rPr>
          <w:rFonts w:ascii="Calibri" w:hAnsi="Calibri" w:cs="Calibri"/>
          <w:b w:val="0"/>
          <w:i w:val="0"/>
          <w:color w:val="1A1A1A"/>
          <w:sz w:val="21"/>
        </w:rPr>
        <w:t>SLSA Level 3 for supply chain; Sigstore for signing.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11.2  Glossary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Aetheris Platform. </w:t>
      </w:r>
      <w:r>
        <w:rPr>
          <w:rFonts w:ascii="Calibri" w:hAnsi="Calibri" w:cs="Calibri"/>
          <w:b w:val="0"/>
          <w:i w:val="0"/>
          <w:color w:val="1A1A1A"/>
          <w:sz w:val="21"/>
        </w:rPr>
        <w:t>Architecture organised in five layers: Presentation, Application, Orchestration, AI Models, Data, Infrastructure.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Applied AI. </w:t>
      </w:r>
      <w:r>
        <w:rPr>
          <w:rFonts w:ascii="Calibri" w:hAnsi="Calibri" w:cs="Calibri"/>
          <w:b w:val="0"/>
          <w:i w:val="0"/>
          <w:color w:val="1A1A1A"/>
          <w:sz w:val="21"/>
        </w:rPr>
        <w:t>Multi-pillar: Generative AI, Computer Vision, Robotics, Predictive AI, MLOps.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Aetheris Knowledge/Vision/Predict. </w:t>
      </w:r>
      <w:r>
        <w:rPr>
          <w:rFonts w:ascii="Calibri" w:hAnsi="Calibri" w:cs="Calibri"/>
          <w:b w:val="0"/>
          <w:i w:val="0"/>
          <w:color w:val="1A1A1A"/>
          <w:sz w:val="21"/>
        </w:rPr>
        <w:t>GenAI, CV, Predictive AI applications.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AI Act. </w:t>
      </w:r>
      <w:r>
        <w:rPr>
          <w:rFonts w:ascii="Calibri" w:hAnsi="Calibri" w:cs="Calibri"/>
          <w:b w:val="0"/>
          <w:i w:val="0"/>
          <w:color w:val="1A1A1A"/>
          <w:sz w:val="21"/>
        </w:rPr>
        <w:t>EU Regulation 2024/1689 on Artificial Intelligence.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RAG. </w:t>
      </w:r>
      <w:r>
        <w:rPr>
          <w:rFonts w:ascii="Calibri" w:hAnsi="Calibri" w:cs="Calibri"/>
          <w:b w:val="0"/>
          <w:i w:val="0"/>
          <w:color w:val="1A1A1A"/>
          <w:sz w:val="21"/>
        </w:rPr>
        <w:t>Multi-tenant reasoning system that grounds LLM outputs in a knowledge base.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MCP. </w:t>
      </w:r>
      <w:r>
        <w:rPr>
          <w:rFonts w:ascii="Calibri" w:hAnsi="Calibri" w:cs="Calibri"/>
          <w:b w:val="0"/>
          <w:i w:val="0"/>
          <w:color w:val="1A1A1A"/>
          <w:sz w:val="21"/>
        </w:rPr>
        <w:t>Model Context Protocol — open standard for AI agent tool integration.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11.3  References and contacts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Architecture diagrams in Mermaid / PlantUML available on request. For technical deep-dive sessions, contact: founder@aetheris.ai  ·  Toscana, Italia  ·  © 2026 Aetheris AI S.r.l.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6B7280"/>
        <w:sz w:val="17"/>
      </w:rPr>
      <w:t xml:space="preserve">© 2026 Aetheris AI S.r.l. — Technical Dossier v1.0 — Page </w:t>
    </w:r>
    <w:r>
      <w:rPr>
        <w:rFonts w:ascii="Calibri" w:hAnsi="Calibri" w:cs="Calibri"/>
        <w:b/>
        <w:i w:val="0"/>
        <w:color w:val="6B7280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CBD2D9"/>
      </w:pBdr>
    </w:pPr>
    <w:r>
      <w:rPr>
        <w:rFonts w:ascii="Calibri" w:hAnsi="Calibri" w:cs="Calibri"/>
        <w:b w:val="0"/>
        <w:i/>
        <w:color w:val="6B7280"/>
        <w:sz w:val="18"/>
      </w:rPr>
      <w:t>Aetheris AI S.r.l.  ·  Technical Dossier  ·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