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60"/>
        <w:jc w:val="center"/>
      </w:pPr>
      <w:r>
        <w:rPr>
          <w:b/>
          <w:bCs/>
          <w:color w:val="F6AE00"/>
          <w:sz w:val="18"/>
          <w:szCs w:val="18"/>
          <w:rtl w:val="0"/>
        </w:rPr>
        <w:t>ОБЕЗЛИЧЕННЫЙ ШАБЛОН</w:t>
      </w:r>
    </w:p>
    <w:p w14:paraId="00000002">
      <w:pPr>
        <w:keepNext/>
        <w:spacing w:after="20"/>
        <w:jc w:val="center"/>
      </w:pPr>
      <w:r>
        <w:rPr>
          <w:b/>
          <w:bCs/>
          <w:color w:val="007FAE"/>
          <w:sz w:val="26"/>
          <w:szCs w:val="26"/>
          <w:rtl w:val="0"/>
        </w:rPr>
        <w:t>АГЕНТСКИЙ ДОГОВОР ОБ ОРГАНИЗАЦИИ ПЛАТЕЖА</w:t>
      </w:r>
    </w:p>
    <w:p w14:paraId="00000003">
      <w:pPr>
        <w:keepNext/>
        <w:spacing w:after="100"/>
        <w:jc w:val="center"/>
      </w:pPr>
      <w:r>
        <w:rPr>
          <w:b/>
          <w:bCs/>
          <w:color w:val="007FAE"/>
          <w:sz w:val="22"/>
          <w:szCs w:val="22"/>
          <w:rtl w:val="0"/>
        </w:rPr>
        <w:t>PAYMENT ARRANGEMENT AGENCY AGREEMENT</w:t>
      </w:r>
    </w:p>
    <w:p w14:paraId="00000004">
      <w:pPr>
        <w:spacing w:after="120"/>
        <w:jc w:val="center"/>
      </w:pPr>
      <w:r>
        <w:rPr>
          <w:color w:val="666666"/>
          <w:sz w:val="17"/>
          <w:szCs w:val="17"/>
          <w:rtl w:val="0"/>
        </w:rPr>
        <w:t>г. [●] / [●], [дата / date]</w:t>
      </w:r>
    </w:p>
    <w:tbl>
      <w:tblPr>
        <w:tblStyle w:val="15"/>
        <w:tblW w:w="10251" w:type="dxa"/>
        <w:jc w:val="center"/>
        <w:tblLayout w:type="fixed"/>
        <w:tblCellMar>
          <w:top w:w="0" w:type="dxa"/>
          <w:left w:w="10" w:type="dxa"/>
          <w:bottom w:w="0" w:type="dxa"/>
          <w:right w:w="10" w:type="dxa"/>
        </w:tblCellMar>
      </w:tblPr>
      <w:tblGrid>
        <w:gridCol w:w="20"/>
        <w:gridCol w:w="5089"/>
        <w:gridCol w:w="5089"/>
        <w:gridCol w:w="53"/>
      </w:tblGrid>
      <w:tr w14:paraId="75031909">
        <w:trPr>
          <w:gridAfter w:val="1"/>
          <w:jc w:val="center"/>
        </w:trPr>
        <w:tc>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Borders>
              <w:top w:val="nil"/>
              <w:left w:val="nil"/>
              <w:bottom w:val="nil"/>
              <w:right w:val="single" w:color="D9E7ED" w:sz="6" w:space="0"/>
            </w:tcBorders>
            <w:tcMar>
              <w:top w:w="75" w:type="dxa"/>
              <w:left w:w="100" w:type="dxa"/>
              <w:bottom w:w="75" w:type="dxa"/>
              <w:right w:w="100" w:type="dxa"/>
            </w:tcMar>
          </w:tcPr>
          <w:p w14:paraId="00000006">
            <w:pPr>
              <w:spacing w:after="30"/>
              <w:rPr>
                <w:color w:val="000000"/>
                <w:sz w:val="18"/>
                <w:szCs w:val="18"/>
              </w:rPr>
            </w:pPr>
            <w:r>
              <w:rPr>
                <w:color w:val="000000"/>
                <w:sz w:val="18"/>
                <w:szCs w:val="18"/>
                <w:rtl w:val="0"/>
              </w:rPr>
              <w:t xml:space="preserve">MF Corporation Company Limited, юридическое лицо, учрежденное по праву Таиланда, регистрационный и налоговый номер 0835565024547, адрес: 9/31, Mu 5, Choeng Thale Sub-district, Thalang District, Phuket Province 83110, Thailand, в лице Director Miss Katika Sakornnoi, действующей на основании [учредительных документов / corporate documents], далее — «Агент», с одной стороны, и </w:t>
            </w:r>
          </w:p>
          <w:p w14:paraId="00000007">
            <w:pPr>
              <w:spacing w:after="30"/>
            </w:pPr>
            <w:r>
              <w:rPr>
                <w:color w:val="000000"/>
                <w:sz w:val="18"/>
                <w:szCs w:val="18"/>
                <w:rtl w:val="0"/>
              </w:rPr>
              <w:t>[ФИО / полное наименование, ID/регистрационный номер, адрес], далее — «Клиент», с другой стороны, совместно — «Стороны», заключили настоящий Договор о нижеследующем.</w:t>
            </w:r>
          </w:p>
        </w:tc>
        <w:tc>
          <w:tcPr>
            <w:tcBorders>
              <w:top w:val="nil"/>
              <w:left w:val="nil"/>
              <w:bottom w:val="nil"/>
              <w:right w:val="nil"/>
            </w:tcBorders>
            <w:tcMar>
              <w:top w:w="75" w:type="dxa"/>
              <w:left w:w="100" w:type="dxa"/>
              <w:bottom w:w="75" w:type="dxa"/>
              <w:right w:w="100" w:type="dxa"/>
            </w:tcMar>
          </w:tcPr>
          <w:p w14:paraId="00000008">
            <w:pPr>
              <w:spacing w:after="30"/>
              <w:rPr>
                <w:color w:val="000000"/>
                <w:sz w:val="18"/>
                <w:szCs w:val="18"/>
              </w:rPr>
            </w:pPr>
            <w:r>
              <w:rPr>
                <w:color w:val="000000"/>
                <w:sz w:val="18"/>
                <w:szCs w:val="18"/>
                <w:rtl w:val="0"/>
              </w:rPr>
              <w:t xml:space="preserve">MF Corporation Company Limited, a legal entity incorporated under the laws of Thailand, registration and tax number 0835565024547, address: 9/31, Mu 5, Choeng Thale Sub-district, Thalang District, Phuket Province 83110, Thailand, represented by Director Miss Katika Sakornnoi, acting under [corporate documents], hereinafter the “Agent”, </w:t>
            </w:r>
          </w:p>
          <w:p w14:paraId="00000009">
            <w:pPr>
              <w:spacing w:after="30"/>
              <w:rPr>
                <w:color w:val="000000"/>
                <w:sz w:val="18"/>
                <w:szCs w:val="18"/>
              </w:rPr>
            </w:pPr>
            <w:r>
              <w:rPr>
                <w:color w:val="000000"/>
                <w:sz w:val="18"/>
                <w:szCs w:val="18"/>
                <w:rtl w:val="0"/>
              </w:rPr>
              <w:t xml:space="preserve">and </w:t>
            </w:r>
          </w:p>
          <w:p w14:paraId="0000000A">
            <w:pPr>
              <w:spacing w:after="30"/>
            </w:pPr>
            <w:r>
              <w:rPr>
                <w:color w:val="000000"/>
                <w:sz w:val="18"/>
                <w:szCs w:val="18"/>
                <w:rtl w:val="0"/>
              </w:rPr>
              <w:t>[full name / legal name, ID or registration number, address], hereinafter the “Client”, jointly the “Parties”, enter into this Agreement as follows.</w:t>
            </w:r>
          </w:p>
        </w:tc>
      </w:tr>
      <w:tr w14:paraId="76EE4F6E">
        <w:trPr>
          <w:gridAfter w:val="1"/>
          <w:jc w:val="center"/>
        </w:trPr>
        <w:tc>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Borders>
              <w:top w:val="nil"/>
              <w:left w:val="nil"/>
              <w:bottom w:val="nil"/>
              <w:right w:val="single" w:color="D9E7ED" w:sz="6" w:space="0"/>
            </w:tcBorders>
            <w:tcMar>
              <w:top w:w="75" w:type="dxa"/>
              <w:left w:w="100" w:type="dxa"/>
              <w:bottom w:w="75" w:type="dxa"/>
              <w:right w:w="100" w:type="dxa"/>
            </w:tcMar>
          </w:tcPr>
          <w:p w14:paraId="0000000C">
            <w:pPr>
              <w:spacing w:before="100" w:after="30"/>
            </w:pPr>
            <w:r>
              <w:rPr>
                <w:b/>
                <w:bCs/>
                <w:color w:val="007FAE"/>
                <w:sz w:val="19"/>
                <w:szCs w:val="19"/>
                <w:rtl w:val="0"/>
              </w:rPr>
              <w:t>1. ПРЕДМЕТ ДОГОВОРА</w:t>
            </w:r>
          </w:p>
        </w:tc>
        <w:tc>
          <w:tcPr>
            <w:tcBorders>
              <w:top w:val="nil"/>
              <w:left w:val="nil"/>
              <w:bottom w:val="nil"/>
              <w:right w:val="nil"/>
            </w:tcBorders>
            <w:tcMar>
              <w:top w:w="75" w:type="dxa"/>
              <w:left w:w="100" w:type="dxa"/>
              <w:bottom w:w="75" w:type="dxa"/>
              <w:right w:w="100" w:type="dxa"/>
            </w:tcMar>
          </w:tcPr>
          <w:p w14:paraId="0000000D">
            <w:pPr>
              <w:spacing w:before="100" w:after="30"/>
            </w:pPr>
            <w:r>
              <w:rPr>
                <w:b/>
                <w:bCs/>
                <w:color w:val="007FAE"/>
                <w:sz w:val="19"/>
                <w:szCs w:val="19"/>
                <w:rtl w:val="0"/>
              </w:rPr>
              <w:t>1. SUBJECT MATTER</w:t>
            </w:r>
          </w:p>
        </w:tc>
      </w:tr>
      <w:tr w14:paraId="6B83B6E2">
        <w:trPr>
          <w:gridAfter w:val="1"/>
          <w:jc w:val="center"/>
        </w:trPr>
        <w:tc>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Borders>
              <w:top w:val="nil"/>
              <w:left w:val="nil"/>
              <w:bottom w:val="nil"/>
              <w:right w:val="single" w:color="D9E7ED" w:sz="6" w:space="0"/>
            </w:tcBorders>
            <w:tcMar>
              <w:top w:w="75" w:type="dxa"/>
              <w:left w:w="100" w:type="dxa"/>
              <w:bottom w:w="75" w:type="dxa"/>
              <w:right w:w="100" w:type="dxa"/>
            </w:tcMar>
          </w:tcPr>
          <w:p w14:paraId="0000000F">
            <w:pPr>
              <w:spacing w:after="30"/>
              <w:rPr>
                <w:sz w:val="18"/>
                <w:szCs w:val="18"/>
              </w:rPr>
            </w:pPr>
            <w:r>
              <w:rPr>
                <w:color w:val="000000"/>
                <w:sz w:val="18"/>
                <w:szCs w:val="18"/>
                <w:rtl w:val="0"/>
              </w:rPr>
              <w:t>1.1. Агент по поручению и за счет Клиента организует исполнение платежа, указанного в отдельной Payment Instruction по форме Приложения 1, в пользу получателя, указанного в такой инструкции. Основанием платежа являются договор Клиента с продавцом/застройщиком и/или инвойс по объекту недвижимости с формой владения freehold (далее — «Основная сделка»).</w:t>
            </w:r>
          </w:p>
        </w:tc>
        <w:tc>
          <w:tcPr>
            <w:tcBorders>
              <w:top w:val="nil"/>
              <w:left w:val="nil"/>
              <w:bottom w:val="nil"/>
              <w:right w:val="nil"/>
            </w:tcBorders>
            <w:tcMar>
              <w:top w:w="75" w:type="dxa"/>
              <w:left w:w="100" w:type="dxa"/>
              <w:bottom w:w="75" w:type="dxa"/>
              <w:right w:w="100" w:type="dxa"/>
            </w:tcMar>
          </w:tcPr>
          <w:p w14:paraId="00000010">
            <w:pPr>
              <w:spacing w:after="30"/>
              <w:rPr>
                <w:sz w:val="18"/>
                <w:szCs w:val="18"/>
              </w:rPr>
            </w:pPr>
            <w:r>
              <w:rPr>
                <w:color w:val="000000"/>
                <w:sz w:val="18"/>
                <w:szCs w:val="18"/>
                <w:rtl w:val="0"/>
              </w:rPr>
              <w:t>The Agent, on the Client’s instruction and at the Client’s expense, arranges the payment specified in a separate Payment Instruction in Appendix 1, to the recipient named in that instruction. The basis for payment is the Client’s agreement with the seller/developer and/or an invoice for a freehold real-property unit (the “Underlying Transaction”).</w:t>
            </w:r>
          </w:p>
        </w:tc>
      </w:tr>
      <w:tr w14:paraId="210AB3D6">
        <w:trPr>
          <w:gridAfter w:val="1"/>
          <w:jc w:val="center"/>
        </w:trPr>
        <w:tc>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18"/>
                <w:szCs w:val="18"/>
              </w:rPr>
            </w:pPr>
          </w:p>
        </w:tc>
        <w:tc>
          <w:tcPr>
            <w:tcBorders>
              <w:top w:val="nil"/>
              <w:left w:val="nil"/>
              <w:bottom w:val="nil"/>
              <w:right w:val="single" w:color="D9E7ED" w:sz="6" w:space="0"/>
            </w:tcBorders>
            <w:tcMar>
              <w:top w:w="75" w:type="dxa"/>
              <w:left w:w="100" w:type="dxa"/>
              <w:bottom w:w="75" w:type="dxa"/>
              <w:right w:w="100" w:type="dxa"/>
            </w:tcMar>
          </w:tcPr>
          <w:p w14:paraId="00000012">
            <w:pPr>
              <w:spacing w:after="30"/>
              <w:rPr>
                <w:sz w:val="18"/>
                <w:szCs w:val="18"/>
              </w:rPr>
            </w:pPr>
            <w:r>
              <w:rPr>
                <w:color w:val="000000"/>
                <w:sz w:val="18"/>
                <w:szCs w:val="18"/>
                <w:rtl w:val="0"/>
              </w:rPr>
              <w:t>1.2. Агент не является продавцом, застройщиком, собственником, брокером по недвижимости или стороной Основной сделки. Договор не является договором купли-продажи недвижимости, не подтверждает право собственности Клиента и не заменяет документы для регистрации права в Таиланде.</w:t>
            </w:r>
          </w:p>
        </w:tc>
        <w:tc>
          <w:tcPr>
            <w:tcBorders>
              <w:top w:val="nil"/>
              <w:left w:val="nil"/>
              <w:bottom w:val="nil"/>
              <w:right w:val="nil"/>
            </w:tcBorders>
            <w:tcMar>
              <w:top w:w="75" w:type="dxa"/>
              <w:left w:w="100" w:type="dxa"/>
              <w:bottom w:w="75" w:type="dxa"/>
              <w:right w:w="100" w:type="dxa"/>
            </w:tcMar>
          </w:tcPr>
          <w:p w14:paraId="00000013">
            <w:pPr>
              <w:spacing w:after="30"/>
              <w:rPr>
                <w:sz w:val="18"/>
                <w:szCs w:val="18"/>
              </w:rPr>
            </w:pPr>
            <w:r>
              <w:rPr>
                <w:color w:val="000000"/>
                <w:sz w:val="18"/>
                <w:szCs w:val="18"/>
                <w:rtl w:val="0"/>
              </w:rPr>
              <w:t>The Agent is not the seller, developer, owner, real-estate broker, or a party to the Underlying Transaction. This Agreement is not a real-property sale agreement, does not confirm the Client’s ownership right, and does not replace documents required to register a right in Thailand.</w:t>
            </w:r>
          </w:p>
        </w:tc>
      </w:tr>
      <w:tr w14:paraId="3983A354">
        <w:trPr>
          <w:gridAfter w:val="1"/>
          <w:jc w:val="center"/>
        </w:trPr>
        <w:tc>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18"/>
                <w:szCs w:val="18"/>
              </w:rPr>
            </w:pPr>
          </w:p>
        </w:tc>
        <w:tc>
          <w:tcPr>
            <w:tcBorders>
              <w:top w:val="nil"/>
              <w:left w:val="nil"/>
              <w:bottom w:val="nil"/>
              <w:right w:val="single" w:color="D9E7ED" w:sz="6" w:space="0"/>
            </w:tcBorders>
            <w:tcMar>
              <w:top w:w="75" w:type="dxa"/>
              <w:left w:w="100" w:type="dxa"/>
              <w:bottom w:w="75" w:type="dxa"/>
              <w:right w:w="100" w:type="dxa"/>
            </w:tcMar>
          </w:tcPr>
          <w:p w14:paraId="00000015">
            <w:pPr>
              <w:spacing w:after="30"/>
              <w:rPr>
                <w:sz w:val="18"/>
                <w:szCs w:val="18"/>
              </w:rPr>
            </w:pPr>
            <w:r>
              <w:rPr>
                <w:color w:val="000000"/>
                <w:sz w:val="18"/>
                <w:szCs w:val="18"/>
                <w:rtl w:val="0"/>
              </w:rPr>
              <w:t>1.3. Каждая Payment Instruction является частью Договора после подписания или подтверждения Сторонами согласованным способом. При противоречии между Договором и Payment Instruction по конкретному платежу преимущественную силу имеет Payment Instruction, кроме условий об ответственности, применимом праве, спорах и комплаенсе.</w:t>
            </w:r>
          </w:p>
        </w:tc>
        <w:tc>
          <w:tcPr>
            <w:tcBorders>
              <w:top w:val="nil"/>
              <w:left w:val="nil"/>
              <w:bottom w:val="nil"/>
              <w:right w:val="nil"/>
            </w:tcBorders>
            <w:tcMar>
              <w:top w:w="75" w:type="dxa"/>
              <w:left w:w="100" w:type="dxa"/>
              <w:bottom w:w="75" w:type="dxa"/>
              <w:right w:w="100" w:type="dxa"/>
            </w:tcMar>
          </w:tcPr>
          <w:p w14:paraId="00000016">
            <w:pPr>
              <w:spacing w:after="30"/>
              <w:rPr>
                <w:sz w:val="18"/>
                <w:szCs w:val="18"/>
              </w:rPr>
            </w:pPr>
            <w:r>
              <w:rPr>
                <w:color w:val="000000"/>
                <w:sz w:val="18"/>
                <w:szCs w:val="18"/>
                <w:rtl w:val="0"/>
              </w:rPr>
              <w:t>Each Payment Instruction becomes part of this Agreement after signature or confirmation by the Parties through an agreed method. If this Agreement and a Payment Instruction conflict for a payment, the Payment Instruction prevails, except for liability, governing-law, dispute, and compliance clauses.</w:t>
            </w:r>
          </w:p>
        </w:tc>
      </w:tr>
      <w:tr w14:paraId="045475D7">
        <w:trPr>
          <w:gridAfter w:val="1"/>
          <w:jc w:val="center"/>
        </w:trPr>
        <w:tc>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18"/>
                <w:szCs w:val="18"/>
              </w:rPr>
            </w:pPr>
          </w:p>
        </w:tc>
        <w:tc>
          <w:tcPr>
            <w:tcBorders>
              <w:top w:val="nil"/>
              <w:left w:val="nil"/>
              <w:bottom w:val="nil"/>
              <w:right w:val="single" w:color="D9E7ED" w:sz="6" w:space="0"/>
            </w:tcBorders>
            <w:tcMar>
              <w:top w:w="75" w:type="dxa"/>
              <w:left w:w="100" w:type="dxa"/>
              <w:bottom w:w="75" w:type="dxa"/>
              <w:right w:w="100" w:type="dxa"/>
            </w:tcMar>
          </w:tcPr>
          <w:p w14:paraId="00000018">
            <w:pPr>
              <w:spacing w:before="100" w:after="30"/>
            </w:pPr>
            <w:r>
              <w:rPr>
                <w:b/>
                <w:bCs/>
                <w:color w:val="007FAE"/>
                <w:sz w:val="19"/>
                <w:szCs w:val="19"/>
                <w:rtl w:val="0"/>
              </w:rPr>
              <w:t>2. ПОРЯДОК ПЛАТЕЖА</w:t>
            </w:r>
          </w:p>
        </w:tc>
        <w:tc>
          <w:tcPr>
            <w:tcBorders>
              <w:top w:val="nil"/>
              <w:left w:val="nil"/>
              <w:bottom w:val="nil"/>
              <w:right w:val="nil"/>
            </w:tcBorders>
            <w:tcMar>
              <w:top w:w="75" w:type="dxa"/>
              <w:left w:w="100" w:type="dxa"/>
              <w:bottom w:w="75" w:type="dxa"/>
              <w:right w:w="100" w:type="dxa"/>
            </w:tcMar>
          </w:tcPr>
          <w:p w14:paraId="00000019">
            <w:pPr>
              <w:spacing w:before="100" w:after="30"/>
            </w:pPr>
            <w:r>
              <w:rPr>
                <w:b/>
                <w:bCs/>
                <w:color w:val="007FAE"/>
                <w:sz w:val="19"/>
                <w:szCs w:val="19"/>
                <w:rtl w:val="0"/>
              </w:rPr>
              <w:t>2. PAYMENT PROCESS</w:t>
            </w:r>
          </w:p>
        </w:tc>
      </w:tr>
      <w:tr w14:paraId="001B28B4">
        <w:trPr>
          <w:gridAfter w:val="1"/>
          <w:jc w:val="center"/>
        </w:trPr>
        <w:tc>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Borders>
              <w:top w:val="nil"/>
              <w:left w:val="nil"/>
              <w:bottom w:val="nil"/>
              <w:right w:val="single" w:color="D9E7ED" w:sz="6" w:space="0"/>
            </w:tcBorders>
            <w:tcMar>
              <w:top w:w="75" w:type="dxa"/>
              <w:left w:w="100" w:type="dxa"/>
              <w:bottom w:w="75" w:type="dxa"/>
              <w:right w:w="100" w:type="dxa"/>
            </w:tcMar>
          </w:tcPr>
          <w:p w14:paraId="0000001B">
            <w:pPr>
              <w:spacing w:after="30"/>
              <w:rPr>
                <w:sz w:val="18"/>
                <w:szCs w:val="18"/>
              </w:rPr>
            </w:pPr>
            <w:r>
              <w:rPr>
                <w:sz w:val="18"/>
                <w:szCs w:val="18"/>
                <w:rtl w:val="0"/>
              </w:rPr>
              <w:t>2.1. Клиент вносит сумму, указанную в соответствующих Invoice и Payment Instruction, способом и по реквизитам, указанным Агентом для конкретной операции. Допустимый способ может включать банковский перевод на расчетный счет, СБП, перевод USDT или наличные — только если это прямо указано в Invoice или Payment Instruction. Реквизиты и способ оплаты действительны только если они указаны в Invoice или Payment Instruction с номером и датой, относящихся к конкретной операции, направлены Агентом с согласованного корпоративного e-mail и используются в пределах указанного в документе срока.</w:t>
            </w:r>
            <w:r>
              <w:rPr>
                <w:sz w:val="18"/>
                <w:szCs w:val="18"/>
                <w:rtl w:val="0"/>
              </w:rPr>
              <w:br w:type="textWrapping"/>
            </w:r>
            <w:r>
              <w:rPr>
                <w:sz w:val="18"/>
                <w:szCs w:val="18"/>
                <w:rtl w:val="0"/>
              </w:rPr>
              <w:br w:type="textWrapping"/>
            </w:r>
            <w:r>
              <w:rPr>
                <w:sz w:val="18"/>
                <w:szCs w:val="18"/>
                <w:rtl w:val="0"/>
              </w:rPr>
              <w:t>При изменении получателя, банковских реквизитов или адреса USDT-кошелька Клиент подтверждает новую Payment Instruction или Invoice с согласованного контакта до совершения оплаты. Если в Invoice или Payment Instruction указан получатель, отличный от Агента, в документе указываются его полное наименование и роль в платёжном маршруте; оплата такому получателю считается надлежащим исполнением обязанности Клиента перед Агентом только при прямом указании на это в соответствующем документе.</w:t>
            </w:r>
          </w:p>
        </w:tc>
        <w:tc>
          <w:tcPr>
            <w:tcBorders>
              <w:top w:val="nil"/>
              <w:left w:val="nil"/>
              <w:bottom w:val="nil"/>
              <w:right w:val="nil"/>
            </w:tcBorders>
            <w:tcMar>
              <w:top w:w="75" w:type="dxa"/>
              <w:left w:w="100" w:type="dxa"/>
              <w:bottom w:w="75" w:type="dxa"/>
              <w:right w:w="100" w:type="dxa"/>
            </w:tcMar>
          </w:tcPr>
          <w:p w14:paraId="0000001C">
            <w:pPr>
              <w:spacing w:after="30"/>
              <w:rPr>
                <w:sz w:val="18"/>
                <w:szCs w:val="18"/>
              </w:rPr>
            </w:pPr>
            <w:r>
              <w:rPr>
                <w:sz w:val="18"/>
                <w:szCs w:val="18"/>
                <w:rtl w:val="0"/>
              </w:rPr>
              <w:t>2.1. The Client pays the amount stated in the relevant Invoice and Payment Instruction using the method and payment details specified by the Agent for that transaction. The permitted method may include a bank transfer to a settlement account, SBP, USDT transfer or cash, only where expressly stated in the Invoice or Payment Instruction. Payment details and the payment method are valid only if stated in an Invoice or Payment Instruction bearing a number and date, relating to the relevant transaction, sent by the Agent from an agreed corporate email address, and used within the validity period stated in that document.</w:t>
            </w:r>
            <w:r>
              <w:rPr>
                <w:sz w:val="18"/>
                <w:szCs w:val="18"/>
                <w:rtl w:val="0"/>
              </w:rPr>
              <w:br w:type="textWrapping"/>
            </w:r>
            <w:r>
              <w:rPr>
                <w:sz w:val="18"/>
                <w:szCs w:val="18"/>
                <w:rtl w:val="0"/>
              </w:rPr>
              <w:br w:type="textWrapping"/>
            </w:r>
            <w:r>
              <w:rPr>
                <w:sz w:val="18"/>
                <w:szCs w:val="18"/>
                <w:rtl w:val="0"/>
              </w:rPr>
              <w:t>If the pay-in recipient, bank details or USDT wallet address changes, the Client shall confirm the new Payment Instruction or Invoice through an agreed contact before making payment. If an Invoice or Payment Instruction names a pay-in recipient other than the Agent, the document identifies that recipient’s full legal name and role in the payment route; payment to that recipient is treated as due performance of the Client’s obligation to the Agent only where the relevant document expressly states so.</w:t>
            </w:r>
          </w:p>
        </w:tc>
      </w:tr>
      <w:tr w14:paraId="5F13600C">
        <w:trPr>
          <w:gridAfter w:val="1"/>
          <w:jc w:val="center"/>
        </w:trPr>
        <w:tc>
          <w:p w14:paraId="000000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18"/>
                <w:szCs w:val="18"/>
              </w:rPr>
            </w:pPr>
          </w:p>
        </w:tc>
        <w:tc>
          <w:tcPr>
            <w:tcBorders>
              <w:top w:val="nil"/>
              <w:left w:val="nil"/>
              <w:bottom w:val="nil"/>
              <w:right w:val="single" w:color="D9E7ED" w:sz="6" w:space="0"/>
            </w:tcBorders>
            <w:tcMar>
              <w:top w:w="75" w:type="dxa"/>
              <w:left w:w="100" w:type="dxa"/>
              <w:bottom w:w="75" w:type="dxa"/>
              <w:right w:w="100" w:type="dxa"/>
            </w:tcMar>
          </w:tcPr>
          <w:p w14:paraId="0000001E">
            <w:pPr>
              <w:spacing w:after="30"/>
              <w:rPr>
                <w:sz w:val="18"/>
                <w:szCs w:val="18"/>
              </w:rPr>
            </w:pPr>
            <w:r>
              <w:rPr>
                <w:color w:val="000000"/>
                <w:sz w:val="18"/>
                <w:szCs w:val="18"/>
                <w:rtl w:val="0"/>
              </w:rPr>
              <w:t>2.2. Агент приступает к организации платежа после поступления полной суммы, указанной в Invoice/Payment Instruction, получения заполненной Payment Instruction и документов по Основной сделке, успешного прохождения проверки по пункту 5.1 и доступности согласованного платёжного маршрута.</w:t>
            </w:r>
          </w:p>
        </w:tc>
        <w:tc>
          <w:tcPr>
            <w:tcBorders>
              <w:top w:val="nil"/>
              <w:left w:val="nil"/>
              <w:bottom w:val="nil"/>
              <w:right w:val="nil"/>
            </w:tcBorders>
            <w:tcMar>
              <w:top w:w="75" w:type="dxa"/>
              <w:left w:w="100" w:type="dxa"/>
              <w:bottom w:w="75" w:type="dxa"/>
              <w:right w:w="100" w:type="dxa"/>
            </w:tcMar>
          </w:tcPr>
          <w:p w14:paraId="0000001F">
            <w:pPr>
              <w:spacing w:after="30"/>
              <w:rPr>
                <w:sz w:val="18"/>
                <w:szCs w:val="18"/>
              </w:rPr>
            </w:pPr>
            <w:r>
              <w:rPr>
                <w:color w:val="000000"/>
                <w:sz w:val="18"/>
                <w:szCs w:val="18"/>
                <w:rtl w:val="0"/>
              </w:rPr>
              <w:t>2.2. The Agent starts arranging the payment only after receipt of the full amount stated in the Invoice/Payment Instruction, a completed Payment Instruction and Underlying Transaction documents, successful completion of Clause 5.1 checks, and availability of the agreed payment route.</w:t>
            </w:r>
          </w:p>
        </w:tc>
      </w:tr>
      <w:tr w14:paraId="020D3F16">
        <w:trPr>
          <w:gridAfter w:val="1"/>
          <w:jc w:val="center"/>
        </w:trPr>
        <w:tc>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18"/>
                <w:szCs w:val="18"/>
              </w:rPr>
            </w:pPr>
          </w:p>
        </w:tc>
        <w:tc>
          <w:tcPr>
            <w:tcBorders>
              <w:top w:val="nil"/>
              <w:left w:val="nil"/>
              <w:bottom w:val="nil"/>
              <w:right w:val="single" w:color="D9E7ED" w:sz="6" w:space="0"/>
            </w:tcBorders>
            <w:tcMar>
              <w:top w:w="75" w:type="dxa"/>
              <w:left w:w="100" w:type="dxa"/>
              <w:bottom w:w="75" w:type="dxa"/>
              <w:right w:w="100" w:type="dxa"/>
            </w:tcMar>
          </w:tcPr>
          <w:p w14:paraId="00000021">
            <w:pPr>
              <w:rPr>
                <w:sz w:val="18"/>
                <w:szCs w:val="18"/>
              </w:rPr>
            </w:pPr>
            <w:r>
              <w:rPr>
                <w:sz w:val="18"/>
                <w:szCs w:val="18"/>
                <w:rtl w:val="0"/>
              </w:rPr>
              <w:t>2.3. Если инвойс застройщика выражен в THB, Агент вправе организовать оплату в USD только при наличии до исполнения Payment Instruction письменного подтверждения от застройщика либо уполномоченного им получателя о: (i) точной сумме обязательства в THB; (ii) точной сумме USD, подлежащей перечислению; (iii) источнике курса и сроке его действия; и (iv) том, что получение указанной USD-суммы будет зачтено в полное или прямо указанное частичное исполнение обязательства по соответствующему инвойсу застройщика в THB.</w:t>
            </w:r>
            <w:r>
              <w:rPr>
                <w:sz w:val="18"/>
                <w:szCs w:val="18"/>
                <w:rtl w:val="0"/>
              </w:rPr>
              <w:br w:type="textWrapping"/>
            </w:r>
            <w:r>
              <w:rPr>
                <w:sz w:val="18"/>
                <w:szCs w:val="18"/>
                <w:rtl w:val="0"/>
              </w:rPr>
              <w:br w:type="textWrapping"/>
            </w:r>
            <w:r>
              <w:rPr>
                <w:sz w:val="18"/>
                <w:szCs w:val="18"/>
                <w:rtl w:val="0"/>
              </w:rPr>
              <w:t>Указанные данные фиксируются в Payment Instruction. Агент не обязан доплачивать суммы, возникшие вследствие истечения срока курса, изменения курса, удержаний банка-получателя или отказа застройщика зачесть платёж, без новой Payment Instruction и получения от Клиента необходимой доплаты.</w:t>
            </w:r>
          </w:p>
        </w:tc>
        <w:tc>
          <w:tcPr>
            <w:tcBorders>
              <w:top w:val="nil"/>
              <w:left w:val="nil"/>
              <w:bottom w:val="nil"/>
              <w:right w:val="nil"/>
            </w:tcBorders>
            <w:tcMar>
              <w:top w:w="75" w:type="dxa"/>
              <w:left w:w="100" w:type="dxa"/>
              <w:bottom w:w="75" w:type="dxa"/>
              <w:right w:w="100" w:type="dxa"/>
            </w:tcMar>
          </w:tcPr>
          <w:p w14:paraId="00000022">
            <w:pPr>
              <w:rPr>
                <w:sz w:val="18"/>
                <w:szCs w:val="18"/>
              </w:rPr>
            </w:pPr>
            <w:r>
              <w:rPr>
                <w:sz w:val="18"/>
                <w:szCs w:val="18"/>
                <w:rtl w:val="0"/>
              </w:rPr>
              <w:t>2.3. Where the developer invoice is denominated in THB, the Agent may arrange payment in USD only if, before execution of the Payment Instruction, the developer or its authorised recipient confirms in writing: (i) the exact THB obligation; (ii) the exact USD amount to be remitted; (iii) the rate source and its validity period; and (iv) that receipt of such USD amount will be credited as full or expressly stated partial performance of the relevant developer invoice denominated in THB.</w:t>
            </w:r>
            <w:r>
              <w:rPr>
                <w:sz w:val="18"/>
                <w:szCs w:val="18"/>
                <w:rtl w:val="0"/>
              </w:rPr>
              <w:br w:type="textWrapping"/>
            </w:r>
            <w:r>
              <w:rPr>
                <w:sz w:val="18"/>
                <w:szCs w:val="18"/>
                <w:rtl w:val="0"/>
              </w:rPr>
              <w:br w:type="textWrapping"/>
            </w:r>
            <w:r>
              <w:rPr>
                <w:sz w:val="18"/>
                <w:szCs w:val="18"/>
                <w:rtl w:val="0"/>
              </w:rPr>
              <w:t>These details shall be recorded in the Payment Instruction. The Agent is not obliged to make up any shortfall caused by expiry of the rate, a rate change, receiving-bank deductions or a developer’s refusal to credit the payment without a new Payment Instruction and receipt of the required additional amount from the Client.</w:t>
            </w:r>
          </w:p>
        </w:tc>
      </w:tr>
      <w:tr w14:paraId="13A5A185">
        <w:trPr>
          <w:gridAfter w:val="1"/>
          <w:jc w:val="center"/>
        </w:trPr>
        <w:tc>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18"/>
                <w:szCs w:val="18"/>
              </w:rPr>
            </w:pPr>
          </w:p>
        </w:tc>
        <w:tc>
          <w:tcPr>
            <w:tcBorders>
              <w:top w:val="nil"/>
              <w:left w:val="nil"/>
              <w:bottom w:val="nil"/>
              <w:right w:val="single" w:color="D9E7ED" w:sz="6" w:space="0"/>
            </w:tcBorders>
            <w:tcMar>
              <w:top w:w="75" w:type="dxa"/>
              <w:left w:w="100" w:type="dxa"/>
              <w:bottom w:w="75" w:type="dxa"/>
              <w:right w:w="100" w:type="dxa"/>
            </w:tcMar>
          </w:tcPr>
          <w:p w14:paraId="00000024">
            <w:pPr>
              <w:spacing w:after="30"/>
            </w:pPr>
            <w:r>
              <w:rPr>
                <w:color w:val="000000"/>
                <w:sz w:val="18"/>
                <w:szCs w:val="18"/>
                <w:rtl w:val="0"/>
              </w:rPr>
              <w:t>2.4. Агент исполняет Payment Instruction в срок [●] рабочих дней после выполнения пункта 2.2, если иной срок не указан в Payment Instruction. Срок не включает период ожидания документов, ответа банка, проверки или сбоя вне контроля Агента.</w:t>
            </w:r>
          </w:p>
        </w:tc>
        <w:tc>
          <w:tcPr>
            <w:tcBorders>
              <w:top w:val="nil"/>
              <w:left w:val="nil"/>
              <w:bottom w:val="nil"/>
              <w:right w:val="nil"/>
            </w:tcBorders>
            <w:tcMar>
              <w:top w:w="75" w:type="dxa"/>
              <w:left w:w="100" w:type="dxa"/>
              <w:bottom w:w="75" w:type="dxa"/>
              <w:right w:w="100" w:type="dxa"/>
            </w:tcMar>
          </w:tcPr>
          <w:p w14:paraId="00000025">
            <w:pPr>
              <w:spacing w:after="30"/>
            </w:pPr>
            <w:r>
              <w:rPr>
                <w:color w:val="000000"/>
                <w:sz w:val="18"/>
                <w:szCs w:val="18"/>
                <w:rtl w:val="0"/>
              </w:rPr>
              <w:t>The Agent executes a Payment Instruction within [●] business days after Clause 2.2 is met, unless the Payment Instruction states otherwise. This period excludes time awaiting documents, a bank response, review, or an outage outside the Agent’s control.</w:t>
            </w:r>
          </w:p>
        </w:tc>
      </w:tr>
      <w:tr w14:paraId="7D5CE4EB">
        <w:trPr>
          <w:gridAfter w:val="1"/>
          <w:jc w:val="center"/>
        </w:trPr>
        <w:tc>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Borders>
              <w:top w:val="nil"/>
              <w:left w:val="nil"/>
              <w:bottom w:val="nil"/>
              <w:right w:val="single" w:color="D9E7ED" w:sz="6" w:space="0"/>
            </w:tcBorders>
            <w:tcMar>
              <w:top w:w="75" w:type="dxa"/>
              <w:left w:w="100" w:type="dxa"/>
              <w:bottom w:w="75" w:type="dxa"/>
              <w:right w:w="100" w:type="dxa"/>
            </w:tcMar>
          </w:tcPr>
          <w:p w14:paraId="00000027">
            <w:pPr>
              <w:spacing w:before="100" w:after="30"/>
            </w:pPr>
            <w:r>
              <w:rPr>
                <w:b/>
                <w:bCs/>
                <w:color w:val="007FAE"/>
                <w:sz w:val="19"/>
                <w:szCs w:val="19"/>
                <w:rtl w:val="0"/>
              </w:rPr>
              <w:t>3. ДОКУМЕНТЫ ПО ОСНОВНОЙ СДЕЛКЕ</w:t>
            </w:r>
          </w:p>
        </w:tc>
        <w:tc>
          <w:tcPr>
            <w:tcBorders>
              <w:top w:val="nil"/>
              <w:left w:val="nil"/>
              <w:bottom w:val="nil"/>
              <w:right w:val="nil"/>
            </w:tcBorders>
            <w:tcMar>
              <w:top w:w="75" w:type="dxa"/>
              <w:left w:w="100" w:type="dxa"/>
              <w:bottom w:w="75" w:type="dxa"/>
              <w:right w:w="100" w:type="dxa"/>
            </w:tcMar>
          </w:tcPr>
          <w:p w14:paraId="00000028">
            <w:pPr>
              <w:spacing w:before="100" w:after="30"/>
            </w:pPr>
            <w:r>
              <w:rPr>
                <w:b/>
                <w:bCs/>
                <w:color w:val="007FAE"/>
                <w:sz w:val="19"/>
                <w:szCs w:val="19"/>
                <w:rtl w:val="0"/>
              </w:rPr>
              <w:t>3. UNDERLYING TRANSACTION DOCUMENTS</w:t>
            </w:r>
          </w:p>
        </w:tc>
      </w:tr>
      <w:tr w14:paraId="2E7444D8">
        <w:trPr>
          <w:gridAfter w:val="1"/>
          <w:jc w:val="center"/>
        </w:trPr>
        <w:tc>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Borders>
              <w:top w:val="nil"/>
              <w:left w:val="nil"/>
              <w:bottom w:val="nil"/>
              <w:right w:val="single" w:color="D9E7ED" w:sz="6" w:space="0"/>
            </w:tcBorders>
            <w:tcMar>
              <w:top w:w="75" w:type="dxa"/>
              <w:left w:w="100" w:type="dxa"/>
              <w:bottom w:w="75" w:type="dxa"/>
              <w:right w:w="100" w:type="dxa"/>
            </w:tcMar>
          </w:tcPr>
          <w:p w14:paraId="0000002A">
            <w:pPr>
              <w:spacing w:after="30"/>
            </w:pPr>
            <w:r>
              <w:rPr>
                <w:color w:val="000000"/>
                <w:sz w:val="18"/>
                <w:szCs w:val="18"/>
                <w:rtl w:val="0"/>
              </w:rPr>
              <w:t>3.1. До исполнения Клиент предоставляет договор бронирования, купли-продажи или иной договор с продавцом/застройщиком, действующий инвойс, данные объекта и юнита, реквизиты получателя и иные документы, разумно запрошенные Агентом.</w:t>
            </w:r>
          </w:p>
        </w:tc>
        <w:tc>
          <w:tcPr>
            <w:tcBorders>
              <w:top w:val="nil"/>
              <w:left w:val="nil"/>
              <w:bottom w:val="nil"/>
              <w:right w:val="nil"/>
            </w:tcBorders>
            <w:tcMar>
              <w:top w:w="75" w:type="dxa"/>
              <w:left w:w="100" w:type="dxa"/>
              <w:bottom w:w="75" w:type="dxa"/>
              <w:right w:w="100" w:type="dxa"/>
            </w:tcMar>
          </w:tcPr>
          <w:p w14:paraId="0000002B">
            <w:pPr>
              <w:spacing w:after="30"/>
            </w:pPr>
            <w:r>
              <w:rPr>
                <w:color w:val="000000"/>
                <w:sz w:val="18"/>
                <w:szCs w:val="18"/>
                <w:rtl w:val="0"/>
              </w:rPr>
              <w:t>Before execution, the Client provides a reservation, sale, or other agreement with the seller/developer, a valid invoice, property and unit details, recipient details, and other documents reasonably requested by the Agent.</w:t>
            </w:r>
          </w:p>
        </w:tc>
      </w:tr>
      <w:tr w14:paraId="74D4E9C8">
        <w:trPr>
          <w:gridAfter w:val="1"/>
          <w:jc w:val="center"/>
        </w:trPr>
        <w:tc>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Borders>
              <w:top w:val="nil"/>
              <w:left w:val="nil"/>
              <w:bottom w:val="nil"/>
              <w:right w:val="single" w:color="D9E7ED" w:sz="6" w:space="0"/>
            </w:tcBorders>
            <w:tcMar>
              <w:top w:w="75" w:type="dxa"/>
              <w:left w:w="100" w:type="dxa"/>
              <w:bottom w:w="75" w:type="dxa"/>
              <w:right w:w="100" w:type="dxa"/>
            </w:tcMar>
          </w:tcPr>
          <w:p w14:paraId="0000002D">
            <w:pPr>
              <w:spacing w:after="30"/>
            </w:pPr>
            <w:r>
              <w:rPr>
                <w:color w:val="000000"/>
                <w:sz w:val="18"/>
                <w:szCs w:val="18"/>
                <w:rtl w:val="0"/>
              </w:rPr>
              <w:t>3.2. Клиент самостоятельно проверяет условия Основной сделки, полномочия получателя, статус объекта, ограничения иностранного владения и регистрацию. Агент не проводит юридическую проверку объекта и не дает заключения о freehold-квоте, праве собственности, налогах, регистрации или передаче объекта, если отдельно письменно не согласовано иное.</w:t>
            </w:r>
          </w:p>
        </w:tc>
        <w:tc>
          <w:tcPr>
            <w:tcBorders>
              <w:top w:val="nil"/>
              <w:left w:val="nil"/>
              <w:bottom w:val="nil"/>
              <w:right w:val="nil"/>
            </w:tcBorders>
            <w:tcMar>
              <w:top w:w="75" w:type="dxa"/>
              <w:left w:w="100" w:type="dxa"/>
              <w:bottom w:w="75" w:type="dxa"/>
              <w:right w:w="100" w:type="dxa"/>
            </w:tcMar>
          </w:tcPr>
          <w:p w14:paraId="0000002E">
            <w:pPr>
              <w:spacing w:after="30"/>
            </w:pPr>
            <w:r>
              <w:rPr>
                <w:color w:val="000000"/>
                <w:sz w:val="18"/>
                <w:szCs w:val="18"/>
                <w:rtl w:val="0"/>
              </w:rPr>
              <w:t>The Client independently checks the Underlying Transaction, recipient authority, property status, foreign-ownership restrictions, and registration. The Agent does not perform legal due diligence and gives no opinion on a freehold quota, title, taxes, registration, or handover unless separately agreed in writing.</w:t>
            </w:r>
          </w:p>
        </w:tc>
      </w:tr>
      <w:tr w14:paraId="4468865E">
        <w:trPr>
          <w:gridAfter w:val="1"/>
          <w:jc w:val="center"/>
        </w:trPr>
        <w:tc>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Borders>
              <w:top w:val="nil"/>
              <w:left w:val="nil"/>
              <w:bottom w:val="nil"/>
              <w:right w:val="single" w:color="D9E7ED" w:sz="6" w:space="0"/>
            </w:tcBorders>
            <w:tcMar>
              <w:top w:w="75" w:type="dxa"/>
              <w:left w:w="100" w:type="dxa"/>
              <w:bottom w:w="75" w:type="dxa"/>
              <w:right w:w="100" w:type="dxa"/>
            </w:tcMar>
          </w:tcPr>
          <w:p w14:paraId="00000030">
            <w:pPr>
              <w:spacing w:before="100" w:after="30"/>
            </w:pPr>
            <w:r>
              <w:rPr>
                <w:b/>
                <w:bCs/>
                <w:color w:val="007FAE"/>
                <w:sz w:val="19"/>
                <w:szCs w:val="19"/>
                <w:rtl w:val="0"/>
              </w:rPr>
              <w:t>4. КОМИССИЯ, ОТМЕНА И ВОЗВРАТ</w:t>
            </w:r>
          </w:p>
        </w:tc>
        <w:tc>
          <w:tcPr>
            <w:tcBorders>
              <w:top w:val="nil"/>
              <w:left w:val="nil"/>
              <w:bottom w:val="nil"/>
              <w:right w:val="nil"/>
            </w:tcBorders>
            <w:tcMar>
              <w:top w:w="75" w:type="dxa"/>
              <w:left w:w="100" w:type="dxa"/>
              <w:bottom w:w="75" w:type="dxa"/>
              <w:right w:w="100" w:type="dxa"/>
            </w:tcMar>
          </w:tcPr>
          <w:p w14:paraId="00000031">
            <w:pPr>
              <w:spacing w:before="100" w:after="30"/>
            </w:pPr>
            <w:r>
              <w:rPr>
                <w:b/>
                <w:bCs/>
                <w:color w:val="007FAE"/>
                <w:sz w:val="19"/>
                <w:szCs w:val="19"/>
                <w:rtl w:val="0"/>
              </w:rPr>
              <w:t>4. FEES, CANCELLATION AND REFUND</w:t>
            </w:r>
          </w:p>
        </w:tc>
      </w:tr>
      <w:tr w14:paraId="0F3AB987">
        <w:trPr>
          <w:gridAfter w:val="1"/>
          <w:jc w:val="center"/>
        </w:trPr>
        <w:tc>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Borders>
              <w:top w:val="nil"/>
              <w:left w:val="nil"/>
              <w:bottom w:val="nil"/>
              <w:right w:val="single" w:color="D9E7ED" w:sz="6" w:space="0"/>
            </w:tcBorders>
            <w:tcMar>
              <w:top w:w="75" w:type="dxa"/>
              <w:left w:w="100" w:type="dxa"/>
              <w:bottom w:w="75" w:type="dxa"/>
              <w:right w:w="100" w:type="dxa"/>
            </w:tcMar>
          </w:tcPr>
          <w:p w14:paraId="00000033">
            <w:pPr>
              <w:spacing w:after="30"/>
              <w:rPr>
                <w:sz w:val="18"/>
                <w:szCs w:val="18"/>
              </w:rPr>
            </w:pPr>
            <w:r>
              <w:rPr>
                <w:color w:val="000000"/>
                <w:sz w:val="18"/>
                <w:szCs w:val="18"/>
                <w:rtl w:val="0"/>
              </w:rPr>
              <w:t>4.1. Комиссия Агента и банковские расходы указываются в Payment Instruction. Если комиссия не согласована, Агент не обязан исполнять инструкцию.</w:t>
            </w:r>
          </w:p>
        </w:tc>
        <w:tc>
          <w:tcPr>
            <w:tcBorders>
              <w:top w:val="nil"/>
              <w:left w:val="nil"/>
              <w:bottom w:val="nil"/>
              <w:right w:val="nil"/>
            </w:tcBorders>
            <w:tcMar>
              <w:top w:w="75" w:type="dxa"/>
              <w:left w:w="100" w:type="dxa"/>
              <w:bottom w:w="75" w:type="dxa"/>
              <w:right w:w="100" w:type="dxa"/>
            </w:tcMar>
          </w:tcPr>
          <w:p w14:paraId="00000034">
            <w:pPr>
              <w:spacing w:after="30"/>
              <w:rPr>
                <w:sz w:val="18"/>
                <w:szCs w:val="18"/>
              </w:rPr>
            </w:pPr>
            <w:r>
              <w:rPr>
                <w:color w:val="000000"/>
                <w:sz w:val="18"/>
                <w:szCs w:val="18"/>
                <w:rtl w:val="0"/>
              </w:rPr>
              <w:t>4.1. The Agent’s fee and bank charges are stated in the Payment Instruction. If the fee is not agreed, the Agent is not required to execute the instruction.</w:t>
            </w:r>
          </w:p>
        </w:tc>
      </w:tr>
      <w:tr w14:paraId="65B8D2D3">
        <w:trPr>
          <w:gridAfter w:val="1"/>
          <w:jc w:val="center"/>
        </w:trPr>
        <w:tc>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18"/>
                <w:szCs w:val="18"/>
              </w:rPr>
            </w:pPr>
          </w:p>
        </w:tc>
        <w:tc>
          <w:tcPr>
            <w:tcBorders>
              <w:top w:val="nil"/>
              <w:left w:val="nil"/>
              <w:bottom w:val="nil"/>
              <w:right w:val="single" w:color="D9E7ED" w:sz="6" w:space="0"/>
            </w:tcBorders>
            <w:tcMar>
              <w:top w:w="75" w:type="dxa"/>
              <w:left w:w="100" w:type="dxa"/>
              <w:bottom w:w="75" w:type="dxa"/>
              <w:right w:w="100" w:type="dxa"/>
            </w:tcMar>
          </w:tcPr>
          <w:p w14:paraId="00000036">
            <w:pPr>
              <w:spacing w:after="30"/>
              <w:rPr>
                <w:sz w:val="18"/>
                <w:szCs w:val="18"/>
              </w:rPr>
            </w:pPr>
            <w:r>
              <w:rPr>
                <w:color w:val="000000"/>
                <w:sz w:val="18"/>
                <w:szCs w:val="18"/>
                <w:rtl w:val="0"/>
              </w:rPr>
              <w:t>4.2. Клиент вправе отозвать неисполненную инструкцию только при условии, что платеж не был осуществлен Агентом Банку. В случае, если отзыв произошёл после наступления любого из событий, указанных п. 2.2, комиссия по поручению подлежит оплате Клиентом в любом случае.</w:t>
            </w:r>
          </w:p>
        </w:tc>
        <w:tc>
          <w:tcPr>
            <w:tcBorders>
              <w:top w:val="nil"/>
              <w:left w:val="nil"/>
              <w:bottom w:val="nil"/>
              <w:right w:val="nil"/>
            </w:tcBorders>
            <w:tcMar>
              <w:top w:w="75" w:type="dxa"/>
              <w:left w:w="100" w:type="dxa"/>
              <w:bottom w:w="75" w:type="dxa"/>
              <w:right w:w="100" w:type="dxa"/>
            </w:tcMar>
          </w:tcPr>
          <w:p w14:paraId="00000037">
            <w:pPr>
              <w:spacing w:after="30"/>
              <w:rPr>
                <w:sz w:val="18"/>
                <w:szCs w:val="18"/>
              </w:rPr>
            </w:pPr>
            <w:r>
              <w:rPr>
                <w:color w:val="000000"/>
                <w:sz w:val="18"/>
                <w:szCs w:val="18"/>
                <w:rtl w:val="0"/>
              </w:rPr>
              <w:t>4.2. The Client is entitled to revoke an unfulfilled instruction only provided that the payment has not been made by the Agent to the Bank. If the revocation takes place after the occurrence of any of the events specified in clause 2.2, the commission for the instruction shall be payable by the Client in any event.</w:t>
            </w:r>
          </w:p>
        </w:tc>
      </w:tr>
      <w:tr w14:paraId="4AE9C406">
        <w:trPr>
          <w:gridAfter w:val="1"/>
          <w:jc w:val="center"/>
        </w:trPr>
        <w:tc>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18"/>
                <w:szCs w:val="18"/>
              </w:rPr>
            </w:pPr>
          </w:p>
        </w:tc>
        <w:tc>
          <w:tcPr>
            <w:tcBorders>
              <w:top w:val="nil"/>
              <w:left w:val="nil"/>
              <w:bottom w:val="nil"/>
              <w:right w:val="single" w:color="D9E7ED" w:sz="6" w:space="0"/>
            </w:tcBorders>
            <w:tcMar>
              <w:top w:w="75" w:type="dxa"/>
              <w:left w:w="100" w:type="dxa"/>
              <w:bottom w:w="75" w:type="dxa"/>
              <w:right w:w="100" w:type="dxa"/>
            </w:tcMar>
          </w:tcPr>
          <w:p w14:paraId="00000039">
            <w:pPr>
              <w:spacing w:after="30"/>
              <w:rPr>
                <w:color w:val="000000"/>
                <w:sz w:val="18"/>
                <w:szCs w:val="18"/>
              </w:rPr>
            </w:pPr>
            <w:r>
              <w:rPr>
                <w:color w:val="000000"/>
                <w:sz w:val="18"/>
                <w:szCs w:val="18"/>
                <w:rtl w:val="0"/>
              </w:rPr>
              <w:t>4.3. После направления платежа, отзыв возможен только при согласии банка и/или получателя; соответствующие расходы несет Клиент, которые подлежат удержанию из суммы возврата.</w:t>
            </w:r>
          </w:p>
        </w:tc>
        <w:tc>
          <w:tcPr>
            <w:tcBorders>
              <w:top w:val="nil"/>
              <w:left w:val="nil"/>
              <w:bottom w:val="nil"/>
              <w:right w:val="nil"/>
            </w:tcBorders>
            <w:tcMar>
              <w:top w:w="75" w:type="dxa"/>
              <w:left w:w="100" w:type="dxa"/>
              <w:bottom w:w="75" w:type="dxa"/>
              <w:right w:w="100" w:type="dxa"/>
            </w:tcMar>
          </w:tcPr>
          <w:p w14:paraId="0000003A">
            <w:pPr>
              <w:spacing w:after="30"/>
              <w:rPr>
                <w:color w:val="000000"/>
                <w:sz w:val="18"/>
                <w:szCs w:val="18"/>
              </w:rPr>
            </w:pPr>
            <w:r>
              <w:rPr>
                <w:color w:val="000000"/>
                <w:sz w:val="18"/>
                <w:szCs w:val="18"/>
                <w:rtl w:val="0"/>
              </w:rPr>
              <w:t>4.3. Once a payment has been made, it can only be reversed with the consent of the bank and/or the recipient; any associated costs shall be borne by the Client and will be deducted from the refund amount.</w:t>
            </w:r>
          </w:p>
        </w:tc>
      </w:tr>
      <w:tr w14:paraId="169A14F8">
        <w:trPr>
          <w:gridAfter w:val="1"/>
          <w:jc w:val="center"/>
        </w:trPr>
        <w:tc>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color w:val="000000"/>
                <w:sz w:val="18"/>
                <w:szCs w:val="18"/>
              </w:rPr>
            </w:pPr>
          </w:p>
        </w:tc>
        <w:tc>
          <w:tcPr>
            <w:tcBorders>
              <w:top w:val="nil"/>
              <w:left w:val="nil"/>
              <w:bottom w:val="nil"/>
              <w:right w:val="single" w:color="D9E7ED" w:sz="6" w:space="0"/>
            </w:tcBorders>
            <w:tcMar>
              <w:top w:w="75" w:type="dxa"/>
              <w:left w:w="100" w:type="dxa"/>
              <w:bottom w:w="75" w:type="dxa"/>
              <w:right w:w="100" w:type="dxa"/>
            </w:tcMar>
          </w:tcPr>
          <w:p w14:paraId="0000003C">
            <w:pPr>
              <w:spacing w:after="30"/>
              <w:rPr>
                <w:sz w:val="18"/>
                <w:szCs w:val="18"/>
              </w:rPr>
            </w:pPr>
            <w:r>
              <w:rPr>
                <w:sz w:val="18"/>
                <w:szCs w:val="18"/>
                <w:rtl w:val="0"/>
              </w:rPr>
              <w:t>4.4. При отказе банка или платёжного партнёра, невозможности исполнения по результатам комплаенс-проверки, ошибке реквизитов либо иной невозможности исполнения Агент возвращает, если такой возврат возможен, Клиенту неиспользованный остаток за вычетом: (i) согласованной комиссии за фактически оказанные услуги; и (ii) заранее раскрытых и документально подтверждённых невозвратных банковских и иных расходов третьих лиц.</w:t>
            </w:r>
            <w:r>
              <w:rPr>
                <w:sz w:val="18"/>
                <w:szCs w:val="18"/>
                <w:rtl w:val="0"/>
              </w:rPr>
              <w:br w:type="textWrapping"/>
            </w:r>
            <w:r>
              <w:rPr>
                <w:sz w:val="18"/>
                <w:szCs w:val="18"/>
                <w:rtl w:val="0"/>
              </w:rPr>
              <w:br w:type="textWrapping"/>
            </w:r>
            <w:r>
              <w:rPr>
                <w:sz w:val="18"/>
                <w:szCs w:val="18"/>
                <w:rtl w:val="0"/>
              </w:rPr>
              <w:t>Неиспользованным остатком признаются средства, не перечисленные получателю и не использованные для оплаты указанных комиссии и расходов.</w:t>
            </w:r>
            <w:r>
              <w:rPr>
                <w:sz w:val="18"/>
                <w:szCs w:val="18"/>
                <w:rtl w:val="0"/>
              </w:rPr>
              <w:br w:type="textWrapping"/>
            </w:r>
            <w:r>
              <w:rPr>
                <w:sz w:val="18"/>
                <w:szCs w:val="18"/>
                <w:rtl w:val="0"/>
              </w:rPr>
              <w:br w:type="textWrapping"/>
            </w:r>
            <w:r>
              <w:rPr>
                <w:sz w:val="18"/>
                <w:szCs w:val="18"/>
                <w:rtl w:val="0"/>
              </w:rPr>
              <w:t>Возврат производится в течение 5 (пяти) рабочих дней с даты, когда Агент получил возвращённые средства от банка или платёжного партнёра либо когда стало окончательно известно, что исполнение невозможно. Возврат осуществляется на исходный счёт или кошелёк плательщика, если это законно и технически возможно; в иных случаях — на верифицированные реквизиты Клиента, согласованные Сторонами письменно. Валюта возврата определяется валютой фактически сохранившегося остатка после исполнения или отмены платежа, если Стороны письменно не согласовали иное.</w:t>
            </w:r>
          </w:p>
        </w:tc>
        <w:tc>
          <w:tcPr>
            <w:tcBorders>
              <w:top w:val="nil"/>
              <w:left w:val="nil"/>
              <w:bottom w:val="nil"/>
              <w:right w:val="nil"/>
            </w:tcBorders>
            <w:tcMar>
              <w:top w:w="75" w:type="dxa"/>
              <w:left w:w="100" w:type="dxa"/>
              <w:bottom w:w="75" w:type="dxa"/>
              <w:right w:w="100" w:type="dxa"/>
            </w:tcMar>
          </w:tcPr>
          <w:p w14:paraId="0000003D">
            <w:pPr>
              <w:spacing w:after="30"/>
              <w:rPr>
                <w:color w:val="000000"/>
                <w:sz w:val="18"/>
                <w:szCs w:val="18"/>
              </w:rPr>
            </w:pPr>
            <w:r>
              <w:rPr>
                <w:sz w:val="18"/>
                <w:szCs w:val="18"/>
                <w:rtl w:val="0"/>
              </w:rPr>
              <w:t>4.4. In the event of a refusal by the bank or payment partner, an inability to execute the transaction following a compliance check, an error in the payment details, or any other reason preventing execution, the Agent shall, where such a refund is possible, return the unused balance to the Client, less: (i) the agreed fee for services actually rendered; and (ii) any non-refundable bank charges and other third-party costs that have been disclosed in advance and are supported by documentary evidence.</w:t>
            </w:r>
            <w:r>
              <w:rPr>
                <w:sz w:val="18"/>
                <w:szCs w:val="18"/>
                <w:rtl w:val="0"/>
              </w:rPr>
              <w:br w:type="textWrapping"/>
            </w:r>
            <w:r>
              <w:rPr>
                <w:sz w:val="18"/>
                <w:szCs w:val="18"/>
                <w:rtl w:val="0"/>
              </w:rPr>
              <w:br w:type="textWrapping"/>
            </w:r>
            <w:r>
              <w:rPr>
                <w:sz w:val="18"/>
                <w:szCs w:val="18"/>
                <w:rtl w:val="0"/>
              </w:rPr>
              <w:t>“Unused balance” means funds not remitted to the recipient and not used to pay such fee and costs.</w:t>
            </w:r>
            <w:r>
              <w:rPr>
                <w:sz w:val="18"/>
                <w:szCs w:val="18"/>
                <w:rtl w:val="0"/>
              </w:rPr>
              <w:br w:type="textWrapping"/>
            </w:r>
            <w:r>
              <w:rPr>
                <w:sz w:val="18"/>
                <w:szCs w:val="18"/>
                <w:rtl w:val="0"/>
              </w:rPr>
              <w:br w:type="textWrapping"/>
            </w:r>
            <w:r>
              <w:rPr>
                <w:sz w:val="18"/>
                <w:szCs w:val="18"/>
                <w:rtl w:val="0"/>
              </w:rPr>
              <w:t>The refund shall be made within 5 (five) Business Days after the Agent receives returned funds from the bank or payment partner, or after it becomes finally known that execution is impossible. The refund shall be made to the original payer’s account or wallet where lawful and technically possible; otherwise, to the Client’s verified payment details agreed by the Parties in writing. The refund currency shall be the currency of the balance actually remaining after execution or cancellation of the payment, unless otherwise agreed by the Parties in writing.</w:t>
            </w:r>
          </w:p>
          <w:p w14:paraId="0000003E">
            <w:pPr>
              <w:spacing w:after="30"/>
              <w:rPr>
                <w:sz w:val="18"/>
                <w:szCs w:val="18"/>
              </w:rPr>
            </w:pPr>
          </w:p>
        </w:tc>
      </w:tr>
      <w:tr w14:paraId="51D03D3D">
        <w:trPr>
          <w:gridAfter w:val="1"/>
          <w:jc w:val="center"/>
        </w:trPr>
        <w:tc>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18"/>
                <w:szCs w:val="18"/>
              </w:rPr>
            </w:pPr>
          </w:p>
        </w:tc>
        <w:tc>
          <w:tcPr>
            <w:tcBorders>
              <w:top w:val="nil"/>
              <w:left w:val="nil"/>
              <w:bottom w:val="nil"/>
              <w:right w:val="single" w:color="D9E7ED" w:sz="6" w:space="0"/>
            </w:tcBorders>
            <w:tcMar>
              <w:top w:w="75" w:type="dxa"/>
              <w:left w:w="100" w:type="dxa"/>
              <w:bottom w:w="75" w:type="dxa"/>
              <w:right w:w="100" w:type="dxa"/>
            </w:tcMar>
          </w:tcPr>
          <w:p w14:paraId="00000040">
            <w:pPr>
              <w:spacing w:before="100" w:after="30"/>
              <w:rPr>
                <w:b/>
                <w:bCs/>
                <w:color w:val="007FAE"/>
                <w:sz w:val="19"/>
                <w:szCs w:val="19"/>
              </w:rPr>
            </w:pPr>
            <w:r>
              <w:rPr>
                <w:sz w:val="18"/>
                <w:szCs w:val="18"/>
                <w:rtl w:val="0"/>
              </w:rPr>
              <w:t>4.5. Стороны отдельно оговорили,  если возврат денежных средств полностью или частично невозможен либо задерживается по причинам, не зависящим от Агента, включая ограничения или отказ банка, платежного партнера, платежной системы либо иного участника платежного маршрута, блокировку денежных средств, требования государственных органов, санкционные или иные обязательные ограничения, Агент не несет ответственности за невозможность или задержку возврата при условии, что такие обстоятельства не вызваны виновными действиями или бездействием Агента.</w:t>
            </w:r>
          </w:p>
        </w:tc>
        <w:tc>
          <w:tcPr>
            <w:tcBorders>
              <w:top w:val="nil"/>
              <w:left w:val="nil"/>
              <w:bottom w:val="nil"/>
              <w:right w:val="nil"/>
            </w:tcBorders>
            <w:tcMar>
              <w:top w:w="75" w:type="dxa"/>
              <w:left w:w="100" w:type="dxa"/>
              <w:bottom w:w="75" w:type="dxa"/>
              <w:right w:w="100" w:type="dxa"/>
            </w:tcMar>
          </w:tcPr>
          <w:p w14:paraId="00000041">
            <w:pPr>
              <w:spacing w:before="100" w:after="30"/>
              <w:rPr>
                <w:b/>
                <w:bCs/>
                <w:color w:val="007FAE"/>
                <w:sz w:val="19"/>
                <w:szCs w:val="19"/>
              </w:rPr>
            </w:pPr>
            <w:r>
              <w:rPr>
                <w:sz w:val="18"/>
                <w:szCs w:val="18"/>
                <w:rtl w:val="0"/>
              </w:rPr>
              <w:t>4.5. The parties have specifically agreed that, should a refund be wholly or partially impossible or delayed for reasons beyond the Agent’s control, including restrictions or refusals by a bank, payment partner, payment system or other participant in the payment route, the freezing of funds, requirements imposed by government authorities, sanctions or other mandatory restrictions, the Agent shall not be liable for the failure or delay in the refund, provided that such circumstances are not caused by the Agent’s wrongful acts or omissions.</w:t>
            </w:r>
          </w:p>
        </w:tc>
      </w:tr>
      <w:tr w14:paraId="38A06C4E">
        <w:trPr>
          <w:gridAfter w:val="1"/>
          <w:jc w:val="center"/>
        </w:trPr>
        <w:tc>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bCs/>
                <w:color w:val="007FAE"/>
                <w:sz w:val="19"/>
                <w:szCs w:val="19"/>
              </w:rPr>
            </w:pPr>
          </w:p>
        </w:tc>
        <w:tc>
          <w:tcPr>
            <w:tcBorders>
              <w:top w:val="nil"/>
              <w:left w:val="nil"/>
              <w:bottom w:val="nil"/>
              <w:right w:val="single" w:color="D9E7ED" w:sz="6" w:space="0"/>
            </w:tcBorders>
            <w:tcMar>
              <w:top w:w="75" w:type="dxa"/>
              <w:left w:w="100" w:type="dxa"/>
              <w:bottom w:w="75" w:type="dxa"/>
              <w:right w:w="100" w:type="dxa"/>
            </w:tcMar>
          </w:tcPr>
          <w:p w14:paraId="00000043">
            <w:pPr>
              <w:spacing w:before="100" w:after="30"/>
            </w:pPr>
            <w:r>
              <w:rPr>
                <w:b/>
                <w:bCs/>
                <w:color w:val="007FAE"/>
                <w:sz w:val="19"/>
                <w:szCs w:val="19"/>
                <w:rtl w:val="0"/>
              </w:rPr>
              <w:t>5. КОМПЛАЕНС И ДОСТОВЕРНОСТЬ</w:t>
            </w:r>
          </w:p>
        </w:tc>
        <w:tc>
          <w:tcPr>
            <w:tcBorders>
              <w:top w:val="nil"/>
              <w:left w:val="nil"/>
              <w:bottom w:val="nil"/>
              <w:right w:val="nil"/>
            </w:tcBorders>
            <w:tcMar>
              <w:top w:w="75" w:type="dxa"/>
              <w:left w:w="100" w:type="dxa"/>
              <w:bottom w:w="75" w:type="dxa"/>
              <w:right w:w="100" w:type="dxa"/>
            </w:tcMar>
          </w:tcPr>
          <w:p w14:paraId="00000044">
            <w:pPr>
              <w:spacing w:before="100" w:after="30"/>
            </w:pPr>
            <w:r>
              <w:rPr>
                <w:b/>
                <w:bCs/>
                <w:color w:val="007FAE"/>
                <w:sz w:val="19"/>
                <w:szCs w:val="19"/>
                <w:rtl w:val="0"/>
              </w:rPr>
              <w:t>5. COMPLIANCE AND ACCURACY</w:t>
            </w:r>
          </w:p>
        </w:tc>
      </w:tr>
      <w:tr w14:paraId="58175558">
        <w:trPr>
          <w:gridAfter w:val="1"/>
          <w:jc w:val="center"/>
        </w:trPr>
        <w:tc>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Borders>
              <w:top w:val="nil"/>
              <w:left w:val="nil"/>
              <w:bottom w:val="nil"/>
              <w:right w:val="single" w:color="D9E7ED" w:sz="6" w:space="0"/>
            </w:tcBorders>
            <w:tcMar>
              <w:top w:w="75" w:type="dxa"/>
              <w:left w:w="100" w:type="dxa"/>
              <w:bottom w:w="75" w:type="dxa"/>
              <w:right w:w="100" w:type="dxa"/>
            </w:tcMar>
          </w:tcPr>
          <w:p w14:paraId="00000046">
            <w:pPr>
              <w:spacing w:after="30"/>
              <w:rPr>
                <w:sz w:val="18"/>
                <w:szCs w:val="18"/>
              </w:rPr>
            </w:pPr>
            <w:r>
              <w:rPr>
                <w:color w:val="000000"/>
                <w:sz w:val="18"/>
                <w:szCs w:val="18"/>
                <w:rtl w:val="0"/>
              </w:rPr>
              <w:t>5.1. Агент вправе запросить документы Клиента, подтверждение источника средств, сведения о плательщике/получателе и иные материалы, необходимые для банковской, санкционной, AML/KYC или внутренней проверки.</w:t>
            </w:r>
          </w:p>
        </w:tc>
        <w:tc>
          <w:tcPr>
            <w:tcBorders>
              <w:top w:val="nil"/>
              <w:left w:val="nil"/>
              <w:bottom w:val="nil"/>
              <w:right w:val="nil"/>
            </w:tcBorders>
            <w:tcMar>
              <w:top w:w="75" w:type="dxa"/>
              <w:left w:w="100" w:type="dxa"/>
              <w:bottom w:w="75" w:type="dxa"/>
              <w:right w:w="100" w:type="dxa"/>
            </w:tcMar>
          </w:tcPr>
          <w:p w14:paraId="00000047">
            <w:pPr>
              <w:spacing w:after="30"/>
              <w:rPr>
                <w:sz w:val="18"/>
                <w:szCs w:val="18"/>
              </w:rPr>
            </w:pPr>
            <w:r>
              <w:rPr>
                <w:color w:val="000000"/>
                <w:sz w:val="18"/>
                <w:szCs w:val="18"/>
                <w:rtl w:val="0"/>
              </w:rPr>
              <w:t>The Agent may request Client documents, source-of-funds confirmation, payer/recipient information, and other materials required for banking, sanctions, AML/KYC, or internal review.</w:t>
            </w:r>
          </w:p>
        </w:tc>
      </w:tr>
      <w:tr w14:paraId="688F358D">
        <w:trPr>
          <w:gridAfter w:val="1"/>
          <w:jc w:val="center"/>
        </w:trPr>
        <w:tc>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18"/>
                <w:szCs w:val="18"/>
              </w:rPr>
            </w:pPr>
          </w:p>
        </w:tc>
        <w:tc>
          <w:tcPr>
            <w:tcBorders>
              <w:top w:val="nil"/>
              <w:left w:val="nil"/>
              <w:bottom w:val="nil"/>
              <w:right w:val="single" w:color="D9E7ED" w:sz="6" w:space="0"/>
            </w:tcBorders>
            <w:tcMar>
              <w:top w:w="75" w:type="dxa"/>
              <w:left w:w="100" w:type="dxa"/>
              <w:bottom w:w="75" w:type="dxa"/>
              <w:right w:w="100" w:type="dxa"/>
            </w:tcMar>
          </w:tcPr>
          <w:p w14:paraId="00000049">
            <w:pPr>
              <w:spacing w:after="30"/>
              <w:rPr>
                <w:sz w:val="18"/>
                <w:szCs w:val="18"/>
              </w:rPr>
            </w:pPr>
            <w:r>
              <w:rPr>
                <w:color w:val="000000"/>
                <w:sz w:val="18"/>
                <w:szCs w:val="18"/>
                <w:rtl w:val="0"/>
              </w:rPr>
              <w:t>5.2. Агент вправе приостановить, отклонить или не исполнять инструкцию при неполных документах, обоснованных сомнениях, несоответствии требованиям банка/применимым ограничениям или риске нарушения права. Такое действие не является нарушением при добросовестности Агента.</w:t>
            </w:r>
          </w:p>
        </w:tc>
        <w:tc>
          <w:tcPr>
            <w:tcBorders>
              <w:top w:val="nil"/>
              <w:left w:val="nil"/>
              <w:bottom w:val="nil"/>
              <w:right w:val="nil"/>
            </w:tcBorders>
            <w:tcMar>
              <w:top w:w="75" w:type="dxa"/>
              <w:left w:w="100" w:type="dxa"/>
              <w:bottom w:w="75" w:type="dxa"/>
              <w:right w:w="100" w:type="dxa"/>
            </w:tcMar>
          </w:tcPr>
          <w:p w14:paraId="0000004A">
            <w:pPr>
              <w:spacing w:after="30"/>
              <w:rPr>
                <w:sz w:val="18"/>
                <w:szCs w:val="18"/>
              </w:rPr>
            </w:pPr>
            <w:r>
              <w:rPr>
                <w:color w:val="000000"/>
                <w:sz w:val="18"/>
                <w:szCs w:val="18"/>
                <w:rtl w:val="0"/>
              </w:rPr>
              <w:t>The Agent may suspend, decline, or not execute an instruction if documents are incomplete, there are reasonable concerns, bank requirements or applicable restrictions are not met, or there is a risk of legal breach. Such action is not a breach if taken in good faith.</w:t>
            </w:r>
          </w:p>
        </w:tc>
      </w:tr>
      <w:tr w14:paraId="442FB95E">
        <w:trPr>
          <w:gridAfter w:val="1"/>
          <w:jc w:val="center"/>
        </w:trPr>
        <w:tc>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18"/>
                <w:szCs w:val="18"/>
              </w:rPr>
            </w:pPr>
          </w:p>
        </w:tc>
        <w:tc>
          <w:tcPr>
            <w:tcBorders>
              <w:top w:val="nil"/>
              <w:left w:val="nil"/>
              <w:bottom w:val="nil"/>
              <w:right w:val="single" w:color="D9E7ED" w:sz="6" w:space="0"/>
            </w:tcBorders>
            <w:tcMar>
              <w:top w:w="75" w:type="dxa"/>
              <w:left w:w="100" w:type="dxa"/>
              <w:bottom w:w="75" w:type="dxa"/>
              <w:right w:w="100" w:type="dxa"/>
            </w:tcMar>
          </w:tcPr>
          <w:p w14:paraId="0000004C">
            <w:pPr>
              <w:spacing w:after="30"/>
              <w:rPr>
                <w:sz w:val="18"/>
                <w:szCs w:val="18"/>
              </w:rPr>
            </w:pPr>
            <w:r>
              <w:rPr>
                <w:color w:val="000000"/>
                <w:sz w:val="18"/>
                <w:szCs w:val="18"/>
                <w:rtl w:val="0"/>
              </w:rPr>
              <w:t>5.3. Клиент гарантирует точность и полноту сведений и несет риск их недостоверности, включая отказ банка, задержку, возврат платежа и расходы.</w:t>
            </w:r>
          </w:p>
        </w:tc>
        <w:tc>
          <w:tcPr>
            <w:tcBorders>
              <w:top w:val="nil"/>
              <w:left w:val="nil"/>
              <w:bottom w:val="nil"/>
              <w:right w:val="nil"/>
            </w:tcBorders>
            <w:tcMar>
              <w:top w:w="75" w:type="dxa"/>
              <w:left w:w="100" w:type="dxa"/>
              <w:bottom w:w="75" w:type="dxa"/>
              <w:right w:w="100" w:type="dxa"/>
            </w:tcMar>
          </w:tcPr>
          <w:p w14:paraId="0000004D">
            <w:pPr>
              <w:spacing w:after="30"/>
              <w:rPr>
                <w:sz w:val="18"/>
                <w:szCs w:val="18"/>
              </w:rPr>
            </w:pPr>
            <w:r>
              <w:rPr>
                <w:color w:val="000000"/>
                <w:sz w:val="18"/>
                <w:szCs w:val="18"/>
                <w:rtl w:val="0"/>
              </w:rPr>
              <w:t>The Client warrants the accuracy and completeness of information and bears the risk of its inaccuracy, including bank refusal, delay, returned payment, and costs.</w:t>
            </w:r>
          </w:p>
        </w:tc>
      </w:tr>
      <w:tr w14:paraId="4824FD8A">
        <w:trPr>
          <w:gridAfter w:val="1"/>
          <w:jc w:val="center"/>
        </w:trPr>
        <w:tc>
          <w:p w14:paraId="67AD6D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18"/>
                <w:szCs w:val="18"/>
              </w:rPr>
            </w:pPr>
            <w:bookmarkStart w:id="0" w:name="_GoBack" w:colFirst="1" w:colLast="2"/>
          </w:p>
        </w:tc>
        <w:tc>
          <w:tcPr>
            <w:tcBorders>
              <w:top w:val="nil"/>
              <w:left w:val="nil"/>
              <w:bottom w:val="nil"/>
              <w:right w:val="single" w:color="D9E7ED" w:sz="6" w:space="0"/>
            </w:tcBorders>
            <w:tcMar>
              <w:top w:w="75" w:type="dxa"/>
              <w:left w:w="100" w:type="dxa"/>
              <w:bottom w:w="75" w:type="dxa"/>
              <w:right w:w="100" w:type="dxa"/>
            </w:tcMar>
          </w:tcPr>
          <w:p w14:paraId="31D8DBFB">
            <w:pPr>
              <w:spacing w:after="30"/>
              <w:rPr>
                <w:color w:val="000000"/>
                <w:sz w:val="18"/>
                <w:szCs w:val="18"/>
                <w:rtl w:val="0"/>
              </w:rPr>
            </w:pPr>
            <w:r>
              <w:rPr>
                <w:rFonts w:hint="default"/>
                <w:color w:val="000000"/>
                <w:sz w:val="18"/>
                <w:szCs w:val="18"/>
                <w:rtl w:val="0"/>
              </w:rPr>
              <w:t>5.4. Клиент подтверждает и гарантирует, что денежные средства, используемые для исполнения Payment Instruction, имеют законное происхождение, получены из легальных источников и не связаны с преступной деятельностью, легализацией (отмыванием) доходов, финансированием терроризма или иной запрещённой деятельностью. Клиент несёт ответственность за достоверность указанного заверения и последствия предоставления недостоверной информации.</w:t>
            </w:r>
          </w:p>
        </w:tc>
        <w:tc>
          <w:tcPr>
            <w:tcBorders>
              <w:top w:val="nil"/>
              <w:left w:val="nil"/>
              <w:bottom w:val="nil"/>
              <w:right w:val="nil"/>
            </w:tcBorders>
            <w:tcMar>
              <w:top w:w="75" w:type="dxa"/>
              <w:left w:w="100" w:type="dxa"/>
              <w:bottom w:w="75" w:type="dxa"/>
              <w:right w:w="100" w:type="dxa"/>
            </w:tcMar>
          </w:tcPr>
          <w:p w14:paraId="2735E45A">
            <w:pPr>
              <w:spacing w:after="30"/>
              <w:rPr>
                <w:color w:val="000000"/>
                <w:sz w:val="18"/>
                <w:szCs w:val="18"/>
                <w:rtl w:val="0"/>
              </w:rPr>
            </w:pPr>
            <w:r>
              <w:rPr>
                <w:rFonts w:hint="default"/>
                <w:color w:val="000000"/>
                <w:sz w:val="18"/>
                <w:szCs w:val="18"/>
                <w:rtl w:val="0"/>
              </w:rPr>
              <w:t>5.4. The Client represents and warrants that the funds used for the execution of any Payment Instruction are of lawful origin, have been obtained from legitimate sources and are not connected with criminal activity, money laundering, terrorist financing or any other prohibited activity. The Client shall be responsible for the accuracy of this representation and for the consequences of providing false or misleading information.</w:t>
            </w:r>
          </w:p>
        </w:tc>
      </w:tr>
      <w:tr w14:paraId="2381513E">
        <w:trPr>
          <w:gridAfter w:val="1"/>
          <w:jc w:val="center"/>
        </w:trPr>
        <w:tc>
          <w:p w14:paraId="6F1EE8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18"/>
                <w:szCs w:val="18"/>
              </w:rPr>
            </w:pPr>
          </w:p>
        </w:tc>
        <w:tc>
          <w:tcPr>
            <w:tcBorders>
              <w:top w:val="nil"/>
              <w:left w:val="nil"/>
              <w:bottom w:val="nil"/>
              <w:right w:val="single" w:color="D9E7ED" w:sz="6" w:space="0"/>
            </w:tcBorders>
            <w:tcMar>
              <w:top w:w="75" w:type="dxa"/>
              <w:left w:w="100" w:type="dxa"/>
              <w:bottom w:w="75" w:type="dxa"/>
              <w:right w:w="100" w:type="dxa"/>
            </w:tcMar>
          </w:tcPr>
          <w:p w14:paraId="4B959BF7">
            <w:pPr>
              <w:spacing w:after="30"/>
              <w:rPr>
                <w:color w:val="000000"/>
                <w:sz w:val="18"/>
                <w:szCs w:val="18"/>
                <w:rtl w:val="0"/>
              </w:rPr>
            </w:pPr>
            <w:r>
              <w:rPr>
                <w:rFonts w:hint="default"/>
                <w:color w:val="000000"/>
                <w:sz w:val="18"/>
                <w:szCs w:val="18"/>
                <w:rtl w:val="0"/>
              </w:rPr>
              <w:t>5.5. Клиент подтверждает и гарантирует, что заключение Основной сделки, направление Payment Instruction и осуществление соответствующего платежа не нарушают применимое законодательство, санкционные или иные обязательные ограничения, требования валютного контроля, а также права третьих лиц. Клиент обязуется незамедлительно уведомить Агента о любых обстоятельствах, которые могут повлиять на законность или допустимость платежа.</w:t>
            </w:r>
          </w:p>
        </w:tc>
        <w:tc>
          <w:tcPr>
            <w:tcBorders>
              <w:top w:val="nil"/>
              <w:left w:val="nil"/>
              <w:bottom w:val="nil"/>
              <w:right w:val="nil"/>
            </w:tcBorders>
            <w:tcMar>
              <w:top w:w="75" w:type="dxa"/>
              <w:left w:w="100" w:type="dxa"/>
              <w:bottom w:w="75" w:type="dxa"/>
              <w:right w:w="100" w:type="dxa"/>
            </w:tcMar>
          </w:tcPr>
          <w:p w14:paraId="76353639">
            <w:pPr>
              <w:spacing w:after="30"/>
              <w:rPr>
                <w:color w:val="000000"/>
                <w:sz w:val="18"/>
                <w:szCs w:val="18"/>
                <w:rtl w:val="0"/>
              </w:rPr>
            </w:pPr>
            <w:r>
              <w:rPr>
                <w:rFonts w:hint="default"/>
                <w:color w:val="000000"/>
                <w:sz w:val="18"/>
                <w:szCs w:val="18"/>
                <w:rtl w:val="0"/>
              </w:rPr>
              <w:t>5.5. The Client represents and warrants that the Underlying Transaction, the issuance of any Payment Instruction and the relevant payment do not violate applicable laws, sanctions or other mandatory restrictions, foreign exchange control requirements, or the rights of any third party. The Client shall promptly notify the Agent of any circumstances that may affect the legality or permissibility of the payment.</w:t>
            </w:r>
          </w:p>
        </w:tc>
      </w:tr>
      <w:tr w14:paraId="75B02A76">
        <w:trPr>
          <w:gridAfter w:val="1"/>
          <w:jc w:val="center"/>
        </w:trPr>
        <w:tc>
          <w:p w14:paraId="4F324F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18"/>
                <w:szCs w:val="18"/>
              </w:rPr>
            </w:pPr>
          </w:p>
        </w:tc>
        <w:tc>
          <w:tcPr>
            <w:tcBorders>
              <w:top w:val="nil"/>
              <w:left w:val="nil"/>
              <w:bottom w:val="nil"/>
              <w:right w:val="single" w:color="D9E7ED" w:sz="6" w:space="0"/>
            </w:tcBorders>
            <w:tcMar>
              <w:top w:w="75" w:type="dxa"/>
              <w:left w:w="100" w:type="dxa"/>
              <w:bottom w:w="75" w:type="dxa"/>
              <w:right w:w="100" w:type="dxa"/>
            </w:tcMar>
          </w:tcPr>
          <w:p w14:paraId="051D86DD">
            <w:pPr>
              <w:spacing w:after="30"/>
              <w:rPr>
                <w:color w:val="000000"/>
                <w:sz w:val="18"/>
                <w:szCs w:val="18"/>
                <w:rtl w:val="0"/>
              </w:rPr>
            </w:pPr>
            <w:r>
              <w:rPr>
                <w:rFonts w:hint="default"/>
                <w:color w:val="000000"/>
                <w:sz w:val="18"/>
                <w:szCs w:val="18"/>
                <w:rtl w:val="0"/>
              </w:rPr>
              <w:t>5.6. Стороны обязуются соблюдать применимые к ним требования законодательства и обязательные правила в сфере противодействия легализации (отмыванию) доходов, финансированию терроризма (AML/CTF), санкционного регулирования, валютного контроля и банковского комплаенса. Клиент обязуется по разумному запросу Агента своевременно предоставлять документы и сведения, необходимые для проведения соответствующих проверок.</w:t>
            </w:r>
          </w:p>
        </w:tc>
        <w:tc>
          <w:tcPr>
            <w:tcBorders>
              <w:top w:val="nil"/>
              <w:left w:val="nil"/>
              <w:bottom w:val="nil"/>
              <w:right w:val="nil"/>
            </w:tcBorders>
            <w:tcMar>
              <w:top w:w="75" w:type="dxa"/>
              <w:left w:w="100" w:type="dxa"/>
              <w:bottom w:w="75" w:type="dxa"/>
              <w:right w:w="100" w:type="dxa"/>
            </w:tcMar>
          </w:tcPr>
          <w:p w14:paraId="3AF29A83">
            <w:pPr>
              <w:spacing w:after="30"/>
              <w:rPr>
                <w:color w:val="000000"/>
                <w:sz w:val="18"/>
                <w:szCs w:val="18"/>
                <w:rtl w:val="0"/>
              </w:rPr>
            </w:pPr>
            <w:r>
              <w:rPr>
                <w:rFonts w:hint="default"/>
                <w:color w:val="000000"/>
                <w:sz w:val="18"/>
                <w:szCs w:val="18"/>
                <w:rtl w:val="0"/>
              </w:rPr>
              <w:t>5.6. The Parties shall comply with all laws and mandatory requirements applicable to them relating to anti-money laundering and counter-terrorist financing (AML/CTF), sanctions compliance, foreign exchange control and banking compliance. Upon the Agent’s reasonable request, the Client shall promptly provide documents and information necessary for the relevant compliance checks.</w:t>
            </w:r>
          </w:p>
        </w:tc>
      </w:tr>
      <w:bookmarkEnd w:id="0"/>
      <w:tr w14:paraId="09C577F0">
        <w:trPr>
          <w:gridAfter w:val="1"/>
          <w:jc w:val="center"/>
        </w:trPr>
        <w:tc>
          <w:p w14:paraId="13C06A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18"/>
                <w:szCs w:val="18"/>
              </w:rPr>
            </w:pPr>
          </w:p>
        </w:tc>
        <w:tc>
          <w:tcPr>
            <w:tcBorders>
              <w:top w:val="nil"/>
              <w:left w:val="nil"/>
              <w:bottom w:val="nil"/>
              <w:right w:val="single" w:color="D9E7ED" w:sz="6" w:space="0"/>
            </w:tcBorders>
            <w:tcMar>
              <w:top w:w="75" w:type="dxa"/>
              <w:left w:w="100" w:type="dxa"/>
              <w:bottom w:w="75" w:type="dxa"/>
              <w:right w:w="100" w:type="dxa"/>
            </w:tcMar>
          </w:tcPr>
          <w:p w14:paraId="0000004F">
            <w:pPr>
              <w:spacing w:after="30"/>
              <w:rPr>
                <w:sz w:val="18"/>
                <w:szCs w:val="18"/>
              </w:rPr>
            </w:pPr>
            <w:r>
              <w:rPr>
                <w:color w:val="000000"/>
                <w:sz w:val="18"/>
                <w:szCs w:val="18"/>
                <w:rtl w:val="0"/>
              </w:rPr>
              <w:t>5.</w:t>
            </w:r>
            <w:r>
              <w:rPr>
                <w:rFonts w:hint="default"/>
                <w:color w:val="000000"/>
                <w:sz w:val="18"/>
                <w:szCs w:val="18"/>
                <w:rtl w:val="0"/>
                <w:lang w:val="ru-RU"/>
              </w:rPr>
              <w:t>7</w:t>
            </w:r>
            <w:r>
              <w:rPr>
                <w:color w:val="000000"/>
                <w:sz w:val="18"/>
                <w:szCs w:val="18"/>
                <w:rtl w:val="0"/>
              </w:rPr>
              <w:t>. Клиент разрешает Агенту передавать копии документа, удостоверяющего личность, документов по Основной сделке, Payment Instruction и иных сведений, предоставленных Клиентом для исполнения инструкции, банку, платежному партнеру, привлеченному им провайдеру и получателю платежа — исключительно в объеме, необходимом для проверки и исполнения платежа. Если такой получатель запросит отдельное согласие или документ, Клиент предоставляет его без неоправданной задержки.</w:t>
            </w:r>
          </w:p>
        </w:tc>
        <w:tc>
          <w:tcPr>
            <w:tcBorders>
              <w:top w:val="nil"/>
              <w:left w:val="nil"/>
              <w:bottom w:val="nil"/>
              <w:right w:val="nil"/>
            </w:tcBorders>
            <w:tcMar>
              <w:top w:w="75" w:type="dxa"/>
              <w:left w:w="100" w:type="dxa"/>
              <w:bottom w:w="75" w:type="dxa"/>
              <w:right w:w="100" w:type="dxa"/>
            </w:tcMar>
          </w:tcPr>
          <w:p w14:paraId="00000050">
            <w:pPr>
              <w:spacing w:after="30"/>
              <w:rPr>
                <w:sz w:val="18"/>
                <w:szCs w:val="18"/>
              </w:rPr>
            </w:pPr>
            <w:r>
              <w:rPr>
                <w:color w:val="000000"/>
                <w:sz w:val="18"/>
                <w:szCs w:val="18"/>
                <w:rtl w:val="0"/>
              </w:rPr>
              <w:t>5.</w:t>
            </w:r>
            <w:r>
              <w:rPr>
                <w:rFonts w:hint="default"/>
                <w:color w:val="000000"/>
                <w:sz w:val="18"/>
                <w:szCs w:val="18"/>
                <w:rtl w:val="0"/>
                <w:lang w:val="ru-RU"/>
              </w:rPr>
              <w:t>7</w:t>
            </w:r>
            <w:r>
              <w:rPr>
                <w:color w:val="000000"/>
                <w:sz w:val="18"/>
                <w:szCs w:val="18"/>
                <w:rtl w:val="0"/>
              </w:rPr>
              <w:t>. The Client authorises the Agent to disclose copies of the Client’s identity document, Underlying Transaction documents, the Payment Instruction and other information provided by the Client for execution of an instruction to the bank, payment partner, its engaged provider and payment recipient, solely to the extent necessary to review and execute the payment. If such recipient requests a separate consent or document, the Client provides it without undue delay.</w:t>
            </w:r>
          </w:p>
        </w:tc>
      </w:tr>
      <w:tr w14:paraId="1BD6A7B1">
        <w:trPr>
          <w:gridAfter w:val="1"/>
          <w:jc w:val="center"/>
        </w:trPr>
        <w:tc>
          <w:p w14:paraId="000000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18"/>
                <w:szCs w:val="18"/>
              </w:rPr>
            </w:pPr>
          </w:p>
        </w:tc>
        <w:tc>
          <w:tcPr>
            <w:tcBorders>
              <w:top w:val="nil"/>
              <w:left w:val="nil"/>
              <w:bottom w:val="nil"/>
              <w:right w:val="single" w:color="D9E7ED" w:sz="6" w:space="0"/>
            </w:tcBorders>
            <w:tcMar>
              <w:top w:w="75" w:type="dxa"/>
              <w:left w:w="100" w:type="dxa"/>
              <w:bottom w:w="75" w:type="dxa"/>
              <w:right w:w="100" w:type="dxa"/>
            </w:tcMar>
          </w:tcPr>
          <w:p w14:paraId="00000052">
            <w:pPr>
              <w:spacing w:after="30"/>
              <w:rPr>
                <w:sz w:val="18"/>
                <w:szCs w:val="18"/>
              </w:rPr>
            </w:pPr>
            <w:r>
              <w:rPr>
                <w:color w:val="000000"/>
                <w:sz w:val="18"/>
                <w:szCs w:val="18"/>
                <w:rtl w:val="0"/>
              </w:rPr>
              <w:t>5.</w:t>
            </w:r>
            <w:r>
              <w:rPr>
                <w:rFonts w:hint="default"/>
                <w:color w:val="000000"/>
                <w:sz w:val="18"/>
                <w:szCs w:val="18"/>
                <w:rtl w:val="0"/>
                <w:lang w:val="ru-RU"/>
              </w:rPr>
              <w:t>8</w:t>
            </w:r>
            <w:r>
              <w:rPr>
                <w:color w:val="000000"/>
                <w:sz w:val="18"/>
                <w:szCs w:val="18"/>
                <w:rtl w:val="0"/>
              </w:rPr>
              <w:t>. Не позднее одного рабочего дня после направления платежа банку Агент направляет Клиенту доступное подтверждение. Не позднее пяти рабочих дней после исполнения или прекращения исполнения инструкции Агент предоставляет краткий отчёт: статус, сумму, комиссию/расходы и доступный банковский reference. Замечания к отчёту направляются в течение [5] рабочих дней.</w:t>
            </w:r>
          </w:p>
        </w:tc>
        <w:tc>
          <w:tcPr>
            <w:tcBorders>
              <w:top w:val="nil"/>
              <w:left w:val="nil"/>
              <w:bottom w:val="nil"/>
              <w:right w:val="nil"/>
            </w:tcBorders>
            <w:tcMar>
              <w:top w:w="75" w:type="dxa"/>
              <w:left w:w="100" w:type="dxa"/>
              <w:bottom w:w="75" w:type="dxa"/>
              <w:right w:w="100" w:type="dxa"/>
            </w:tcMar>
          </w:tcPr>
          <w:p w14:paraId="00000053">
            <w:pPr>
              <w:spacing w:after="30"/>
              <w:rPr>
                <w:sz w:val="18"/>
                <w:szCs w:val="18"/>
              </w:rPr>
            </w:pPr>
            <w:r>
              <w:rPr>
                <w:color w:val="000000"/>
                <w:sz w:val="18"/>
                <w:szCs w:val="18"/>
                <w:rtl w:val="0"/>
              </w:rPr>
              <w:t>5.</w:t>
            </w:r>
            <w:r>
              <w:rPr>
                <w:rFonts w:hint="default"/>
                <w:color w:val="000000"/>
                <w:sz w:val="18"/>
                <w:szCs w:val="18"/>
                <w:rtl w:val="0"/>
                <w:lang w:val="ru-RU"/>
              </w:rPr>
              <w:t>8</w:t>
            </w:r>
            <w:r>
              <w:rPr>
                <w:color w:val="000000"/>
                <w:sz w:val="18"/>
                <w:szCs w:val="18"/>
                <w:rtl w:val="0"/>
              </w:rPr>
              <w:t>. No later than one business day after submitting the payment to the bank, the Agent sends the Client available evidence. No later than five business days after execution or cessation of execution, the Agent provides a short report: status, amount, fee/costs and available bank reference. Comments on the report must be sent within [5] business days.</w:t>
            </w:r>
          </w:p>
        </w:tc>
      </w:tr>
      <w:tr w14:paraId="2E49780F">
        <w:trPr>
          <w:gridAfter w:val="1"/>
          <w:jc w:val="center"/>
        </w:trPr>
        <w:tc>
          <w:p w14:paraId="00000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18"/>
                <w:szCs w:val="18"/>
              </w:rPr>
            </w:pPr>
          </w:p>
        </w:tc>
        <w:tc>
          <w:tcPr>
            <w:tcBorders>
              <w:top w:val="nil"/>
              <w:left w:val="nil"/>
              <w:bottom w:val="nil"/>
              <w:right w:val="single" w:color="D9E7ED" w:sz="6" w:space="0"/>
            </w:tcBorders>
            <w:tcMar>
              <w:top w:w="75" w:type="dxa"/>
              <w:left w:w="100" w:type="dxa"/>
              <w:bottom w:w="75" w:type="dxa"/>
              <w:right w:w="100" w:type="dxa"/>
            </w:tcMar>
          </w:tcPr>
          <w:p w14:paraId="00000055">
            <w:pPr>
              <w:spacing w:after="30"/>
              <w:rPr>
                <w:sz w:val="18"/>
                <w:szCs w:val="18"/>
              </w:rPr>
            </w:pPr>
            <w:r>
              <w:rPr>
                <w:color w:val="000000"/>
                <w:sz w:val="18"/>
                <w:szCs w:val="18"/>
                <w:rtl w:val="0"/>
              </w:rPr>
              <w:t>5.</w:t>
            </w:r>
            <w:r>
              <w:rPr>
                <w:rFonts w:hint="default"/>
                <w:color w:val="000000"/>
                <w:sz w:val="18"/>
                <w:szCs w:val="18"/>
                <w:rtl w:val="0"/>
                <w:lang w:val="ru-RU"/>
              </w:rPr>
              <w:t>9</w:t>
            </w:r>
            <w:r>
              <w:rPr>
                <w:color w:val="000000"/>
                <w:sz w:val="18"/>
                <w:szCs w:val="18"/>
                <w:rtl w:val="0"/>
              </w:rPr>
              <w:t>. Денежные средства, полученные Агентом для исполнения конкретной Payment Instruction, не являются займом, вкладом или инвестициями Клиента в Агенте. Проценты на них не начисляются, если иное прямо не предусмотрено обязательными нормами применимого права.</w:t>
            </w:r>
          </w:p>
        </w:tc>
        <w:tc>
          <w:tcPr>
            <w:tcBorders>
              <w:top w:val="nil"/>
              <w:left w:val="nil"/>
              <w:bottom w:val="nil"/>
              <w:right w:val="nil"/>
            </w:tcBorders>
            <w:tcMar>
              <w:top w:w="75" w:type="dxa"/>
              <w:left w:w="100" w:type="dxa"/>
              <w:bottom w:w="75" w:type="dxa"/>
              <w:right w:w="100" w:type="dxa"/>
            </w:tcMar>
          </w:tcPr>
          <w:p w14:paraId="00000056">
            <w:pPr>
              <w:spacing w:after="30"/>
              <w:rPr>
                <w:sz w:val="18"/>
                <w:szCs w:val="18"/>
              </w:rPr>
            </w:pPr>
            <w:r>
              <w:rPr>
                <w:color w:val="000000"/>
                <w:sz w:val="18"/>
                <w:szCs w:val="18"/>
                <w:rtl w:val="0"/>
              </w:rPr>
              <w:t>5.</w:t>
            </w:r>
            <w:r>
              <w:rPr>
                <w:rFonts w:hint="default"/>
                <w:color w:val="000000"/>
                <w:sz w:val="18"/>
                <w:szCs w:val="18"/>
                <w:rtl w:val="0"/>
                <w:lang w:val="ru-RU"/>
              </w:rPr>
              <w:t>9</w:t>
            </w:r>
            <w:r>
              <w:rPr>
                <w:color w:val="000000"/>
                <w:sz w:val="18"/>
                <w:szCs w:val="18"/>
                <w:rtl w:val="0"/>
              </w:rPr>
              <w:t>. Funds received by the Agent for a specific Payment Instruction are not a loan, deposit or investment by the Client in the Agent. No interest accrues on them unless mandatory applicable law expressly provides otherwise.</w:t>
            </w:r>
          </w:p>
        </w:tc>
      </w:tr>
      <w:tr w14:paraId="020A1254">
        <w:trPr>
          <w:gridAfter w:val="1"/>
          <w:jc w:val="center"/>
        </w:trPr>
        <w:tc>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18"/>
                <w:szCs w:val="18"/>
              </w:rPr>
            </w:pPr>
          </w:p>
        </w:tc>
        <w:tc>
          <w:tcPr>
            <w:tcBorders>
              <w:top w:val="nil"/>
              <w:left w:val="nil"/>
              <w:bottom w:val="nil"/>
              <w:right w:val="single" w:color="D9E7ED" w:sz="6" w:space="0"/>
            </w:tcBorders>
            <w:tcMar>
              <w:top w:w="75" w:type="dxa"/>
              <w:left w:w="100" w:type="dxa"/>
              <w:bottom w:w="75" w:type="dxa"/>
              <w:right w:w="100" w:type="dxa"/>
            </w:tcMar>
          </w:tcPr>
          <w:p w14:paraId="00000058">
            <w:pPr>
              <w:spacing w:before="100" w:after="30"/>
            </w:pPr>
            <w:r>
              <w:rPr>
                <w:b/>
                <w:bCs/>
                <w:color w:val="007FAE"/>
                <w:sz w:val="19"/>
                <w:szCs w:val="19"/>
                <w:rtl w:val="0"/>
              </w:rPr>
              <w:t>6. ОТВЕТСТВЕННОСТЬ</w:t>
            </w:r>
          </w:p>
        </w:tc>
        <w:tc>
          <w:tcPr>
            <w:tcBorders>
              <w:top w:val="nil"/>
              <w:left w:val="nil"/>
              <w:bottom w:val="nil"/>
              <w:right w:val="nil"/>
            </w:tcBorders>
            <w:tcMar>
              <w:top w:w="75" w:type="dxa"/>
              <w:left w:w="100" w:type="dxa"/>
              <w:bottom w:w="75" w:type="dxa"/>
              <w:right w:w="100" w:type="dxa"/>
            </w:tcMar>
          </w:tcPr>
          <w:p w14:paraId="00000059">
            <w:pPr>
              <w:spacing w:before="100" w:after="30"/>
            </w:pPr>
            <w:r>
              <w:rPr>
                <w:b/>
                <w:bCs/>
                <w:color w:val="007FAE"/>
                <w:sz w:val="19"/>
                <w:szCs w:val="19"/>
                <w:rtl w:val="0"/>
              </w:rPr>
              <w:t>6. LIABILITY</w:t>
            </w:r>
          </w:p>
        </w:tc>
      </w:tr>
      <w:tr w14:paraId="45E386AA">
        <w:trPr>
          <w:gridAfter w:val="1"/>
          <w:jc w:val="center"/>
        </w:trPr>
        <w:tc>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Borders>
              <w:top w:val="nil"/>
              <w:left w:val="nil"/>
              <w:bottom w:val="nil"/>
              <w:right w:val="single" w:color="D9E7ED" w:sz="6" w:space="0"/>
            </w:tcBorders>
            <w:tcMar>
              <w:top w:w="75" w:type="dxa"/>
              <w:left w:w="100" w:type="dxa"/>
              <w:bottom w:w="75" w:type="dxa"/>
              <w:right w:w="100" w:type="dxa"/>
            </w:tcMar>
          </w:tcPr>
          <w:p w14:paraId="0000005B">
            <w:pPr>
              <w:spacing w:after="30"/>
              <w:rPr>
                <w:sz w:val="18"/>
                <w:szCs w:val="18"/>
              </w:rPr>
            </w:pPr>
            <w:r>
              <w:rPr>
                <w:color w:val="000000"/>
                <w:sz w:val="18"/>
                <w:szCs w:val="18"/>
                <w:rtl w:val="0"/>
              </w:rPr>
              <w:t>6.1. Агент отвечает только за прямой документально подтвержденный ущерб, причиненный его виновным неисполнением. Максимальная ответственность по одной Payment Instruction ограничена комиссией Агента по ней, кроме умысла, ответственности, которую нельзя ограничить по применимому праву, и прав Клиента, предоставленных обязательными нормами о защите прав потребителей.</w:t>
            </w:r>
          </w:p>
        </w:tc>
        <w:tc>
          <w:tcPr>
            <w:tcBorders>
              <w:top w:val="nil"/>
              <w:left w:val="nil"/>
              <w:bottom w:val="nil"/>
              <w:right w:val="nil"/>
            </w:tcBorders>
            <w:tcMar>
              <w:top w:w="75" w:type="dxa"/>
              <w:left w:w="100" w:type="dxa"/>
              <w:bottom w:w="75" w:type="dxa"/>
              <w:right w:w="100" w:type="dxa"/>
            </w:tcMar>
          </w:tcPr>
          <w:p w14:paraId="0000005C">
            <w:pPr>
              <w:spacing w:after="30"/>
              <w:rPr>
                <w:sz w:val="18"/>
                <w:szCs w:val="18"/>
              </w:rPr>
            </w:pPr>
            <w:r>
              <w:rPr>
                <w:color w:val="000000"/>
                <w:sz w:val="18"/>
                <w:szCs w:val="18"/>
                <w:rtl w:val="0"/>
              </w:rPr>
              <w:t>The Agent is liable only for direct documented loss caused by its culpable non-performance. Maximum liability for one Payment Instruction is limited to the Agent’s fee for it, except for wilful misconduct, liability that cannot be limited by applicable law, and Client rights granted by mandatory consumer-protection law.</w:t>
            </w:r>
          </w:p>
        </w:tc>
      </w:tr>
      <w:tr w14:paraId="794F0E71">
        <w:trPr>
          <w:gridAfter w:val="1"/>
          <w:jc w:val="center"/>
        </w:trPr>
        <w:tc>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18"/>
                <w:szCs w:val="18"/>
              </w:rPr>
            </w:pPr>
          </w:p>
        </w:tc>
        <w:tc>
          <w:tcPr>
            <w:tcBorders>
              <w:top w:val="nil"/>
              <w:left w:val="nil"/>
              <w:bottom w:val="nil"/>
              <w:right w:val="single" w:color="D9E7ED" w:sz="6" w:space="0"/>
            </w:tcBorders>
            <w:tcMar>
              <w:top w:w="75" w:type="dxa"/>
              <w:left w:w="100" w:type="dxa"/>
              <w:bottom w:w="75" w:type="dxa"/>
              <w:right w:w="100" w:type="dxa"/>
            </w:tcMar>
          </w:tcPr>
          <w:p w14:paraId="0000005E">
            <w:pPr>
              <w:spacing w:after="30"/>
              <w:rPr>
                <w:sz w:val="18"/>
                <w:szCs w:val="18"/>
              </w:rPr>
            </w:pPr>
            <w:r>
              <w:rPr>
                <w:color w:val="000000"/>
                <w:sz w:val="18"/>
                <w:szCs w:val="18"/>
                <w:rtl w:val="0"/>
              </w:rPr>
              <w:t>6.2. Агент не отвечает за действия застройщика, продавца, банка, корреспондента, платежной системы или органа власти; отказ в регистрации; изменение freehold-квоты; качество, сроки передачи либо юридический статус объекта; а также косвенные убытки и упущенную выгоду.</w:t>
            </w:r>
          </w:p>
        </w:tc>
        <w:tc>
          <w:tcPr>
            <w:tcBorders>
              <w:top w:val="nil"/>
              <w:left w:val="nil"/>
              <w:bottom w:val="nil"/>
              <w:right w:val="nil"/>
            </w:tcBorders>
            <w:tcMar>
              <w:top w:w="75" w:type="dxa"/>
              <w:left w:w="100" w:type="dxa"/>
              <w:bottom w:w="75" w:type="dxa"/>
              <w:right w:w="100" w:type="dxa"/>
            </w:tcMar>
          </w:tcPr>
          <w:p w14:paraId="0000005F">
            <w:pPr>
              <w:spacing w:after="30"/>
              <w:rPr>
                <w:sz w:val="18"/>
                <w:szCs w:val="18"/>
              </w:rPr>
            </w:pPr>
            <w:r>
              <w:rPr>
                <w:color w:val="000000"/>
                <w:sz w:val="18"/>
                <w:szCs w:val="18"/>
                <w:rtl w:val="0"/>
              </w:rPr>
              <w:t>The Agent is not liable for acts of the developer, seller, bank, correspondent, payment system, or public authority; refusal of registration; changes in a freehold quota; property quality, handover schedule, or legal status; or indirect losses and lost profit.</w:t>
            </w:r>
          </w:p>
        </w:tc>
      </w:tr>
      <w:tr w14:paraId="79B6F4BC">
        <w:trPr>
          <w:gridAfter w:val="1"/>
          <w:jc w:val="center"/>
        </w:trPr>
        <w:tc>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18"/>
                <w:szCs w:val="18"/>
              </w:rPr>
            </w:pPr>
          </w:p>
        </w:tc>
        <w:tc>
          <w:tcPr>
            <w:tcBorders>
              <w:top w:val="nil"/>
              <w:left w:val="nil"/>
              <w:bottom w:val="nil"/>
              <w:right w:val="single" w:color="D9E7ED" w:sz="6" w:space="0"/>
            </w:tcBorders>
            <w:tcMar>
              <w:top w:w="75" w:type="dxa"/>
              <w:left w:w="100" w:type="dxa"/>
              <w:bottom w:w="75" w:type="dxa"/>
              <w:right w:w="100" w:type="dxa"/>
            </w:tcMar>
          </w:tcPr>
          <w:p w14:paraId="00000061">
            <w:pPr>
              <w:spacing w:before="100" w:after="30"/>
            </w:pPr>
            <w:r>
              <w:rPr>
                <w:b/>
                <w:bCs/>
                <w:color w:val="007FAE"/>
                <w:sz w:val="19"/>
                <w:szCs w:val="19"/>
                <w:rtl w:val="0"/>
              </w:rPr>
              <w:t>7. СРОК И ПРОЧИЕ УСЛОВИЯ</w:t>
            </w:r>
          </w:p>
        </w:tc>
        <w:tc>
          <w:tcPr>
            <w:tcBorders>
              <w:top w:val="nil"/>
              <w:left w:val="nil"/>
              <w:bottom w:val="nil"/>
              <w:right w:val="nil"/>
            </w:tcBorders>
            <w:tcMar>
              <w:top w:w="75" w:type="dxa"/>
              <w:left w:w="100" w:type="dxa"/>
              <w:bottom w:w="75" w:type="dxa"/>
              <w:right w:w="100" w:type="dxa"/>
            </w:tcMar>
          </w:tcPr>
          <w:p w14:paraId="00000062">
            <w:pPr>
              <w:spacing w:before="100" w:after="30"/>
            </w:pPr>
            <w:r>
              <w:rPr>
                <w:b/>
                <w:bCs/>
                <w:color w:val="007FAE"/>
                <w:sz w:val="19"/>
                <w:szCs w:val="19"/>
                <w:rtl w:val="0"/>
              </w:rPr>
              <w:t>7. TERM AND MISCELLANEOUS</w:t>
            </w:r>
          </w:p>
        </w:tc>
      </w:tr>
      <w:tr w14:paraId="634BD684">
        <w:trPr>
          <w:gridAfter w:val="1"/>
          <w:jc w:val="center"/>
        </w:trPr>
        <w:tc>
          <w:p w14:paraId="000000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Borders>
              <w:top w:val="nil"/>
              <w:left w:val="nil"/>
              <w:bottom w:val="nil"/>
              <w:right w:val="single" w:color="D9E7ED" w:sz="6" w:space="0"/>
            </w:tcBorders>
            <w:tcMar>
              <w:top w:w="75" w:type="dxa"/>
              <w:left w:w="100" w:type="dxa"/>
              <w:bottom w:w="75" w:type="dxa"/>
              <w:right w:w="100" w:type="dxa"/>
            </w:tcMar>
          </w:tcPr>
          <w:p w14:paraId="00000064">
            <w:pPr>
              <w:spacing w:after="30"/>
              <w:rPr>
                <w:sz w:val="18"/>
                <w:szCs w:val="18"/>
              </w:rPr>
            </w:pPr>
            <w:r>
              <w:rPr>
                <w:color w:val="000000"/>
                <w:sz w:val="18"/>
                <w:szCs w:val="18"/>
                <w:rtl w:val="0"/>
              </w:rPr>
              <w:t>7.1. Договор действует с даты подписания до исполнения обязательств по принятым Payment Instructions. Каждая Сторона вправе прекратить его за [10] рабочих дней письменного уведомления; это не отменяет уже принятые инструкции.</w:t>
            </w:r>
          </w:p>
        </w:tc>
        <w:tc>
          <w:tcPr>
            <w:tcBorders>
              <w:top w:val="nil"/>
              <w:left w:val="nil"/>
              <w:bottom w:val="nil"/>
              <w:right w:val="nil"/>
            </w:tcBorders>
            <w:tcMar>
              <w:top w:w="75" w:type="dxa"/>
              <w:left w:w="100" w:type="dxa"/>
              <w:bottom w:w="75" w:type="dxa"/>
              <w:right w:w="100" w:type="dxa"/>
            </w:tcMar>
          </w:tcPr>
          <w:p w14:paraId="00000065">
            <w:pPr>
              <w:spacing w:after="30"/>
              <w:rPr>
                <w:sz w:val="18"/>
                <w:szCs w:val="18"/>
              </w:rPr>
            </w:pPr>
            <w:r>
              <w:rPr>
                <w:color w:val="000000"/>
                <w:sz w:val="18"/>
                <w:szCs w:val="18"/>
                <w:rtl w:val="0"/>
              </w:rPr>
              <w:t>This Agreement applies from signature until obligations under accepted Payment Instructions are performed. Either Party may terminate it with [10] business days’ written notice; this does not cancel accepted instructions.</w:t>
            </w:r>
          </w:p>
        </w:tc>
      </w:tr>
      <w:tr w14:paraId="29595C73">
        <w:trPr>
          <w:gridAfter w:val="1"/>
          <w:jc w:val="center"/>
        </w:trPr>
        <w:tc>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18"/>
                <w:szCs w:val="18"/>
              </w:rPr>
            </w:pPr>
          </w:p>
        </w:tc>
        <w:tc>
          <w:tcPr>
            <w:tcBorders>
              <w:top w:val="nil"/>
              <w:left w:val="nil"/>
              <w:bottom w:val="nil"/>
              <w:right w:val="single" w:color="D9E7ED" w:sz="6" w:space="0"/>
            </w:tcBorders>
            <w:tcMar>
              <w:top w:w="75" w:type="dxa"/>
              <w:left w:w="100" w:type="dxa"/>
              <w:bottom w:w="75" w:type="dxa"/>
              <w:right w:w="100" w:type="dxa"/>
            </w:tcMar>
          </w:tcPr>
          <w:p w14:paraId="00000067">
            <w:pPr>
              <w:spacing w:after="30"/>
              <w:rPr>
                <w:sz w:val="18"/>
                <w:szCs w:val="18"/>
              </w:rPr>
            </w:pPr>
            <w:r>
              <w:rPr>
                <w:color w:val="000000"/>
                <w:sz w:val="18"/>
                <w:szCs w:val="18"/>
                <w:rtl w:val="0"/>
              </w:rPr>
              <w:t>7.2. Сторона освобождается от ответственности за неисполнение вследствие форс-мажора при незамедлительном уведомлении и разумном подтверждении таких обстоятельств.</w:t>
            </w:r>
          </w:p>
        </w:tc>
        <w:tc>
          <w:tcPr>
            <w:tcBorders>
              <w:top w:val="nil"/>
              <w:left w:val="nil"/>
              <w:bottom w:val="nil"/>
              <w:right w:val="nil"/>
            </w:tcBorders>
            <w:tcMar>
              <w:top w:w="75" w:type="dxa"/>
              <w:left w:w="100" w:type="dxa"/>
              <w:bottom w:w="75" w:type="dxa"/>
              <w:right w:w="100" w:type="dxa"/>
            </w:tcMar>
          </w:tcPr>
          <w:p w14:paraId="00000068">
            <w:pPr>
              <w:spacing w:after="30"/>
              <w:rPr>
                <w:sz w:val="18"/>
                <w:szCs w:val="18"/>
              </w:rPr>
            </w:pPr>
            <w:r>
              <w:rPr>
                <w:color w:val="000000"/>
                <w:sz w:val="18"/>
                <w:szCs w:val="18"/>
                <w:rtl w:val="0"/>
              </w:rPr>
              <w:t>A Party is released from liability for non-performance due to force majeure if it promptly notifies the other Party and reasonably confirms the circumstances.</w:t>
            </w:r>
          </w:p>
        </w:tc>
      </w:tr>
      <w:tr w14:paraId="095F0F82">
        <w:trPr>
          <w:gridAfter w:val="1"/>
          <w:jc w:val="center"/>
        </w:trPr>
        <w:tc>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18"/>
                <w:szCs w:val="18"/>
              </w:rPr>
            </w:pPr>
          </w:p>
        </w:tc>
        <w:tc>
          <w:tcPr>
            <w:tcBorders>
              <w:top w:val="nil"/>
              <w:left w:val="nil"/>
              <w:bottom w:val="nil"/>
              <w:right w:val="single" w:color="D9E7ED" w:sz="6" w:space="0"/>
            </w:tcBorders>
            <w:tcMar>
              <w:top w:w="75" w:type="dxa"/>
              <w:left w:w="100" w:type="dxa"/>
              <w:bottom w:w="75" w:type="dxa"/>
              <w:right w:w="100" w:type="dxa"/>
            </w:tcMar>
          </w:tcPr>
          <w:p w14:paraId="0000006A">
            <w:pPr>
              <w:spacing w:after="30"/>
              <w:rPr>
                <w:sz w:val="18"/>
                <w:szCs w:val="18"/>
              </w:rPr>
            </w:pPr>
            <w:r>
              <w:rPr>
                <w:color w:val="000000"/>
                <w:sz w:val="18"/>
                <w:szCs w:val="18"/>
                <w:rtl w:val="0"/>
              </w:rPr>
              <w:t>7.3. К Договору применяется право Российской Федерации. Споры Стороны стремятся урегулировать переговорами в течение 15 календарных дней; затем спор разрешается компетентным государственным судом по правилам применимого права.</w:t>
            </w:r>
          </w:p>
        </w:tc>
        <w:tc>
          <w:tcPr>
            <w:tcBorders>
              <w:top w:val="nil"/>
              <w:left w:val="nil"/>
              <w:bottom w:val="nil"/>
              <w:right w:val="nil"/>
            </w:tcBorders>
            <w:tcMar>
              <w:top w:w="75" w:type="dxa"/>
              <w:left w:w="100" w:type="dxa"/>
              <w:bottom w:w="75" w:type="dxa"/>
              <w:right w:w="100" w:type="dxa"/>
            </w:tcMar>
          </w:tcPr>
          <w:p w14:paraId="0000006B">
            <w:pPr>
              <w:spacing w:after="30"/>
              <w:rPr>
                <w:sz w:val="18"/>
                <w:szCs w:val="18"/>
              </w:rPr>
            </w:pPr>
            <w:r>
              <w:rPr>
                <w:color w:val="000000"/>
                <w:sz w:val="18"/>
                <w:szCs w:val="18"/>
                <w:rtl w:val="0"/>
              </w:rPr>
              <w:t>This Agreement is governed by the law of the Russian Federation. The Parties seek to resolve disputes through negotiations within 15 calendar days; then a competent state court resolves the dispute under applicable-law rules.</w:t>
            </w:r>
          </w:p>
        </w:tc>
      </w:tr>
      <w:tr w14:paraId="7B3F018F">
        <w:trPr>
          <w:gridAfter w:val="1"/>
          <w:jc w:val="center"/>
        </w:trPr>
        <w:tc>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18"/>
                <w:szCs w:val="18"/>
              </w:rPr>
            </w:pPr>
          </w:p>
        </w:tc>
        <w:tc>
          <w:tcPr>
            <w:tcBorders>
              <w:top w:val="nil"/>
              <w:left w:val="nil"/>
              <w:bottom w:val="nil"/>
              <w:right w:val="single" w:color="D9E7ED" w:sz="6" w:space="0"/>
            </w:tcBorders>
            <w:tcMar>
              <w:top w:w="75" w:type="dxa"/>
              <w:left w:w="100" w:type="dxa"/>
              <w:bottom w:w="75" w:type="dxa"/>
              <w:right w:w="100" w:type="dxa"/>
            </w:tcMar>
          </w:tcPr>
          <w:p w14:paraId="0000006D">
            <w:pPr>
              <w:spacing w:after="30"/>
              <w:rPr>
                <w:sz w:val="18"/>
                <w:szCs w:val="18"/>
              </w:rPr>
            </w:pPr>
            <w:r>
              <w:rPr>
                <w:color w:val="000000"/>
                <w:sz w:val="18"/>
                <w:szCs w:val="18"/>
                <w:rtl w:val="0"/>
              </w:rPr>
              <w:t>7.4. Договор составлен на русском и английском языках. При расхождении преимущественную силу имеет русский текст. Уведомления и согласования, включая Payment Instructions, направляются по e-mail, указанному в реквизитах или инструкции, и считаются полученными в следующий рабочий день после отправки, если не доказано иное.</w:t>
            </w:r>
          </w:p>
        </w:tc>
        <w:tc>
          <w:tcPr>
            <w:tcBorders>
              <w:top w:val="nil"/>
              <w:left w:val="nil"/>
              <w:bottom w:val="nil"/>
              <w:right w:val="nil"/>
            </w:tcBorders>
            <w:tcMar>
              <w:top w:w="75" w:type="dxa"/>
              <w:left w:w="100" w:type="dxa"/>
              <w:bottom w:w="75" w:type="dxa"/>
              <w:right w:w="100" w:type="dxa"/>
            </w:tcMar>
          </w:tcPr>
          <w:p w14:paraId="0000006E">
            <w:pPr>
              <w:spacing w:after="30"/>
              <w:rPr>
                <w:sz w:val="18"/>
                <w:szCs w:val="18"/>
              </w:rPr>
            </w:pPr>
            <w:r>
              <w:rPr>
                <w:color w:val="000000"/>
                <w:sz w:val="18"/>
                <w:szCs w:val="18"/>
                <w:rtl w:val="0"/>
              </w:rPr>
              <w:t>7.4. This Agreement is executed in Russian and English. In case of discrepancy, the Russian text prevails. Notices and approvals, including Payment Instructions, are sent by email specified in the details or instruction and are deemed received on the next business day after dispatch, unless proved otherwise.</w:t>
            </w:r>
          </w:p>
        </w:tc>
      </w:tr>
      <w:tr w14:paraId="4F9F9281">
        <w:trPr>
          <w:gridAfter w:val="1"/>
          <w:jc w:val="center"/>
        </w:trPr>
        <w:tc>
          <w:p w14:paraId="000000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18"/>
                <w:szCs w:val="18"/>
              </w:rPr>
            </w:pPr>
          </w:p>
        </w:tc>
        <w:tc>
          <w:tcPr>
            <w:tcBorders>
              <w:top w:val="nil"/>
              <w:left w:val="nil"/>
              <w:bottom w:val="nil"/>
              <w:right w:val="single" w:color="D9E7ED" w:sz="6" w:space="0"/>
            </w:tcBorders>
            <w:tcMar>
              <w:top w:w="75" w:type="dxa"/>
              <w:left w:w="100" w:type="dxa"/>
              <w:bottom w:w="75" w:type="dxa"/>
              <w:right w:w="100" w:type="dxa"/>
            </w:tcMar>
          </w:tcPr>
          <w:p w14:paraId="00000070">
            <w:pPr>
              <w:spacing w:after="30"/>
              <w:rPr>
                <w:sz w:val="18"/>
                <w:szCs w:val="18"/>
              </w:rPr>
            </w:pPr>
            <w:r>
              <w:rPr>
                <w:color w:val="000000"/>
                <w:sz w:val="18"/>
                <w:szCs w:val="18"/>
                <w:rtl w:val="0"/>
              </w:rPr>
              <w:t>7.5. Приложения 1 и 2 являются неотъемлемой частью Договора. Изменения действительны только в письменной форме и при согласовании обеими Сторонами. Стороны вправе обрабатывать и передавать персональные и платёжные данные в объёме, необходимом для исполнения Договора, банковской проверки и требований применимого права.</w:t>
            </w:r>
          </w:p>
        </w:tc>
        <w:tc>
          <w:tcPr>
            <w:tcBorders>
              <w:top w:val="nil"/>
              <w:left w:val="nil"/>
              <w:bottom w:val="nil"/>
              <w:right w:val="nil"/>
            </w:tcBorders>
            <w:tcMar>
              <w:top w:w="75" w:type="dxa"/>
              <w:left w:w="100" w:type="dxa"/>
              <w:bottom w:w="75" w:type="dxa"/>
              <w:right w:w="100" w:type="dxa"/>
            </w:tcMar>
          </w:tcPr>
          <w:p w14:paraId="00000071">
            <w:pPr>
              <w:spacing w:after="30"/>
              <w:rPr>
                <w:sz w:val="18"/>
                <w:szCs w:val="18"/>
              </w:rPr>
            </w:pPr>
            <w:r>
              <w:rPr>
                <w:color w:val="000000"/>
                <w:sz w:val="18"/>
                <w:szCs w:val="18"/>
                <w:rtl w:val="0"/>
              </w:rPr>
              <w:t>7.5. Appendices 1 and 2 form an integral part of this Agreement. Amendments are effective only in writing and when agreed by both Parties. The Parties may process and disclose personal and payment data to the extent necessary to perform this Agreement, conduct bank checks and comply with applicable law.</w:t>
            </w:r>
          </w:p>
        </w:tc>
      </w:tr>
      <w:tr w14:paraId="66F40EC2">
        <w:trPr>
          <w:gridAfter w:val="1"/>
          <w:jc w:val="center"/>
        </w:trPr>
        <w:tc>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18"/>
                <w:szCs w:val="18"/>
              </w:rPr>
            </w:pPr>
          </w:p>
        </w:tc>
        <w:tc>
          <w:tcPr>
            <w:tcBorders>
              <w:top w:val="nil"/>
              <w:left w:val="nil"/>
              <w:bottom w:val="nil"/>
              <w:right w:val="single" w:color="D9E7ED" w:sz="6" w:space="0"/>
            </w:tcBorders>
            <w:tcMar>
              <w:top w:w="75" w:type="dxa"/>
              <w:left w:w="100" w:type="dxa"/>
              <w:bottom w:w="75" w:type="dxa"/>
              <w:right w:w="100" w:type="dxa"/>
            </w:tcMar>
          </w:tcPr>
          <w:p w14:paraId="00000073">
            <w:pPr>
              <w:spacing w:before="100" w:after="30"/>
            </w:pPr>
            <w:r>
              <w:rPr>
                <w:b/>
                <w:bCs/>
                <w:color w:val="007FAE"/>
                <w:sz w:val="19"/>
                <w:szCs w:val="19"/>
                <w:rtl w:val="0"/>
              </w:rPr>
              <w:t>8. РЕКВИЗИТЫ И ПОДПИСИ</w:t>
            </w:r>
          </w:p>
        </w:tc>
        <w:tc>
          <w:tcPr>
            <w:tcBorders>
              <w:top w:val="nil"/>
              <w:left w:val="nil"/>
              <w:bottom w:val="nil"/>
              <w:right w:val="nil"/>
            </w:tcBorders>
            <w:tcMar>
              <w:top w:w="75" w:type="dxa"/>
              <w:left w:w="100" w:type="dxa"/>
              <w:bottom w:w="75" w:type="dxa"/>
              <w:right w:w="100" w:type="dxa"/>
            </w:tcMar>
          </w:tcPr>
          <w:p w14:paraId="00000074">
            <w:pPr>
              <w:spacing w:before="100" w:after="30"/>
            </w:pPr>
            <w:r>
              <w:rPr>
                <w:b/>
                <w:bCs/>
                <w:color w:val="007FAE"/>
                <w:sz w:val="19"/>
                <w:szCs w:val="19"/>
                <w:rtl w:val="0"/>
              </w:rPr>
              <w:t>8. DETAILS AND SIGNATURES</w:t>
            </w:r>
          </w:p>
        </w:tc>
      </w:tr>
      <w:tr w14:paraId="7F9032A3">
        <w:trPr>
          <w:cantSplit/>
          <w:jc w:val="center"/>
        </w:trPr>
        <w:tc>
          <w:tcPr>
            <w:gridSpan w:val="2"/>
            <w:shd w:val="clear" w:color="auto" w:fill="EAF4F8"/>
            <w:tcMar>
              <w:top w:w="90" w:type="dxa"/>
              <w:left w:w="120" w:type="dxa"/>
              <w:bottom w:w="90" w:type="dxa"/>
              <w:right w:w="120" w:type="dxa"/>
            </w:tcMar>
          </w:tcPr>
          <w:p w14:paraId="00000075">
            <w:pPr>
              <w:spacing w:after="30"/>
            </w:pPr>
            <w:r>
              <w:rPr>
                <w:b/>
                <w:bCs/>
                <w:color w:val="0E6D95"/>
                <w:rtl w:val="0"/>
              </w:rPr>
              <w:t>АГЕНТ / AGENT</w:t>
            </w:r>
          </w:p>
        </w:tc>
        <w:tc>
          <w:tcPr>
            <w:gridSpan w:val="2"/>
            <w:shd w:val="clear" w:color="auto" w:fill="EAF4F8"/>
            <w:tcMar>
              <w:top w:w="90" w:type="dxa"/>
              <w:left w:w="120" w:type="dxa"/>
              <w:bottom w:w="90" w:type="dxa"/>
              <w:right w:w="120" w:type="dxa"/>
            </w:tcMar>
          </w:tcPr>
          <w:p w14:paraId="00000077">
            <w:pPr>
              <w:spacing w:after="30"/>
            </w:pPr>
            <w:r>
              <w:rPr>
                <w:b/>
                <w:bCs/>
                <w:color w:val="0E6D95"/>
                <w:rtl w:val="0"/>
              </w:rPr>
              <w:t>КЛИЕНТ / CLIENT</w:t>
            </w:r>
          </w:p>
        </w:tc>
      </w:tr>
      <w:tr w14:paraId="1D77D0A0">
        <w:trPr>
          <w:cantSplit/>
          <w:jc w:val="center"/>
        </w:trPr>
        <w:tc>
          <w:tcPr>
            <w:gridSpan w:val="2"/>
            <w:tcMar>
              <w:top w:w="90" w:type="dxa"/>
              <w:left w:w="120" w:type="dxa"/>
              <w:bottom w:w="90" w:type="dxa"/>
              <w:right w:w="120" w:type="dxa"/>
            </w:tcMar>
          </w:tcPr>
          <w:p w14:paraId="00000079">
            <w:pPr>
              <w:spacing w:after="30"/>
            </w:pPr>
            <w:r>
              <w:rPr>
                <w:rtl w:val="0"/>
              </w:rPr>
              <w:t>MF Corporation Company Limited</w:t>
            </w:r>
            <w:r>
              <w:rPr>
                <w:rtl w:val="0"/>
              </w:rPr>
              <w:br w:type="textWrapping"/>
            </w:r>
            <w:r>
              <w:rPr>
                <w:rtl w:val="0"/>
              </w:rPr>
              <w:t>Registration / Tax No.: 0835565024547</w:t>
            </w:r>
            <w:r>
              <w:rPr>
                <w:rtl w:val="0"/>
              </w:rPr>
              <w:br w:type="textWrapping"/>
            </w:r>
            <w:r>
              <w:rPr>
                <w:rtl w:val="0"/>
              </w:rPr>
              <w:t>9/31, Mu 5, Choeng Thale Sub-district, Thalang District, Phuket Province 83110, Thailand</w:t>
            </w:r>
            <w:r>
              <w:rPr>
                <w:rtl w:val="0"/>
              </w:rPr>
              <w:br w:type="textWrapping"/>
            </w:r>
            <w:r>
              <w:rPr>
                <w:rtl w:val="0"/>
              </w:rPr>
              <w:t>Director: Miss Katika Sakornnoi</w:t>
            </w:r>
            <w:r>
              <w:rPr>
                <w:rtl w:val="0"/>
              </w:rPr>
              <w:br w:type="textWrapping"/>
            </w:r>
            <w:r>
              <w:rPr>
                <w:rtl w:val="0"/>
              </w:rPr>
              <w:br w:type="textWrapping"/>
            </w:r>
            <w:r>
              <w:rPr>
                <w:rtl w:val="0"/>
              </w:rPr>
              <w:t>Signature: _____________________</w:t>
            </w:r>
            <w:r>
              <w:rPr>
                <w:rtl w:val="0"/>
              </w:rPr>
              <w:br w:type="textWrapping"/>
            </w:r>
            <w:r>
              <w:rPr>
                <w:rtl w:val="0"/>
              </w:rPr>
              <w:t>Date: _________________________</w:t>
            </w:r>
          </w:p>
        </w:tc>
        <w:tc>
          <w:tcPr>
            <w:gridSpan w:val="2"/>
            <w:tcMar>
              <w:top w:w="90" w:type="dxa"/>
              <w:left w:w="120" w:type="dxa"/>
              <w:bottom w:w="90" w:type="dxa"/>
              <w:right w:w="120" w:type="dxa"/>
            </w:tcMar>
          </w:tcPr>
          <w:p w14:paraId="0000007B">
            <w:pPr>
              <w:spacing w:after="30"/>
            </w:pPr>
            <w:r>
              <w:rPr>
                <w:rtl w:val="0"/>
              </w:rPr>
              <w:t>[Full name / legal name]</w:t>
            </w:r>
            <w:r>
              <w:rPr>
                <w:rtl w:val="0"/>
              </w:rPr>
              <w:br w:type="textWrapping"/>
            </w:r>
            <w:r>
              <w:rPr>
                <w:rtl w:val="0"/>
              </w:rPr>
              <w:t>[ID / Registration No.]</w:t>
            </w:r>
            <w:r>
              <w:rPr>
                <w:rtl w:val="0"/>
              </w:rPr>
              <w:br w:type="textWrapping"/>
            </w:r>
            <w:r>
              <w:rPr>
                <w:rtl w:val="0"/>
              </w:rPr>
              <w:t>[Address]</w:t>
            </w:r>
            <w:r>
              <w:rPr>
                <w:rtl w:val="0"/>
              </w:rPr>
              <w:br w:type="textWrapping"/>
            </w:r>
            <w:r>
              <w:rPr>
                <w:rtl w:val="0"/>
              </w:rPr>
              <w:t>[Email / phone]</w:t>
            </w:r>
            <w:r>
              <w:rPr>
                <w:rtl w:val="0"/>
              </w:rPr>
              <w:br w:type="textWrapping"/>
            </w:r>
            <w:r>
              <w:rPr>
                <w:rtl w:val="0"/>
              </w:rPr>
              <w:br w:type="textWrapping"/>
            </w:r>
            <w:r>
              <w:rPr>
                <w:rtl w:val="0"/>
              </w:rPr>
              <w:t>Signature: _____________________</w:t>
            </w:r>
            <w:r>
              <w:rPr>
                <w:rtl w:val="0"/>
              </w:rPr>
              <w:br w:type="textWrapping"/>
            </w:r>
            <w:r>
              <w:rPr>
                <w:rtl w:val="0"/>
              </w:rPr>
              <w:t>Date: _________________________</w:t>
            </w:r>
          </w:p>
        </w:tc>
      </w:tr>
    </w:tbl>
    <w:p w14:paraId="0000007D">
      <w:pPr>
        <w:pageBreakBefore/>
      </w:pPr>
    </w:p>
    <w:p w14:paraId="0000007E">
      <w:pPr>
        <w:keepNext/>
        <w:spacing w:after="20"/>
        <w:jc w:val="center"/>
      </w:pPr>
      <w:r>
        <w:rPr>
          <w:b/>
          <w:bCs/>
          <w:color w:val="007FAE"/>
          <w:sz w:val="22"/>
          <w:szCs w:val="22"/>
          <w:rtl w:val="0"/>
        </w:rPr>
        <w:t>ПРИЛОЖЕНИЕ 1 — PAYMENT INSTRUCTION</w:t>
      </w:r>
    </w:p>
    <w:p w14:paraId="0000007F">
      <w:pPr>
        <w:keepNext/>
        <w:spacing w:after="100"/>
        <w:jc w:val="center"/>
      </w:pPr>
      <w:r>
        <w:rPr>
          <w:b/>
          <w:bCs/>
          <w:color w:val="007FAE"/>
          <w:sz w:val="18"/>
          <w:szCs w:val="18"/>
          <w:rtl w:val="0"/>
        </w:rPr>
        <w:t>к Агентскому договору об организации платежа / to the Payment Arrangement Agency Agreement</w:t>
      </w:r>
    </w:p>
    <w:tbl>
      <w:tblPr>
        <w:tblStyle w:val="16"/>
        <w:tblW w:w="10178" w:type="dxa"/>
        <w:jc w:val="center"/>
        <w:tblLayout w:type="fixed"/>
        <w:tblCellMar>
          <w:top w:w="0" w:type="dxa"/>
          <w:left w:w="10" w:type="dxa"/>
          <w:bottom w:w="0" w:type="dxa"/>
          <w:right w:w="10" w:type="dxa"/>
        </w:tblCellMar>
      </w:tblPr>
      <w:tblGrid>
        <w:gridCol w:w="20"/>
        <w:gridCol w:w="4401"/>
        <w:gridCol w:w="5757"/>
      </w:tblGrid>
      <w:tr w14:paraId="4C534562">
        <w:trPr>
          <w:jc w:val="center"/>
        </w:trPr>
        <w:tc>
          <w:p w14:paraId="000000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Borders>
              <w:top w:val="nil"/>
              <w:left w:val="nil"/>
              <w:bottom w:val="nil"/>
              <w:right w:val="single" w:color="D9E7ED" w:sz="6" w:space="0"/>
            </w:tcBorders>
            <w:tcMar>
              <w:top w:w="75" w:type="dxa"/>
              <w:left w:w="100" w:type="dxa"/>
              <w:bottom w:w="75" w:type="dxa"/>
              <w:right w:w="100" w:type="dxa"/>
            </w:tcMar>
          </w:tcPr>
          <w:p w14:paraId="00000081">
            <w:pPr>
              <w:spacing w:before="100" w:after="30"/>
            </w:pPr>
            <w:r>
              <w:rPr>
                <w:b/>
                <w:bCs/>
                <w:color w:val="007FAE"/>
                <w:sz w:val="19"/>
                <w:szCs w:val="19"/>
                <w:rtl w:val="0"/>
              </w:rPr>
              <w:t>Подтверждение</w:t>
            </w:r>
            <w:r>
              <w:rPr>
                <w:rtl w:val="0"/>
              </w:rPr>
              <w:br/>
              <w:br/>
              <w:t>Агент исполняет Instruction только в пределах общей суммы, фактически полученной от Клиента. Если суммы недостаточно для полного платежа получателю и согласованных расходов, Агент запрашивает новую Instruction или доплату и не обязан доплачивать за свой счёт.</w:t>
            </w:r>
          </w:p>
        </w:tc>
        <w:tc>
          <w:tcPr>
            <w:tcBorders>
              <w:top w:val="nil"/>
              <w:left w:val="nil"/>
              <w:bottom w:val="nil"/>
              <w:right w:val="nil"/>
            </w:tcBorders>
            <w:tcMar>
              <w:top w:w="75" w:type="dxa"/>
              <w:left w:w="100" w:type="dxa"/>
              <w:bottom w:w="75" w:type="dxa"/>
              <w:right w:w="100" w:type="dxa"/>
            </w:tcMar>
          </w:tcPr>
          <w:p w14:paraId="00000082">
            <w:r>
              <w:rPr>
                <w:rtl w:val="0"/>
              </w:rPr>
              <w:t>Confirmation</w:t>
              <w:br/>
              <w:br/>
              <w:t>The Agent shall execute the Instruction only within the total amount actually received from the Client. If the amount is insufficient for full payment to the recipient and agreed costs, the Agent shall request a new Instruction or additional payment and is not obliged to make up any shortfall from its own funds.</w:t>
            </w:r>
          </w:p>
        </w:tc>
      </w:tr>
      <w:tr w14:paraId="725E779F">
        <w:trPr>
          <w:jc w:val="center"/>
        </w:trPr>
        <w:tc>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Borders>
              <w:top w:val="nil"/>
              <w:left w:val="nil"/>
              <w:bottom w:val="nil"/>
              <w:right w:val="single" w:color="D9E7ED" w:sz="6" w:space="0"/>
            </w:tcBorders>
            <w:tcMar>
              <w:top w:w="75" w:type="dxa"/>
              <w:left w:w="100" w:type="dxa"/>
              <w:bottom w:w="75" w:type="dxa"/>
              <w:right w:w="100" w:type="dxa"/>
            </w:tcMar>
          </w:tcPr>
          <w:p w14:paraId="00000084">
            <w:pPr>
              <w:spacing w:after="30"/>
            </w:pPr>
            <w:r>
              <w:rPr>
                <w:color w:val="000000"/>
                <w:sz w:val="18"/>
                <w:szCs w:val="18"/>
                <w:rtl w:val="0"/>
              </w:rPr>
              <w:t>Клиент подтверждает точность реквизитов получателя, наличие и действительность документов по Основной сделке и согласие на исполнение на указанных условиях.</w:t>
            </w:r>
          </w:p>
        </w:tc>
        <w:tc>
          <w:tcPr>
            <w:tcBorders>
              <w:top w:val="nil"/>
              <w:left w:val="nil"/>
              <w:bottom w:val="nil"/>
              <w:right w:val="nil"/>
            </w:tcBorders>
            <w:tcMar>
              <w:top w:w="75" w:type="dxa"/>
              <w:left w:w="100" w:type="dxa"/>
              <w:bottom w:w="75" w:type="dxa"/>
              <w:right w:w="100" w:type="dxa"/>
            </w:tcMar>
          </w:tcPr>
          <w:p w14:paraId="00000085">
            <w:pPr>
              <w:spacing w:after="30"/>
            </w:pPr>
            <w:r>
              <w:rPr>
                <w:color w:val="000000"/>
                <w:sz w:val="18"/>
                <w:szCs w:val="18"/>
                <w:rtl w:val="0"/>
              </w:rPr>
              <w:t>The Client confirms the accuracy of recipient details, the existence and validity of Underlying Transaction documents, and consent to execution on the stated terms.</w:t>
            </w:r>
          </w:p>
        </w:tc>
      </w:tr>
      <w:tr w14:paraId="05C51F2C">
        <w:trPr>
          <w:cantSplit/>
          <w:jc w:val="center"/>
        </w:trPr>
        <w:tc>
          <w:tcPr>
            <w:gridSpan w:val="2"/>
            <w:shd w:val="clear" w:color="auto" w:fill="0E6D95"/>
            <w:tcMar>
              <w:top w:w="90" w:type="dxa"/>
              <w:left w:w="120" w:type="dxa"/>
              <w:bottom w:w="90" w:type="dxa"/>
              <w:right w:w="120" w:type="dxa"/>
            </w:tcMar>
          </w:tcPr>
          <w:p w14:paraId="00000086">
            <w:pPr>
              <w:spacing w:after="30"/>
            </w:pPr>
            <w:r>
              <w:rPr>
                <w:b/>
                <w:bCs/>
                <w:color w:val="FFFFFF"/>
                <w:rtl w:val="0"/>
              </w:rPr>
              <w:t>ПОЛЕ / FIELD</w:t>
            </w:r>
          </w:p>
        </w:tc>
        <w:tc>
          <w:tcPr>
            <w:shd w:val="clear" w:color="auto" w:fill="0E6D95"/>
            <w:tcMar>
              <w:top w:w="90" w:type="dxa"/>
              <w:left w:w="120" w:type="dxa"/>
              <w:bottom w:w="90" w:type="dxa"/>
              <w:right w:w="120" w:type="dxa"/>
            </w:tcMar>
          </w:tcPr>
          <w:p w14:paraId="00000088">
            <w:pPr>
              <w:spacing w:after="30"/>
            </w:pPr>
            <w:r>
              <w:rPr>
                <w:b/>
                <w:bCs/>
                <w:color w:val="FFFFFF"/>
                <w:rtl w:val="0"/>
              </w:rPr>
              <w:t>ДАННЫЕ / DETAILS</w:t>
            </w:r>
          </w:p>
        </w:tc>
      </w:tr>
      <w:tr w14:paraId="7AEDFAC0">
        <w:trPr>
          <w:cantSplit/>
          <w:jc w:val="center"/>
        </w:trPr>
        <w:tc>
          <w:tcPr>
            <w:gridSpan w:val="2"/>
            <w:shd w:val="clear" w:color="auto" w:fill="EAF4F8"/>
            <w:tcMar>
              <w:top w:w="90" w:type="dxa"/>
              <w:left w:w="120" w:type="dxa"/>
              <w:bottom w:w="90" w:type="dxa"/>
              <w:right w:w="120" w:type="dxa"/>
            </w:tcMar>
          </w:tcPr>
          <w:p w14:paraId="00000089">
            <w:pPr>
              <w:spacing w:after="30"/>
            </w:pPr>
            <w:r>
              <w:rPr>
                <w:b/>
                <w:bCs/>
                <w:rtl w:val="0"/>
              </w:rPr>
              <w:t>Номер и дата / Number and date</w:t>
            </w:r>
          </w:p>
        </w:tc>
        <w:tc>
          <w:tcPr>
            <w:tcMar>
              <w:top w:w="90" w:type="dxa"/>
              <w:left w:w="120" w:type="dxa"/>
              <w:bottom w:w="90" w:type="dxa"/>
              <w:right w:w="120" w:type="dxa"/>
            </w:tcMar>
          </w:tcPr>
          <w:p w14:paraId="0000008B">
            <w:pPr>
              <w:spacing w:after="30"/>
            </w:pPr>
            <w:r>
              <w:rPr>
                <w:rtl w:val="0"/>
              </w:rPr>
              <w:t>[●]</w:t>
            </w:r>
          </w:p>
        </w:tc>
      </w:tr>
      <w:tr w14:paraId="73A69574">
        <w:trPr>
          <w:cantSplit/>
          <w:jc w:val="center"/>
        </w:trPr>
        <w:tc>
          <w:tcPr>
            <w:gridSpan w:val="2"/>
            <w:shd w:val="clear" w:color="auto" w:fill="EAF4F8"/>
            <w:tcMar>
              <w:top w:w="90" w:type="dxa"/>
              <w:left w:w="120" w:type="dxa"/>
              <w:bottom w:w="90" w:type="dxa"/>
              <w:right w:w="120" w:type="dxa"/>
            </w:tcMar>
          </w:tcPr>
          <w:p w14:paraId="0000008C">
            <w:pPr>
              <w:spacing w:after="30"/>
            </w:pPr>
            <w:r>
              <w:rPr>
                <w:b/>
                <w:bCs/>
                <w:rtl w:val="0"/>
              </w:rPr>
              <w:t>Клиент / Client</w:t>
            </w:r>
          </w:p>
        </w:tc>
        <w:tc>
          <w:tcPr>
            <w:tcMar>
              <w:top w:w="90" w:type="dxa"/>
              <w:left w:w="120" w:type="dxa"/>
              <w:bottom w:w="90" w:type="dxa"/>
              <w:right w:w="120" w:type="dxa"/>
            </w:tcMar>
          </w:tcPr>
          <w:p w14:paraId="0000008E">
            <w:pPr>
              <w:spacing w:after="30"/>
            </w:pPr>
            <w:r>
              <w:rPr>
                <w:rtl w:val="0"/>
              </w:rPr>
              <w:t>[●]</w:t>
            </w:r>
          </w:p>
        </w:tc>
      </w:tr>
      <w:tr w14:paraId="7B090F46">
        <w:trPr>
          <w:cantSplit/>
          <w:jc w:val="center"/>
        </w:trPr>
        <w:tc>
          <w:tcPr>
            <w:gridSpan w:val="2"/>
            <w:shd w:val="clear" w:color="auto" w:fill="EAF4F8"/>
            <w:tcMar>
              <w:top w:w="90" w:type="dxa"/>
              <w:left w:w="120" w:type="dxa"/>
              <w:bottom w:w="90" w:type="dxa"/>
              <w:right w:w="120" w:type="dxa"/>
            </w:tcMar>
          </w:tcPr>
          <w:p w14:paraId="0000008F">
            <w:pPr>
              <w:spacing w:after="30"/>
            </w:pPr>
            <w:r>
              <w:rPr>
                <w:b/>
                <w:bCs/>
                <w:rtl w:val="0"/>
              </w:rPr>
              <w:t>Основание платежа / Payment basis</w:t>
            </w:r>
          </w:p>
        </w:tc>
        <w:tc>
          <w:tcPr>
            <w:tcMar>
              <w:top w:w="90" w:type="dxa"/>
              <w:left w:w="120" w:type="dxa"/>
              <w:bottom w:w="90" w:type="dxa"/>
              <w:right w:w="120" w:type="dxa"/>
            </w:tcMar>
          </w:tcPr>
          <w:p w14:paraId="00000091">
            <w:pPr>
              <w:spacing w:after="30"/>
            </w:pPr>
            <w:r>
              <w:rPr>
                <w:rtl w:val="0"/>
              </w:rPr>
              <w:t>Договор / Reservation Agreement / SPA № [●] от [●]; инвойс № [●] от [●]</w:t>
            </w:r>
          </w:p>
        </w:tc>
      </w:tr>
      <w:tr w14:paraId="161A3138">
        <w:trPr>
          <w:cantSplit/>
          <w:jc w:val="center"/>
        </w:trPr>
        <w:tc>
          <w:tcPr>
            <w:gridSpan w:val="2"/>
            <w:shd w:val="clear" w:color="auto" w:fill="EAF4F8"/>
            <w:tcMar>
              <w:top w:w="90" w:type="dxa"/>
              <w:left w:w="120" w:type="dxa"/>
              <w:bottom w:w="90" w:type="dxa"/>
              <w:right w:w="120" w:type="dxa"/>
            </w:tcMar>
          </w:tcPr>
          <w:p w14:paraId="00000092">
            <w:pPr>
              <w:spacing w:after="30"/>
            </w:pPr>
            <w:r>
              <w:rPr>
                <w:b/>
                <w:bCs/>
                <w:rtl w:val="0"/>
              </w:rPr>
              <w:t>Объект / Property</w:t>
            </w:r>
          </w:p>
        </w:tc>
        <w:tc>
          <w:tcPr>
            <w:tcMar>
              <w:top w:w="90" w:type="dxa"/>
              <w:left w:w="120" w:type="dxa"/>
              <w:bottom w:w="90" w:type="dxa"/>
              <w:right w:w="120" w:type="dxa"/>
            </w:tcMar>
          </w:tcPr>
          <w:p w14:paraId="00000094">
            <w:pPr>
              <w:spacing w:after="30"/>
            </w:pPr>
            <w:r>
              <w:rPr>
                <w:rtl w:val="0"/>
              </w:rPr>
              <w:t>Проект [●], юнит [●], адрес [●]</w:t>
            </w:r>
          </w:p>
        </w:tc>
      </w:tr>
      <w:tr w14:paraId="33325BF0">
        <w:trPr>
          <w:cantSplit/>
          <w:jc w:val="center"/>
        </w:trPr>
        <w:tc>
          <w:tcPr>
            <w:gridSpan w:val="2"/>
            <w:shd w:val="clear" w:color="auto" w:fill="EAF4F8"/>
            <w:tcMar>
              <w:top w:w="90" w:type="dxa"/>
              <w:left w:w="120" w:type="dxa"/>
              <w:bottom w:w="90" w:type="dxa"/>
              <w:right w:w="120" w:type="dxa"/>
            </w:tcMar>
          </w:tcPr>
          <w:p w14:paraId="00000095">
            <w:pPr>
              <w:spacing w:after="30"/>
            </w:pPr>
            <w:r>
              <w:rPr>
                <w:b/>
                <w:bCs/>
                <w:rtl w:val="0"/>
              </w:rPr>
              <w:t>Получатель / Recipient</w:t>
            </w:r>
          </w:p>
        </w:tc>
        <w:tc>
          <w:tcPr>
            <w:tcMar>
              <w:top w:w="90" w:type="dxa"/>
              <w:left w:w="120" w:type="dxa"/>
              <w:bottom w:w="90" w:type="dxa"/>
              <w:right w:w="120" w:type="dxa"/>
            </w:tcMar>
          </w:tcPr>
          <w:p w14:paraId="00000097">
            <w:pPr>
              <w:spacing w:after="30"/>
            </w:pPr>
            <w:r>
              <w:rPr>
                <w:rtl w:val="0"/>
              </w:rPr>
              <w:t>[полное юридическое наименование / full legal name]</w:t>
            </w:r>
          </w:p>
        </w:tc>
      </w:tr>
      <w:tr w14:paraId="3D7B7871">
        <w:trPr>
          <w:cantSplit/>
          <w:jc w:val="center"/>
        </w:trPr>
        <w:tc>
          <w:tcPr>
            <w:gridSpan w:val="2"/>
            <w:shd w:val="clear" w:color="auto" w:fill="EAF4F8"/>
            <w:tcMar>
              <w:top w:w="90" w:type="dxa"/>
              <w:left w:w="120" w:type="dxa"/>
              <w:bottom w:w="90" w:type="dxa"/>
              <w:right w:w="120" w:type="dxa"/>
            </w:tcMar>
          </w:tcPr>
          <w:p w14:paraId="00000098">
            <w:pPr>
              <w:spacing w:after="30"/>
            </w:pPr>
            <w:r>
              <w:rPr>
                <w:b/>
                <w:bCs/>
                <w:rtl w:val="0"/>
              </w:rPr>
              <w:t>Реквизиты получателя / Recipient bank details</w:t>
            </w:r>
          </w:p>
        </w:tc>
        <w:tc>
          <w:tcPr>
            <w:tcMar>
              <w:top w:w="90" w:type="dxa"/>
              <w:left w:w="120" w:type="dxa"/>
              <w:bottom w:w="90" w:type="dxa"/>
              <w:right w:w="120" w:type="dxa"/>
            </w:tcMar>
          </w:tcPr>
          <w:p w14:paraId="0000009A">
            <w:pPr>
              <w:spacing w:after="30"/>
            </w:pPr>
            <w:r>
              <w:rPr>
                <w:rtl w:val="0"/>
              </w:rPr>
              <w:t>[банк, счет, SWIFT, иные обязательные поля / bank, account, SWIFT and other required fields]</w:t>
            </w:r>
          </w:p>
        </w:tc>
      </w:tr>
      <w:tr w14:paraId="052A0472">
        <w:trPr>
          <w:cantSplit/>
          <w:jc w:val="center"/>
        </w:trPr>
        <w:tc>
          <w:tcPr>
            <w:gridSpan w:val="2"/>
            <w:shd w:val="clear" w:color="auto" w:fill="EAF4F8"/>
            <w:tcMar>
              <w:top w:w="90" w:type="dxa"/>
              <w:left w:w="120" w:type="dxa"/>
              <w:bottom w:w="90" w:type="dxa"/>
              <w:right w:w="120" w:type="dxa"/>
            </w:tcMar>
          </w:tcPr>
          <w:p w14:paraId="0000009B">
            <w:pPr>
              <w:spacing w:after="30"/>
            </w:pPr>
            <w:r>
              <w:rPr>
                <w:b/>
                <w:bCs/>
                <w:rtl w:val="0"/>
              </w:rPr>
              <w:t>Сумма и валюта pay-in / Pay-in amount and currency</w:t>
            </w:r>
          </w:p>
        </w:tc>
        <w:tc>
          <w:tcPr>
            <w:tcMar>
              <w:top w:w="90" w:type="dxa"/>
              <w:left w:w="120" w:type="dxa"/>
              <w:bottom w:w="90" w:type="dxa"/>
              <w:right w:w="120" w:type="dxa"/>
            </w:tcMar>
          </w:tcPr>
          <w:p w14:paraId="0000009D">
            <w:pPr>
              <w:spacing w:after="30"/>
            </w:pPr>
            <w:r>
              <w:rPr>
                <w:rtl w:val="0"/>
              </w:rPr>
              <w:t>[RUB / USDT / other] [●]</w:t>
            </w:r>
          </w:p>
        </w:tc>
      </w:tr>
      <w:tr w14:paraId="5EA9E6F2">
        <w:trPr>
          <w:cantSplit/>
          <w:jc w:val="center"/>
        </w:trPr>
        <w:tc>
          <w:tcPr>
            <w:gridSpan w:val="2"/>
            <w:shd w:val="clear" w:color="auto" w:fill="EAF4F8"/>
            <w:tcMar>
              <w:top w:w="90" w:type="dxa"/>
              <w:left w:w="120" w:type="dxa"/>
              <w:bottom w:w="90" w:type="dxa"/>
              <w:right w:w="120" w:type="dxa"/>
            </w:tcMar>
          </w:tcPr>
          <w:p w14:paraId="0000009E">
            <w:pPr>
              <w:spacing w:after="30"/>
            </w:pPr>
            <w:r>
              <w:rPr>
                <w:b/>
                <w:bCs/>
                <w:rtl w:val="0"/>
              </w:rPr>
              <w:t>Обязательство по инвойсу застройщика / Developer invoice obligation</w:t>
            </w:r>
          </w:p>
        </w:tc>
        <w:tc>
          <w:tcPr>
            <w:tcMar>
              <w:top w:w="90" w:type="dxa"/>
              <w:left w:w="120" w:type="dxa"/>
              <w:bottom w:w="90" w:type="dxa"/>
              <w:right w:w="120" w:type="dxa"/>
            </w:tcMar>
          </w:tcPr>
          <w:p w14:paraId="000000A0">
            <w:pPr>
              <w:spacing w:after="30"/>
            </w:pPr>
            <w:r>
              <w:rPr>
                <w:rtl w:val="0"/>
              </w:rPr>
              <w:t>THB [●]</w:t>
            </w:r>
          </w:p>
        </w:tc>
      </w:tr>
      <w:tr w14:paraId="6AF12678">
        <w:trPr>
          <w:jc w:val="center"/>
        </w:trPr>
        <w:tc>
          <w:tcPr>
            <w:gridSpan w:val="2"/>
          </w:tcPr>
          <w:p w14:paraId="000000A1">
            <w:r>
              <w:rPr>
                <w:rtl w:val="0"/>
              </w:rPr>
              <w:t>Источник курса и срок действия / Rate source and validity</w:t>
            </w:r>
          </w:p>
        </w:tc>
        <w:tc>
          <w:p w14:paraId="000000A3">
            <w:r>
              <w:rPr>
                <w:rtl w:val="0"/>
              </w:rPr>
              <w:t>[подтверждение застройщика и/или банка-получателя; дата и время]</w:t>
            </w:r>
          </w:p>
        </w:tc>
      </w:tr>
      <w:tr w14:paraId="5CC04EAD">
        <w:trPr>
          <w:cantSplit/>
          <w:jc w:val="center"/>
        </w:trPr>
        <w:tc>
          <w:tcPr>
            <w:gridSpan w:val="2"/>
            <w:shd w:val="clear" w:color="auto" w:fill="EAF4F8"/>
            <w:tcMar>
              <w:top w:w="90" w:type="dxa"/>
              <w:left w:w="120" w:type="dxa"/>
              <w:bottom w:w="90" w:type="dxa"/>
              <w:right w:w="120" w:type="dxa"/>
            </w:tcMar>
          </w:tcPr>
          <w:p w14:paraId="000000A4">
            <w:pPr>
              <w:spacing w:after="30"/>
            </w:pPr>
            <w:r>
              <w:rPr>
                <w:b/>
                <w:bCs/>
                <w:rtl w:val="0"/>
              </w:rPr>
              <w:t>Подтверждённый USD-эквивалент / Confirmed USD equivalent</w:t>
            </w:r>
          </w:p>
        </w:tc>
        <w:tc>
          <w:tcPr>
            <w:tcMar>
              <w:top w:w="90" w:type="dxa"/>
              <w:left w:w="120" w:type="dxa"/>
              <w:bottom w:w="90" w:type="dxa"/>
              <w:right w:w="120" w:type="dxa"/>
            </w:tcMar>
          </w:tcPr>
          <w:p w14:paraId="000000A6">
            <w:pPr>
              <w:spacing w:after="30"/>
            </w:pPr>
            <w:r>
              <w:rPr>
                <w:rtl w:val="0"/>
              </w:rPr>
              <w:t>USD [●]</w:t>
            </w:r>
          </w:p>
        </w:tc>
      </w:tr>
      <w:tr w14:paraId="62774147">
        <w:trPr>
          <w:cantSplit/>
          <w:jc w:val="center"/>
        </w:trPr>
        <w:tc>
          <w:tcPr>
            <w:gridSpan w:val="2"/>
            <w:shd w:val="clear" w:color="auto" w:fill="EAF4F8"/>
            <w:tcMar>
              <w:top w:w="90" w:type="dxa"/>
              <w:left w:w="120" w:type="dxa"/>
              <w:bottom w:w="90" w:type="dxa"/>
              <w:right w:w="120" w:type="dxa"/>
            </w:tcMar>
          </w:tcPr>
          <w:p w14:paraId="000000A7">
            <w:pPr>
              <w:spacing w:after="30"/>
            </w:pPr>
            <w:r>
              <w:rPr>
                <w:rtl w:val="0"/>
              </w:rPr>
              <w:t>Статус зачёта THB-инвойса</w:t>
            </w:r>
            <w:r>
              <w:rPr>
                <w:rtl w:val="0"/>
              </w:rPr>
              <w:br w:type="textWrapping"/>
            </w:r>
            <w:r>
              <w:rPr>
                <w:rtl w:val="0"/>
              </w:rPr>
              <w:t>THB invoice credit status</w:t>
            </w:r>
          </w:p>
        </w:tc>
        <w:tc>
          <w:tcPr>
            <w:tcMar>
              <w:top w:w="90" w:type="dxa"/>
              <w:left w:w="120" w:type="dxa"/>
              <w:bottom w:w="90" w:type="dxa"/>
              <w:right w:w="120" w:type="dxa"/>
            </w:tcMar>
          </w:tcPr>
          <w:p w14:paraId="000000A9">
            <w:pPr>
              <w:spacing w:after="30"/>
            </w:pPr>
            <w:r>
              <w:rPr>
                <w:rtl w:val="0"/>
              </w:rPr>
              <w:t>[полное исполнение / частичное исполнение; остаток THB / full or partial performance; balance THB]</w:t>
            </w:r>
          </w:p>
        </w:tc>
      </w:tr>
      <w:tr w14:paraId="6CC9A2D4">
        <w:trPr>
          <w:cantSplit/>
          <w:jc w:val="center"/>
        </w:trPr>
        <w:tc>
          <w:tcPr>
            <w:gridSpan w:val="2"/>
            <w:shd w:val="clear" w:color="auto" w:fill="EAF4F8"/>
            <w:tcMar>
              <w:top w:w="90" w:type="dxa"/>
              <w:left w:w="120" w:type="dxa"/>
              <w:bottom w:w="90" w:type="dxa"/>
              <w:right w:w="120" w:type="dxa"/>
            </w:tcMar>
          </w:tcPr>
          <w:p w14:paraId="000000AA">
            <w:pPr>
              <w:spacing w:after="30"/>
            </w:pPr>
            <w:r>
              <w:rPr>
                <w:rtl w:val="0"/>
              </w:rPr>
              <w:t>Письменное подтверждение застройщика</w:t>
            </w:r>
            <w:r>
              <w:rPr>
                <w:rtl w:val="0"/>
              </w:rPr>
              <w:br w:type="textWrapping"/>
            </w:r>
            <w:r>
              <w:rPr>
                <w:rtl w:val="0"/>
              </w:rPr>
              <w:t>Developer’s written confirmation</w:t>
            </w:r>
          </w:p>
        </w:tc>
        <w:tc>
          <w:tcPr>
            <w:tcMar>
              <w:top w:w="90" w:type="dxa"/>
              <w:left w:w="120" w:type="dxa"/>
              <w:bottom w:w="90" w:type="dxa"/>
              <w:right w:w="120" w:type="dxa"/>
            </w:tcMar>
          </w:tcPr>
          <w:p w14:paraId="000000AC">
            <w:pPr>
              <w:spacing w:after="30"/>
            </w:pPr>
            <w:r>
              <w:rPr>
                <w:rtl w:val="0"/>
              </w:rPr>
              <w:t>[дата, отправитель, номер письма / приложенный документ / date, sender, reference or attached document]</w:t>
            </w:r>
          </w:p>
        </w:tc>
      </w:tr>
      <w:tr w14:paraId="641C5B8F">
        <w:trPr>
          <w:cantSplit/>
          <w:jc w:val="center"/>
        </w:trPr>
        <w:tc>
          <w:tcPr>
            <w:gridSpan w:val="2"/>
            <w:shd w:val="clear" w:color="auto" w:fill="EAF4F8"/>
            <w:tcMar>
              <w:top w:w="90" w:type="dxa"/>
              <w:left w:w="120" w:type="dxa"/>
              <w:bottom w:w="90" w:type="dxa"/>
              <w:right w:w="120" w:type="dxa"/>
            </w:tcMar>
          </w:tcPr>
          <w:p w14:paraId="000000AD">
            <w:pPr>
              <w:spacing w:after="30"/>
            </w:pPr>
            <w:r>
              <w:rPr>
                <w:b/>
                <w:bCs/>
                <w:rtl w:val="0"/>
              </w:rPr>
              <w:t>Комиссия Агента / Agent’s fee</w:t>
            </w:r>
          </w:p>
        </w:tc>
        <w:tc>
          <w:tcPr>
            <w:tcMar>
              <w:top w:w="90" w:type="dxa"/>
              <w:left w:w="120" w:type="dxa"/>
              <w:bottom w:w="90" w:type="dxa"/>
              <w:right w:w="120" w:type="dxa"/>
            </w:tcMar>
          </w:tcPr>
          <w:p w14:paraId="000000AF">
            <w:pPr>
              <w:spacing w:after="30"/>
            </w:pPr>
            <w:r>
              <w:rPr>
                <w:rtl w:val="0"/>
              </w:rPr>
              <w:t>[●]</w:t>
            </w:r>
          </w:p>
        </w:tc>
      </w:tr>
      <w:tr w14:paraId="68E1335B">
        <w:trPr>
          <w:cantSplit/>
          <w:jc w:val="center"/>
        </w:trPr>
        <w:tc>
          <w:tcPr>
            <w:gridSpan w:val="2"/>
            <w:shd w:val="clear" w:color="auto" w:fill="EAF4F8"/>
            <w:tcMar>
              <w:top w:w="90" w:type="dxa"/>
              <w:left w:w="120" w:type="dxa"/>
              <w:bottom w:w="90" w:type="dxa"/>
              <w:right w:w="120" w:type="dxa"/>
            </w:tcMar>
          </w:tcPr>
          <w:p w14:paraId="000000B0">
            <w:pPr>
              <w:spacing w:after="30"/>
            </w:pPr>
            <w:r>
              <w:rPr>
                <w:b/>
                <w:bCs/>
                <w:rtl w:val="0"/>
              </w:rPr>
              <w:t>Банковские расходы / Bank charges</w:t>
            </w:r>
          </w:p>
        </w:tc>
        <w:tc>
          <w:tcPr>
            <w:tcMar>
              <w:top w:w="90" w:type="dxa"/>
              <w:left w:w="120" w:type="dxa"/>
              <w:bottom w:w="90" w:type="dxa"/>
              <w:right w:w="120" w:type="dxa"/>
            </w:tcMar>
          </w:tcPr>
          <w:p w14:paraId="000000B2">
            <w:pPr>
              <w:spacing w:after="30"/>
            </w:pPr>
            <w:r>
              <w:rPr>
                <w:rtl w:val="0"/>
              </w:rPr>
              <w:t>[OUR / SHA / BEN; сумма или порядок / amount or allocation]</w:t>
            </w:r>
          </w:p>
        </w:tc>
      </w:tr>
      <w:tr w14:paraId="74D0ECBB">
        <w:trPr>
          <w:cantSplit/>
          <w:jc w:val="center"/>
        </w:trPr>
        <w:tc>
          <w:tcPr>
            <w:gridSpan w:val="2"/>
            <w:shd w:val="clear" w:color="auto" w:fill="EAF4F8"/>
            <w:tcMar>
              <w:top w:w="90" w:type="dxa"/>
              <w:left w:w="120" w:type="dxa"/>
              <w:bottom w:w="90" w:type="dxa"/>
              <w:right w:w="120" w:type="dxa"/>
            </w:tcMar>
          </w:tcPr>
          <w:p w14:paraId="000000B3">
            <w:pPr>
              <w:spacing w:after="30"/>
            </w:pPr>
            <w:r>
              <w:rPr>
                <w:rtl w:val="0"/>
              </w:rPr>
              <w:t>Всего к оплате Клиентом</w:t>
            </w:r>
            <w:r>
              <w:rPr>
                <w:rtl w:val="0"/>
              </w:rPr>
              <w:br w:type="textWrapping"/>
            </w:r>
            <w:r>
              <w:rPr>
                <w:rtl w:val="0"/>
              </w:rPr>
              <w:t>Total payable by Client</w:t>
            </w:r>
          </w:p>
        </w:tc>
        <w:tc>
          <w:tcPr>
            <w:tcMar>
              <w:top w:w="90" w:type="dxa"/>
              <w:left w:w="120" w:type="dxa"/>
              <w:bottom w:w="90" w:type="dxa"/>
              <w:right w:w="120" w:type="dxa"/>
            </w:tcMar>
          </w:tcPr>
          <w:p w14:paraId="000000B5">
            <w:pPr>
              <w:spacing w:after="30"/>
            </w:pPr>
            <w:r>
              <w:rPr>
                <w:rtl w:val="0"/>
              </w:rPr>
              <w:t>[валюта / currency] [сумма / amount]</w:t>
            </w:r>
          </w:p>
        </w:tc>
      </w:tr>
      <w:tr w14:paraId="529555D4">
        <w:trPr>
          <w:cantSplit/>
          <w:jc w:val="center"/>
        </w:trPr>
        <w:tc>
          <w:tcPr>
            <w:gridSpan w:val="2"/>
            <w:shd w:val="clear" w:color="auto" w:fill="EAF4F8"/>
            <w:tcMar>
              <w:top w:w="90" w:type="dxa"/>
              <w:left w:w="120" w:type="dxa"/>
              <w:bottom w:w="90" w:type="dxa"/>
              <w:right w:w="120" w:type="dxa"/>
            </w:tcMar>
          </w:tcPr>
          <w:p w14:paraId="000000B6">
            <w:pPr>
              <w:spacing w:after="30"/>
            </w:pPr>
            <w:r>
              <w:rPr>
                <w:rtl w:val="0"/>
              </w:rPr>
              <w:t>Сумма для перечисления получателю</w:t>
            </w:r>
            <w:r>
              <w:rPr>
                <w:rtl w:val="0"/>
              </w:rPr>
              <w:br w:type="textWrapping"/>
            </w:r>
            <w:r>
              <w:rPr>
                <w:rtl w:val="0"/>
              </w:rPr>
              <w:t>Amount to be remitted to recipient</w:t>
            </w:r>
          </w:p>
        </w:tc>
        <w:tc>
          <w:tcPr>
            <w:tcMar>
              <w:top w:w="90" w:type="dxa"/>
              <w:left w:w="120" w:type="dxa"/>
              <w:bottom w:w="90" w:type="dxa"/>
              <w:right w:w="120" w:type="dxa"/>
            </w:tcMar>
          </w:tcPr>
          <w:p w14:paraId="000000B8">
            <w:pPr>
              <w:spacing w:after="30"/>
            </w:pPr>
            <w:r>
              <w:rPr>
                <w:rtl w:val="0"/>
              </w:rPr>
              <w:t>[THB / USD] [сумма / amount]</w:t>
            </w:r>
          </w:p>
        </w:tc>
      </w:tr>
      <w:tr w14:paraId="1933EDE4">
        <w:trPr>
          <w:cantSplit/>
          <w:jc w:val="center"/>
        </w:trPr>
        <w:tc>
          <w:tcPr>
            <w:gridSpan w:val="2"/>
            <w:shd w:val="clear" w:color="auto" w:fill="EAF4F8"/>
            <w:tcMar>
              <w:top w:w="90" w:type="dxa"/>
              <w:left w:w="120" w:type="dxa"/>
              <w:bottom w:w="90" w:type="dxa"/>
              <w:right w:w="120" w:type="dxa"/>
            </w:tcMar>
          </w:tcPr>
          <w:p w14:paraId="000000B9">
            <w:pPr>
              <w:spacing w:after="30"/>
            </w:pPr>
            <w:r>
              <w:rPr>
                <w:rtl w:val="0"/>
              </w:rPr>
              <w:t>Комиссия Агента</w:t>
            </w:r>
            <w:r>
              <w:rPr>
                <w:rtl w:val="0"/>
              </w:rPr>
              <w:br w:type="textWrapping"/>
            </w:r>
            <w:r>
              <w:rPr>
                <w:rtl w:val="0"/>
              </w:rPr>
              <w:t>Agent’s fee</w:t>
            </w:r>
          </w:p>
        </w:tc>
        <w:tc>
          <w:tcPr>
            <w:tcMar>
              <w:top w:w="90" w:type="dxa"/>
              <w:left w:w="120" w:type="dxa"/>
              <w:bottom w:w="90" w:type="dxa"/>
              <w:right w:w="120" w:type="dxa"/>
            </w:tcMar>
          </w:tcPr>
          <w:p w14:paraId="000000BB">
            <w:pPr>
              <w:spacing w:after="30"/>
            </w:pPr>
            <w:r>
              <w:rPr>
                <w:rtl w:val="0"/>
              </w:rPr>
              <w:t>[сумма / amount]; [включена в итог / payable additionally]</w:t>
            </w:r>
          </w:p>
        </w:tc>
      </w:tr>
      <w:tr w14:paraId="2AB14975">
        <w:trPr>
          <w:cantSplit/>
          <w:jc w:val="center"/>
        </w:trPr>
        <w:tc>
          <w:tcPr>
            <w:gridSpan w:val="2"/>
            <w:shd w:val="clear" w:color="auto" w:fill="EAF4F8"/>
            <w:tcMar>
              <w:top w:w="90" w:type="dxa"/>
              <w:left w:w="120" w:type="dxa"/>
              <w:bottom w:w="90" w:type="dxa"/>
              <w:right w:w="120" w:type="dxa"/>
            </w:tcMar>
          </w:tcPr>
          <w:p w14:paraId="000000BC">
            <w:pPr>
              <w:spacing w:after="30"/>
            </w:pPr>
            <w:r>
              <w:rPr>
                <w:rtl w:val="0"/>
              </w:rPr>
              <w:t>Комиссия платёжного партнёра и конвертация</w:t>
            </w:r>
            <w:r>
              <w:rPr>
                <w:rtl w:val="0"/>
              </w:rPr>
              <w:br w:type="textWrapping"/>
            </w:r>
            <w:r>
              <w:rPr>
                <w:rtl w:val="0"/>
              </w:rPr>
              <w:t>Payment partner and conversion fee</w:t>
            </w:r>
          </w:p>
        </w:tc>
        <w:tc>
          <w:tcPr>
            <w:tcMar>
              <w:top w:w="90" w:type="dxa"/>
              <w:left w:w="120" w:type="dxa"/>
              <w:bottom w:w="90" w:type="dxa"/>
              <w:right w:w="120" w:type="dxa"/>
            </w:tcMar>
          </w:tcPr>
          <w:p w14:paraId="000000BE">
            <w:pPr>
              <w:spacing w:after="30"/>
            </w:pPr>
            <w:r>
              <w:rPr>
                <w:rtl w:val="0"/>
              </w:rPr>
              <w:t>[сумма / amount]; [включена в итог / payable additionally]</w:t>
            </w:r>
          </w:p>
        </w:tc>
      </w:tr>
      <w:tr w14:paraId="7DACE157">
        <w:trPr>
          <w:cantSplit/>
          <w:jc w:val="center"/>
        </w:trPr>
        <w:tc>
          <w:tcPr>
            <w:gridSpan w:val="2"/>
            <w:shd w:val="clear" w:color="auto" w:fill="EAF4F8"/>
            <w:tcMar>
              <w:top w:w="90" w:type="dxa"/>
              <w:left w:w="120" w:type="dxa"/>
              <w:bottom w:w="90" w:type="dxa"/>
              <w:right w:w="120" w:type="dxa"/>
            </w:tcMar>
          </w:tcPr>
          <w:p w14:paraId="000000BF">
            <w:pPr>
              <w:spacing w:after="30"/>
            </w:pPr>
            <w:r>
              <w:rPr>
                <w:rtl w:val="0"/>
              </w:rPr>
              <w:t>Остаток после исполнения</w:t>
            </w:r>
            <w:r>
              <w:rPr>
                <w:rtl w:val="0"/>
              </w:rPr>
              <w:br w:type="textWrapping"/>
            </w:r>
            <w:r>
              <w:rPr>
                <w:rtl w:val="0"/>
              </w:rPr>
              <w:t>Remaining balance after execution</w:t>
            </w:r>
          </w:p>
        </w:tc>
        <w:tc>
          <w:tcPr>
            <w:tcMar>
              <w:top w:w="90" w:type="dxa"/>
              <w:left w:w="120" w:type="dxa"/>
              <w:bottom w:w="90" w:type="dxa"/>
              <w:right w:w="120" w:type="dxa"/>
            </w:tcMar>
          </w:tcPr>
          <w:p w14:paraId="000000C1">
            <w:pPr>
              <w:spacing w:after="30"/>
            </w:pPr>
            <w:r>
              <w:rPr>
                <w:rtl w:val="0"/>
              </w:rPr>
              <w:t>[валюта / currency] [сумма / amount] / отсутствует / none</w:t>
            </w:r>
          </w:p>
        </w:tc>
      </w:tr>
      <w:tr w14:paraId="023190E9">
        <w:trPr>
          <w:cantSplit/>
          <w:jc w:val="center"/>
        </w:trPr>
        <w:tc>
          <w:tcPr>
            <w:gridSpan w:val="2"/>
            <w:shd w:val="clear" w:color="auto" w:fill="EAF4F8"/>
            <w:tcMar>
              <w:top w:w="90" w:type="dxa"/>
              <w:left w:w="120" w:type="dxa"/>
              <w:bottom w:w="90" w:type="dxa"/>
              <w:right w:w="120" w:type="dxa"/>
            </w:tcMar>
          </w:tcPr>
          <w:p w14:paraId="000000C2">
            <w:pPr>
              <w:spacing w:after="30"/>
            </w:pPr>
            <w:r>
              <w:rPr>
                <w:b/>
                <w:bCs/>
                <w:rtl w:val="0"/>
              </w:rPr>
              <w:t>Срок исполнения / Execution period</w:t>
            </w:r>
          </w:p>
        </w:tc>
        <w:tc>
          <w:tcPr>
            <w:tcMar>
              <w:top w:w="90" w:type="dxa"/>
              <w:left w:w="120" w:type="dxa"/>
              <w:bottom w:w="90" w:type="dxa"/>
              <w:right w:w="120" w:type="dxa"/>
            </w:tcMar>
          </w:tcPr>
          <w:p w14:paraId="000000C4">
            <w:pPr>
              <w:spacing w:after="30"/>
            </w:pPr>
            <w:r>
              <w:rPr>
                <w:rtl w:val="0"/>
              </w:rPr>
              <w:t>[●] рабочих дней после выполнения п. 2.2 Договора</w:t>
            </w:r>
          </w:p>
        </w:tc>
      </w:tr>
      <w:tr w14:paraId="37C01AEF">
        <w:trPr>
          <w:cantSplit/>
          <w:jc w:val="center"/>
        </w:trPr>
        <w:tc>
          <w:tcPr>
            <w:gridSpan w:val="2"/>
            <w:shd w:val="clear" w:color="auto" w:fill="EAF4F8"/>
            <w:tcMar>
              <w:top w:w="90" w:type="dxa"/>
              <w:left w:w="120" w:type="dxa"/>
              <w:bottom w:w="90" w:type="dxa"/>
              <w:right w:w="120" w:type="dxa"/>
            </w:tcMar>
          </w:tcPr>
          <w:p w14:paraId="000000C5">
            <w:pPr>
              <w:spacing w:after="30"/>
            </w:pPr>
            <w:r>
              <w:rPr>
                <w:b/>
                <w:bCs/>
                <w:rtl w:val="0"/>
              </w:rPr>
              <w:t>Контакт для подтверждения / Confirmation contact</w:t>
            </w:r>
          </w:p>
        </w:tc>
        <w:tc>
          <w:tcPr>
            <w:tcMar>
              <w:top w:w="90" w:type="dxa"/>
              <w:left w:w="120" w:type="dxa"/>
              <w:bottom w:w="90" w:type="dxa"/>
              <w:right w:w="120" w:type="dxa"/>
            </w:tcMar>
          </w:tcPr>
          <w:p w14:paraId="000000C7">
            <w:pPr>
              <w:spacing w:after="30"/>
            </w:pPr>
            <w:r>
              <w:rPr>
                <w:rtl w:val="0"/>
              </w:rPr>
              <w:t>[email / telephone / agreed messenger]</w:t>
            </w:r>
          </w:p>
        </w:tc>
      </w:tr>
      <w:tr w14:paraId="30A90C27">
        <w:trPr>
          <w:cantSplit/>
          <w:jc w:val="center"/>
        </w:trPr>
        <w:tc>
          <w:tcPr>
            <w:gridSpan w:val="2"/>
            <w:shd w:val="clear" w:color="auto" w:fill="EAF4F8"/>
            <w:tcMar>
              <w:top w:w="90" w:type="dxa"/>
              <w:left w:w="120" w:type="dxa"/>
              <w:bottom w:w="90" w:type="dxa"/>
              <w:right w:w="120" w:type="dxa"/>
            </w:tcMar>
          </w:tcPr>
          <w:p w14:paraId="000000C8">
            <w:pPr>
              <w:spacing w:after="30"/>
            </w:pPr>
            <w:r>
              <w:rPr>
                <w:b/>
                <w:bCs/>
                <w:color w:val="0E6D95"/>
                <w:rtl w:val="0"/>
              </w:rPr>
              <w:t>АГЕНТ / AGENT</w:t>
            </w:r>
          </w:p>
        </w:tc>
        <w:tc>
          <w:tcPr>
            <w:shd w:val="clear" w:color="auto" w:fill="EAF4F8"/>
            <w:tcMar>
              <w:top w:w="90" w:type="dxa"/>
              <w:left w:w="120" w:type="dxa"/>
              <w:bottom w:w="90" w:type="dxa"/>
              <w:right w:w="120" w:type="dxa"/>
            </w:tcMar>
          </w:tcPr>
          <w:p w14:paraId="000000CA">
            <w:pPr>
              <w:spacing w:after="30"/>
            </w:pPr>
            <w:r>
              <w:rPr>
                <w:b/>
                <w:bCs/>
                <w:color w:val="0E6D95"/>
                <w:rtl w:val="0"/>
              </w:rPr>
              <w:t>КЛИЕНТ / CLIENT</w:t>
            </w:r>
          </w:p>
        </w:tc>
      </w:tr>
      <w:tr w14:paraId="5EC309D2">
        <w:trPr>
          <w:cantSplit/>
          <w:jc w:val="center"/>
        </w:trPr>
        <w:tc>
          <w:tcPr>
            <w:gridSpan w:val="2"/>
            <w:tcMar>
              <w:top w:w="90" w:type="dxa"/>
              <w:left w:w="120" w:type="dxa"/>
              <w:bottom w:w="90" w:type="dxa"/>
              <w:right w:w="120" w:type="dxa"/>
            </w:tcMar>
          </w:tcPr>
          <w:p w14:paraId="000000CB">
            <w:pPr>
              <w:spacing w:after="30"/>
            </w:pPr>
            <w:r>
              <w:rPr>
                <w:rtl w:val="0"/>
              </w:rPr>
              <w:t>MF Corporation Company Limited</w:t>
            </w:r>
            <w:r>
              <w:rPr>
                <w:rtl w:val="0"/>
              </w:rPr>
              <w:br w:type="textWrapping"/>
            </w:r>
            <w:r>
              <w:rPr>
                <w:rtl w:val="0"/>
              </w:rPr>
              <w:t>Director Miss Katika Sakornnoi</w:t>
            </w:r>
            <w:r>
              <w:rPr>
                <w:rtl w:val="0"/>
              </w:rPr>
              <w:br w:type="textWrapping"/>
            </w:r>
            <w:r>
              <w:rPr>
                <w:rtl w:val="0"/>
              </w:rPr>
              <w:br w:type="textWrapping"/>
            </w:r>
            <w:r>
              <w:rPr>
                <w:rtl w:val="0"/>
              </w:rPr>
              <w:t>Signature: _____________________</w:t>
            </w:r>
            <w:r>
              <w:rPr>
                <w:rtl w:val="0"/>
              </w:rPr>
              <w:br w:type="textWrapping"/>
            </w:r>
            <w:r>
              <w:rPr>
                <w:rtl w:val="0"/>
              </w:rPr>
              <w:t>Date: _________________________</w:t>
            </w:r>
          </w:p>
        </w:tc>
        <w:tc>
          <w:tcPr>
            <w:tcMar>
              <w:top w:w="90" w:type="dxa"/>
              <w:left w:w="120" w:type="dxa"/>
              <w:bottom w:w="90" w:type="dxa"/>
              <w:right w:w="120" w:type="dxa"/>
            </w:tcMar>
          </w:tcPr>
          <w:p w14:paraId="000000CD">
            <w:pPr>
              <w:spacing w:after="30"/>
            </w:pPr>
            <w:r>
              <w:rPr>
                <w:rtl w:val="0"/>
              </w:rPr>
              <w:t>[Full name / legal name]</w:t>
            </w:r>
            <w:r>
              <w:rPr>
                <w:rtl w:val="0"/>
              </w:rPr>
              <w:br w:type="textWrapping"/>
            </w:r>
            <w:r>
              <w:rPr>
                <w:rtl w:val="0"/>
              </w:rPr>
              <w:t>[Authorised signatory, if applicable]</w:t>
            </w:r>
            <w:r>
              <w:rPr>
                <w:rtl w:val="0"/>
              </w:rPr>
              <w:br w:type="textWrapping"/>
            </w:r>
            <w:r>
              <w:rPr>
                <w:rtl w:val="0"/>
              </w:rPr>
              <w:br w:type="textWrapping"/>
            </w:r>
            <w:r>
              <w:rPr>
                <w:rtl w:val="0"/>
              </w:rPr>
              <w:t>Signature: _____________________</w:t>
            </w:r>
            <w:r>
              <w:rPr>
                <w:rtl w:val="0"/>
              </w:rPr>
              <w:br w:type="textWrapping"/>
            </w:r>
            <w:r>
              <w:rPr>
                <w:rtl w:val="0"/>
              </w:rPr>
              <w:t>Date: _________________________</w:t>
            </w:r>
          </w:p>
        </w:tc>
      </w:tr>
    </w:tbl>
    <w:p w14:paraId="000000CE">
      <w:pPr>
        <w:pageBreakBefore/>
      </w:pPr>
    </w:p>
    <w:p w14:paraId="000000CF">
      <w:pPr>
        <w:keepNext/>
        <w:spacing w:after="20"/>
        <w:jc w:val="center"/>
      </w:pPr>
      <w:r>
        <w:rPr>
          <w:b/>
          <w:bCs/>
          <w:color w:val="007FAE"/>
          <w:sz w:val="22"/>
          <w:szCs w:val="22"/>
          <w:rtl w:val="0"/>
        </w:rPr>
        <w:t>ПРИЛОЖЕНИЕ 2 — PAYMENT DETAILS / PAYMENT ROUTE</w:t>
      </w:r>
    </w:p>
    <w:p w14:paraId="000000D0">
      <w:pPr>
        <w:keepNext/>
        <w:spacing w:after="100"/>
        <w:jc w:val="center"/>
      </w:pPr>
      <w:r>
        <w:rPr>
          <w:b/>
          <w:bCs/>
          <w:color w:val="007FAE"/>
          <w:sz w:val="18"/>
          <w:szCs w:val="18"/>
          <w:rtl w:val="0"/>
        </w:rPr>
        <w:t>PAYMENT DETAILS / PAYMENT ROUTE FOR A SPECIFIC TRANSACTION</w:t>
      </w:r>
    </w:p>
    <w:tbl>
      <w:tblPr>
        <w:tblStyle w:val="17"/>
        <w:tblW w:w="10178" w:type="dxa"/>
        <w:jc w:val="center"/>
        <w:tblLayout w:type="fixed"/>
        <w:tblCellMar>
          <w:top w:w="0" w:type="dxa"/>
          <w:left w:w="10" w:type="dxa"/>
          <w:bottom w:w="0" w:type="dxa"/>
          <w:right w:w="10" w:type="dxa"/>
        </w:tblCellMar>
      </w:tblPr>
      <w:tblGrid>
        <w:gridCol w:w="20"/>
        <w:gridCol w:w="5089"/>
        <w:gridCol w:w="5069"/>
      </w:tblGrid>
      <w:tr w14:paraId="281D8DBE">
        <w:trPr>
          <w:jc w:val="center"/>
        </w:trPr>
        <w:tc>
          <w:p w14:paraId="000000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Borders>
              <w:top w:val="nil"/>
              <w:left w:val="nil"/>
              <w:bottom w:val="nil"/>
              <w:right w:val="single" w:color="D9E7ED" w:sz="6" w:space="0"/>
            </w:tcBorders>
            <w:tcMar>
              <w:top w:w="75" w:type="dxa"/>
              <w:left w:w="100" w:type="dxa"/>
              <w:bottom w:w="75" w:type="dxa"/>
              <w:right w:w="100" w:type="dxa"/>
            </w:tcMar>
          </w:tcPr>
          <w:p w14:paraId="000000D2">
            <w:pPr>
              <w:spacing w:after="30"/>
            </w:pPr>
            <w:r>
              <w:rPr>
                <w:rtl w:val="0"/>
              </w:rPr>
              <w:t>Настоящее Приложение заполняется или прикладывается к конкретным Invoice и Payment Instruction. Клиент совершает оплату только по реквизитам, указанным в конкретном Invoice или Payment Instruction с номером, датой и сроком действия реквизитов. Изменение реквизитов применяется только к той операции, для которой оно прямо оформлено, и не изменяет ранее принятые Payment Instructions.</w:t>
            </w:r>
          </w:p>
        </w:tc>
        <w:tc>
          <w:tcPr>
            <w:tcBorders>
              <w:top w:val="nil"/>
              <w:left w:val="nil"/>
              <w:bottom w:val="nil"/>
              <w:right w:val="nil"/>
            </w:tcBorders>
            <w:tcMar>
              <w:top w:w="75" w:type="dxa"/>
              <w:left w:w="100" w:type="dxa"/>
              <w:bottom w:w="75" w:type="dxa"/>
              <w:right w:w="100" w:type="dxa"/>
            </w:tcMar>
          </w:tcPr>
          <w:p w14:paraId="000000D3">
            <w:pPr>
              <w:spacing w:after="30"/>
            </w:pPr>
            <w:r>
              <w:rPr>
                <w:rtl w:val="0"/>
              </w:rPr>
              <w:t>This Appendix is completed or attached for a specific Invoice and Payment Instruction. The Client shall make payment only using the payment details stated in the relevant Invoice or Payment Instruction bearing its number, date and validity period. A change of payment details applies only to the transaction expressly identified in that document and does not amend previously accepted Payment Instructions.</w:t>
            </w:r>
          </w:p>
        </w:tc>
      </w:tr>
      <w:tr w14:paraId="03319309">
        <w:trPr>
          <w:jc w:val="center"/>
        </w:trPr>
        <w:tc>
          <w:p w14:paraId="000000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Borders>
              <w:top w:val="nil"/>
              <w:left w:val="nil"/>
              <w:bottom w:val="nil"/>
              <w:right w:val="single" w:color="D9E7ED" w:sz="6" w:space="0"/>
            </w:tcBorders>
            <w:tcMar>
              <w:top w:w="75" w:type="dxa"/>
              <w:left w:w="100" w:type="dxa"/>
              <w:bottom w:w="75" w:type="dxa"/>
              <w:right w:w="100" w:type="dxa"/>
            </w:tcMar>
          </w:tcPr>
          <w:p w14:paraId="000000D5">
            <w:pPr>
              <w:spacing w:before="100" w:after="30"/>
            </w:pPr>
            <w:r>
              <w:rPr>
                <w:b/>
                <w:bCs/>
                <w:color w:val="007FAE"/>
                <w:sz w:val="19"/>
                <w:szCs w:val="19"/>
                <w:rtl w:val="0"/>
              </w:rPr>
              <w:t>Перед выставлением Invoice Агент проверяет, что выбранный способ оплаты доступен для конкретной операции. Если получатель платежа отличается от MF Corporation Company Limited, Invoice или Payment Instruction должны прямо подтверждать, что оплата такому получателю засчитывается как оплата Агенту.</w:t>
            </w:r>
          </w:p>
        </w:tc>
        <w:tc>
          <w:tcPr>
            <w:tcBorders>
              <w:top w:val="nil"/>
              <w:left w:val="nil"/>
              <w:bottom w:val="nil"/>
              <w:right w:val="nil"/>
            </w:tcBorders>
            <w:tcMar>
              <w:top w:w="75" w:type="dxa"/>
              <w:left w:w="100" w:type="dxa"/>
              <w:bottom w:w="75" w:type="dxa"/>
              <w:right w:w="100" w:type="dxa"/>
            </w:tcMar>
          </w:tcPr>
          <w:p w14:paraId="000000D6">
            <w:pPr>
              <w:spacing w:before="100" w:after="30"/>
            </w:pPr>
            <w:r>
              <w:rPr>
                <w:b/>
                <w:bCs/>
                <w:color w:val="007FAE"/>
                <w:sz w:val="19"/>
                <w:szCs w:val="19"/>
                <w:rtl w:val="0"/>
              </w:rPr>
              <w:t>Before issuing an Invoice, the Agent verifies that the selected payment method is available for the specific transaction. If the pay-in recipient differs from MF Corporation Company Limited, the Invoice or Payment Instruction must expressly confirm that payment to that recipient is credited as payment to the Agent.</w:t>
            </w:r>
          </w:p>
        </w:tc>
      </w:tr>
      <w:tr w14:paraId="7351A3C2">
        <w:trPr>
          <w:jc w:val="center"/>
        </w:trPr>
        <w:tc>
          <w:p w14:paraId="000000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Borders>
              <w:top w:val="nil"/>
              <w:left w:val="nil"/>
              <w:bottom w:val="nil"/>
              <w:right w:val="single" w:color="D9E7ED" w:sz="6" w:space="0"/>
            </w:tcBorders>
            <w:tcMar>
              <w:top w:w="75" w:type="dxa"/>
              <w:left w:w="100" w:type="dxa"/>
              <w:bottom w:w="75" w:type="dxa"/>
              <w:right w:w="100" w:type="dxa"/>
            </w:tcMar>
          </w:tcPr>
          <w:p w14:paraId="000000D8">
            <w:pPr>
              <w:spacing w:after="30"/>
            </w:pPr>
            <w:r>
              <w:rPr>
                <w:color w:val="000000"/>
                <w:sz w:val="18"/>
                <w:szCs w:val="18"/>
                <w:rtl w:val="0"/>
              </w:rPr>
              <w:t>Не переносите реквизиты, QR-код, адрес кошелька или сведения о наличном платеже из предыдущей сделки. Для каждого платежа используются только реквизиты и срок действия из актуального Invoice или Payment Instruction.</w:t>
            </w:r>
          </w:p>
        </w:tc>
        <w:tc>
          <w:tcPr>
            <w:tcBorders>
              <w:top w:val="nil"/>
              <w:left w:val="nil"/>
              <w:bottom w:val="nil"/>
              <w:right w:val="nil"/>
            </w:tcBorders>
            <w:tcMar>
              <w:top w:w="75" w:type="dxa"/>
              <w:left w:w="100" w:type="dxa"/>
              <w:bottom w:w="75" w:type="dxa"/>
              <w:right w:w="100" w:type="dxa"/>
            </w:tcMar>
          </w:tcPr>
          <w:p w14:paraId="000000D9">
            <w:pPr>
              <w:spacing w:after="30"/>
            </w:pPr>
            <w:r>
              <w:rPr>
                <w:color w:val="000000"/>
                <w:sz w:val="18"/>
                <w:szCs w:val="18"/>
                <w:rtl w:val="0"/>
              </w:rPr>
              <w:t>Do not copy bank details, a QR code, a wallet address or cash-payment instructions from a prior transaction. For each payment, use only the details and validity period stated in the current Invoice or Payment Instruction.</w:t>
            </w:r>
          </w:p>
        </w:tc>
      </w:tr>
      <w:tr w14:paraId="50A85E48">
        <w:trPr>
          <w:cantSplit/>
          <w:jc w:val="center"/>
        </w:trPr>
        <w:tc>
          <w:tcPr>
            <w:gridSpan w:val="2"/>
            <w:shd w:val="clear" w:color="auto" w:fill="0E6D95"/>
            <w:tcMar>
              <w:top w:w="90" w:type="dxa"/>
              <w:left w:w="120" w:type="dxa"/>
              <w:bottom w:w="90" w:type="dxa"/>
              <w:right w:w="120" w:type="dxa"/>
            </w:tcMar>
          </w:tcPr>
          <w:p w14:paraId="000000DA">
            <w:pPr>
              <w:spacing w:after="30"/>
            </w:pPr>
            <w:r>
              <w:rPr>
                <w:b/>
                <w:bCs/>
                <w:color w:val="FFFFFF"/>
                <w:rtl w:val="0"/>
              </w:rPr>
              <w:t>ПОЛЕ / FIELD</w:t>
            </w:r>
          </w:p>
        </w:tc>
        <w:tc>
          <w:tcPr>
            <w:shd w:val="clear" w:color="auto" w:fill="0E6D95"/>
            <w:tcMar>
              <w:top w:w="90" w:type="dxa"/>
              <w:left w:w="120" w:type="dxa"/>
              <w:bottom w:w="90" w:type="dxa"/>
              <w:right w:w="120" w:type="dxa"/>
            </w:tcMar>
          </w:tcPr>
          <w:p w14:paraId="000000DC">
            <w:pPr>
              <w:spacing w:after="30"/>
            </w:pPr>
            <w:r>
              <w:rPr>
                <w:b/>
                <w:bCs/>
                <w:color w:val="FFFFFF"/>
                <w:rtl w:val="0"/>
              </w:rPr>
              <w:t>ДАННЫЕ / DETAILS</w:t>
            </w:r>
          </w:p>
        </w:tc>
      </w:tr>
      <w:tr w14:paraId="25EA7EA5">
        <w:trPr>
          <w:cantSplit/>
          <w:jc w:val="center"/>
        </w:trPr>
        <w:tc>
          <w:tcPr>
            <w:gridSpan w:val="2"/>
            <w:shd w:val="clear" w:color="auto" w:fill="EAF4F8"/>
            <w:tcMar>
              <w:top w:w="90" w:type="dxa"/>
              <w:left w:w="120" w:type="dxa"/>
              <w:bottom w:w="90" w:type="dxa"/>
              <w:right w:w="120" w:type="dxa"/>
            </w:tcMar>
          </w:tcPr>
          <w:p w14:paraId="000000DD">
            <w:pPr>
              <w:spacing w:after="30"/>
            </w:pPr>
            <w:r>
              <w:rPr>
                <w:b/>
                <w:bCs/>
                <w:rtl w:val="0"/>
              </w:rPr>
              <w:t>Способ pay-in / Pay-in method</w:t>
            </w:r>
          </w:p>
        </w:tc>
        <w:tc>
          <w:tcPr>
            <w:tcMar>
              <w:top w:w="90" w:type="dxa"/>
              <w:left w:w="120" w:type="dxa"/>
              <w:bottom w:w="90" w:type="dxa"/>
              <w:right w:w="120" w:type="dxa"/>
            </w:tcMar>
          </w:tcPr>
          <w:p w14:paraId="000000DF">
            <w:pPr>
              <w:spacing w:after="30"/>
            </w:pPr>
            <w:r>
              <w:rPr>
                <w:rtl w:val="0"/>
              </w:rPr>
              <w:t>[Банковский перевод / СБП / USDT / наличные — если применимо]</w:t>
            </w:r>
          </w:p>
        </w:tc>
      </w:tr>
      <w:tr w14:paraId="2828EEF7">
        <w:trPr>
          <w:cantSplit/>
          <w:jc w:val="center"/>
        </w:trPr>
        <w:tc>
          <w:tcPr>
            <w:gridSpan w:val="2"/>
            <w:shd w:val="clear" w:color="auto" w:fill="EAF4F8"/>
            <w:tcMar>
              <w:top w:w="90" w:type="dxa"/>
              <w:left w:w="120" w:type="dxa"/>
              <w:bottom w:w="90" w:type="dxa"/>
              <w:right w:w="120" w:type="dxa"/>
            </w:tcMar>
          </w:tcPr>
          <w:p w14:paraId="000000E0">
            <w:pPr>
              <w:spacing w:after="30"/>
            </w:pPr>
            <w:r>
              <w:rPr>
                <w:b/>
                <w:bCs/>
                <w:rtl w:val="0"/>
              </w:rPr>
              <w:t>Валюта / Currency</w:t>
            </w:r>
          </w:p>
        </w:tc>
        <w:tc>
          <w:tcPr>
            <w:tcMar>
              <w:top w:w="90" w:type="dxa"/>
              <w:left w:w="120" w:type="dxa"/>
              <w:bottom w:w="90" w:type="dxa"/>
              <w:right w:w="120" w:type="dxa"/>
            </w:tcMar>
          </w:tcPr>
          <w:p w14:paraId="000000E2">
            <w:pPr>
              <w:spacing w:after="30"/>
            </w:pPr>
            <w:r>
              <w:rPr>
                <w:rtl w:val="0"/>
              </w:rPr>
              <w:t>[●]</w:t>
            </w:r>
          </w:p>
        </w:tc>
      </w:tr>
      <w:tr w14:paraId="6E0176AB">
        <w:trPr>
          <w:cantSplit/>
          <w:jc w:val="center"/>
        </w:trPr>
        <w:tc>
          <w:tcPr>
            <w:gridSpan w:val="2"/>
            <w:shd w:val="clear" w:color="auto" w:fill="EAF4F8"/>
            <w:tcMar>
              <w:top w:w="90" w:type="dxa"/>
              <w:left w:w="120" w:type="dxa"/>
              <w:bottom w:w="90" w:type="dxa"/>
              <w:right w:w="120" w:type="dxa"/>
            </w:tcMar>
          </w:tcPr>
          <w:p w14:paraId="000000E3">
            <w:pPr>
              <w:spacing w:after="30"/>
            </w:pPr>
            <w:r>
              <w:rPr>
                <w:b/>
                <w:bCs/>
                <w:rtl w:val="0"/>
              </w:rPr>
              <w:t>Получатель платежа / Pay-in recipient</w:t>
            </w:r>
          </w:p>
        </w:tc>
        <w:tc>
          <w:tcPr>
            <w:tcMar>
              <w:top w:w="90" w:type="dxa"/>
              <w:left w:w="120" w:type="dxa"/>
              <w:bottom w:w="90" w:type="dxa"/>
              <w:right w:w="120" w:type="dxa"/>
            </w:tcMar>
          </w:tcPr>
          <w:p w14:paraId="000000E5">
            <w:pPr>
              <w:spacing w:after="30"/>
            </w:pPr>
            <w:r>
              <w:rPr>
                <w:rtl w:val="0"/>
              </w:rPr>
              <w:t>[MF Corporation Company Limited либо полное наименование третьего получателя]</w:t>
            </w:r>
          </w:p>
        </w:tc>
      </w:tr>
      <w:tr w14:paraId="64707539">
        <w:trPr>
          <w:cantSplit/>
          <w:jc w:val="center"/>
        </w:trPr>
        <w:tc>
          <w:tcPr>
            <w:gridSpan w:val="2"/>
            <w:shd w:val="clear" w:color="auto" w:fill="EAF4F8"/>
            <w:tcMar>
              <w:top w:w="90" w:type="dxa"/>
              <w:left w:w="120" w:type="dxa"/>
              <w:bottom w:w="90" w:type="dxa"/>
              <w:right w:w="120" w:type="dxa"/>
            </w:tcMar>
          </w:tcPr>
          <w:p w14:paraId="000000E6">
            <w:pPr>
              <w:spacing w:after="30"/>
            </w:pPr>
            <w:r>
              <w:rPr>
                <w:b/>
                <w:bCs/>
                <w:rtl w:val="0"/>
              </w:rPr>
              <w:t>Роль получателя / Recipient role</w:t>
            </w:r>
          </w:p>
        </w:tc>
        <w:tc>
          <w:tcPr>
            <w:tcMar>
              <w:top w:w="90" w:type="dxa"/>
              <w:left w:w="120" w:type="dxa"/>
              <w:bottom w:w="90" w:type="dxa"/>
              <w:right w:w="120" w:type="dxa"/>
            </w:tcMar>
          </w:tcPr>
          <w:p w14:paraId="000000E8">
            <w:pPr>
              <w:spacing w:after="30"/>
            </w:pPr>
            <w:r>
              <w:rPr>
                <w:rtl w:val="0"/>
              </w:rPr>
              <w:t>[получатель MF / уполномоченный платёжный партнёр / иное]</w:t>
            </w:r>
          </w:p>
        </w:tc>
      </w:tr>
      <w:tr w14:paraId="24D65270">
        <w:trPr>
          <w:cantSplit/>
          <w:jc w:val="center"/>
        </w:trPr>
        <w:tc>
          <w:tcPr>
            <w:gridSpan w:val="2"/>
            <w:shd w:val="clear" w:color="auto" w:fill="EAF4F8"/>
            <w:tcMar>
              <w:top w:w="90" w:type="dxa"/>
              <w:left w:w="120" w:type="dxa"/>
              <w:bottom w:w="90" w:type="dxa"/>
              <w:right w:w="120" w:type="dxa"/>
            </w:tcMar>
          </w:tcPr>
          <w:p w14:paraId="000000E9">
            <w:pPr>
              <w:spacing w:after="30"/>
            </w:pPr>
            <w:r>
              <w:rPr>
                <w:b/>
                <w:bCs/>
                <w:rtl w:val="0"/>
              </w:rPr>
              <w:t>Реквизиты / Payment details</w:t>
            </w:r>
          </w:p>
        </w:tc>
        <w:tc>
          <w:tcPr>
            <w:tcMar>
              <w:top w:w="90" w:type="dxa"/>
              <w:left w:w="120" w:type="dxa"/>
              <w:bottom w:w="90" w:type="dxa"/>
              <w:right w:w="120" w:type="dxa"/>
            </w:tcMar>
          </w:tcPr>
          <w:p w14:paraId="000000EB">
            <w:pPr>
              <w:spacing w:after="30"/>
            </w:pPr>
            <w:r>
              <w:rPr>
                <w:rtl w:val="0"/>
              </w:rPr>
              <w:t>[счёт и банк / СБП-идентификатор / сеть и адрес кошелька / порядок наличного платежа]</w:t>
            </w:r>
          </w:p>
        </w:tc>
      </w:tr>
      <w:tr w14:paraId="75C6F043">
        <w:trPr>
          <w:cantSplit/>
          <w:jc w:val="center"/>
        </w:trPr>
        <w:tc>
          <w:tcPr>
            <w:gridSpan w:val="2"/>
            <w:shd w:val="clear" w:color="auto" w:fill="EAF4F8"/>
            <w:tcMar>
              <w:top w:w="90" w:type="dxa"/>
              <w:left w:w="120" w:type="dxa"/>
              <w:bottom w:w="90" w:type="dxa"/>
              <w:right w:w="120" w:type="dxa"/>
            </w:tcMar>
          </w:tcPr>
          <w:p w14:paraId="000000EC">
            <w:pPr>
              <w:spacing w:after="30"/>
            </w:pPr>
            <w:r>
              <w:rPr>
                <w:b/>
                <w:bCs/>
                <w:rtl w:val="0"/>
              </w:rPr>
              <w:t>Invoice / Instruction No.</w:t>
            </w:r>
          </w:p>
        </w:tc>
        <w:tc>
          <w:tcPr>
            <w:tcMar>
              <w:top w:w="90" w:type="dxa"/>
              <w:left w:w="120" w:type="dxa"/>
              <w:bottom w:w="90" w:type="dxa"/>
              <w:right w:w="120" w:type="dxa"/>
            </w:tcMar>
          </w:tcPr>
          <w:p w14:paraId="000000EE">
            <w:pPr>
              <w:spacing w:after="30"/>
            </w:pPr>
            <w:r>
              <w:rPr>
                <w:rtl w:val="0"/>
              </w:rPr>
              <w:t>[●]</w:t>
            </w:r>
          </w:p>
        </w:tc>
      </w:tr>
      <w:tr w14:paraId="76F5237F">
        <w:trPr>
          <w:cantSplit/>
          <w:jc w:val="center"/>
        </w:trPr>
        <w:tc>
          <w:tcPr>
            <w:gridSpan w:val="2"/>
            <w:shd w:val="clear" w:color="auto" w:fill="EAF4F8"/>
            <w:tcMar>
              <w:top w:w="90" w:type="dxa"/>
              <w:left w:w="120" w:type="dxa"/>
              <w:bottom w:w="90" w:type="dxa"/>
              <w:right w:w="120" w:type="dxa"/>
            </w:tcMar>
          </w:tcPr>
          <w:p w14:paraId="000000EF">
            <w:pPr>
              <w:spacing w:after="30"/>
            </w:pPr>
            <w:r>
              <w:rPr>
                <w:b/>
                <w:bCs/>
                <w:rtl w:val="0"/>
              </w:rPr>
              <w:t>Срок действия реквизитов / Details valid until</w:t>
            </w:r>
          </w:p>
        </w:tc>
        <w:tc>
          <w:tcPr>
            <w:tcMar>
              <w:top w:w="90" w:type="dxa"/>
              <w:left w:w="120" w:type="dxa"/>
              <w:bottom w:w="90" w:type="dxa"/>
              <w:right w:w="120" w:type="dxa"/>
            </w:tcMar>
          </w:tcPr>
          <w:p w14:paraId="000000F1">
            <w:pPr>
              <w:spacing w:after="30"/>
            </w:pPr>
            <w:r>
              <w:rPr>
                <w:rtl w:val="0"/>
              </w:rPr>
              <w:t>[дата и время / date and time]</w:t>
            </w:r>
          </w:p>
        </w:tc>
      </w:tr>
      <w:tr w14:paraId="780482CA">
        <w:trPr>
          <w:cantSplit/>
          <w:jc w:val="center"/>
        </w:trPr>
        <w:tc>
          <w:tcPr>
            <w:gridSpan w:val="2"/>
            <w:shd w:val="clear" w:color="auto" w:fill="EAF4F8"/>
            <w:tcMar>
              <w:top w:w="90" w:type="dxa"/>
              <w:left w:w="120" w:type="dxa"/>
              <w:bottom w:w="90" w:type="dxa"/>
              <w:right w:w="120" w:type="dxa"/>
            </w:tcMar>
          </w:tcPr>
          <w:p w14:paraId="000000F2">
            <w:pPr>
              <w:spacing w:after="30"/>
            </w:pPr>
            <w:r>
              <w:rPr>
                <w:b/>
                <w:bCs/>
                <w:rtl w:val="0"/>
              </w:rPr>
              <w:t>Назначение платежа / Payment reference</w:t>
            </w:r>
          </w:p>
        </w:tc>
        <w:tc>
          <w:tcPr>
            <w:tcMar>
              <w:top w:w="90" w:type="dxa"/>
              <w:left w:w="120" w:type="dxa"/>
              <w:bottom w:w="90" w:type="dxa"/>
              <w:right w:w="120" w:type="dxa"/>
            </w:tcMar>
          </w:tcPr>
          <w:p w14:paraId="000000F4">
            <w:pPr>
              <w:spacing w:after="30"/>
            </w:pPr>
            <w:r>
              <w:rPr>
                <w:rtl w:val="0"/>
              </w:rPr>
              <w:t>[●]</w:t>
            </w:r>
          </w:p>
        </w:tc>
      </w:tr>
      <w:tr w14:paraId="65BCA55A">
        <w:trPr>
          <w:jc w:val="center"/>
        </w:trPr>
        <w:tc>
          <w:tcPr>
            <w:gridSpan w:val="2"/>
          </w:tcPr>
          <w:p w14:paraId="000000F5">
            <w:r>
              <w:rPr>
                <w:rtl w:val="0"/>
              </w:rPr>
              <w:t>Подтверждение оплаты / Required payment evidence</w:t>
            </w:r>
          </w:p>
        </w:tc>
        <w:tc>
          <w:p w14:paraId="000000F7">
            <w:r>
              <w:rPr>
                <w:rtl w:val="0"/>
              </w:rPr>
              <w:t>[платёжное поручение / TXID / кассовый документ]</w:t>
            </w:r>
          </w:p>
        </w:tc>
      </w:tr>
      <w:tr w14:paraId="10041803">
        <w:trPr>
          <w:jc w:val="center"/>
        </w:trPr>
        <w:tc>
          <w:tcPr>
            <w:gridSpan w:val="2"/>
          </w:tcPr>
          <w:p w14:paraId="000000F8">
            <w:r>
              <w:rPr>
                <w:rtl w:val="0"/>
              </w:rPr>
              <w:t>Наличные</w:t>
            </w:r>
            <w:r>
              <w:rPr>
                <w:rtl w:val="0"/>
              </w:rPr>
              <w:br w:type="textWrapping"/>
            </w:r>
            <w:r>
              <w:rPr>
                <w:rtl w:val="0"/>
              </w:rPr>
              <w:t>Cash payment</w:t>
            </w:r>
          </w:p>
        </w:tc>
        <w:tc>
          <w:p w14:paraId="000000FA">
            <w:r>
              <w:rPr>
                <w:rtl w:val="0"/>
              </w:rPr>
              <w:t>Место, валюта, сумма, дата, уполномоченный сотрудник; кассовый документ / квитанция.</w:t>
            </w:r>
            <w:r>
              <w:rPr>
                <w:rtl w:val="0"/>
              </w:rPr>
              <w:br w:type="textWrapping"/>
            </w:r>
            <w:r>
              <w:rPr>
                <w:rtl w:val="0"/>
              </w:rPr>
              <w:t>Place, currency, amount, date, authorised representative; cash receipt.</w:t>
            </w:r>
          </w:p>
        </w:tc>
      </w:tr>
    </w:tbl>
    <w:p w14:paraId="000000FB"/>
    <w:sectPr>
      <w:headerReference r:id="rId6" w:type="first"/>
      <w:headerReference r:id="rId4" w:type="default"/>
      <w:footerReference r:id="rId7" w:type="default"/>
      <w:headerReference r:id="rId5" w:type="even"/>
      <w:footerReference r:id="rId8" w:type="even"/>
      <w:pgSz w:w="11906" w:h="16838"/>
      <w:pgMar w:top="979" w:right="864" w:bottom="936" w:left="864"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D8D3E53C-91DE-01C1-C7D4-8F6AD5126DD9}"/>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Courier New">
    <w:panose1 w:val="02070409020205090404"/>
    <w:charset w:val="00"/>
    <w:family w:val="modern"/>
    <w:pitch w:val="default"/>
    <w:sig w:usb0="E0000AFF" w:usb1="40007843" w:usb2="00000001" w:usb3="00000000" w:csb0="400001BF" w:csb1="DFF70000"/>
  </w:font>
  <w:font w:name="SimHei">
    <w:altName w:val="黑体-简"/>
    <w:panose1 w:val="02010609060101010101"/>
    <w:charset w:val="00"/>
    <w:family w:val="modern"/>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Calibri">
    <w:panose1 w:val="020F0302020204030204"/>
    <w:charset w:val="00"/>
    <w:family w:val="swiss"/>
    <w:pitch w:val="default"/>
    <w:sig w:usb0="E0000AFF" w:usb1="4000247B" w:usb2="00000001" w:usb3="00000000" w:csb0="200001BF" w:csb1="00000000"/>
    <w:embedRegular r:id="rId2" w:fontKey="{6190E5B1-988C-59B5-C7D4-8F6AAF330D7B}"/>
  </w:font>
  <w:font w:name="SimSun">
    <w:altName w:val="宋体-简"/>
    <w:panose1 w:val="02010600030101010101"/>
    <w:charset w:val="86"/>
    <w:family w:val="auto"/>
    <w:pitch w:val="default"/>
    <w:sig w:usb0="00000000" w:usb1="00000000" w:usb2="00000016" w:usb3="00000000" w:csb0="00040001" w:csb1="00000000"/>
  </w:font>
  <w:font w:name="Georgia">
    <w:panose1 w:val="02040502050405090303"/>
    <w:charset w:val="00"/>
    <w:family w:val="auto"/>
    <w:pitch w:val="default"/>
    <w:sig w:usb0="00000287" w:usb1="00000000" w:usb2="00000000" w:usb3="00000000" w:csb0="2000009F" w:csb1="00000000"/>
  </w:font>
  <w:font w:name="Malgun Gothic">
    <w:altName w:val="Apple SD Gothic Neo"/>
    <w:panose1 w:val="00000000000000000000"/>
    <w:charset w:val="00"/>
    <w:family w:val="auto"/>
    <w:pitch w:val="default"/>
    <w:sig w:usb0="00000000" w:usb1="00000000" w:usb2="00000000" w:usb3="00000000" w:csb0="00000000" w:csb1="00000000"/>
  </w:font>
  <w:font w:name="Apple SD Gothic Neo">
    <w:panose1 w:val="02000300000000000000"/>
    <w:charset w:val="81"/>
    <w:family w:val="auto"/>
    <w:pitch w:val="default"/>
    <w:sig w:usb0="00000203" w:usb1="21D12C10" w:usb2="00000010" w:usb3="00000000" w:csb0="00280005"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05">
    <w:pPr>
      <w:tabs>
        <w:tab w:val="left" w:pos="2820"/>
        <w:tab w:val="left" w:pos="4640"/>
        <w:tab w:val="center" w:pos="4677"/>
        <w:tab w:val="center" w:pos="5233"/>
        <w:tab w:val="right" w:pos="9355"/>
      </w:tabs>
      <w:spacing w:after="0"/>
      <w:jc w:val="center"/>
      <w:rPr>
        <w:rFonts w:ascii="Calibri" w:hAnsi="Calibri" w:eastAsia="Calibri" w:cs="Calibri"/>
        <w:color w:val="EF8657"/>
        <w:sz w:val="22"/>
        <w:szCs w:val="22"/>
      </w:rPr>
    </w:pPr>
    <w:r>
      <w:rPr>
        <w:sz w:val="17"/>
        <w:szCs w:val="17"/>
        <w:rtl w:val="0"/>
      </w:rPr>
      <w:tab/>
    </w:r>
    <w:r>
      <w:rPr>
        <w:sz w:val="17"/>
        <w:szCs w:val="17"/>
        <w:rtl w:val="0"/>
      </w:rPr>
      <w:tab/>
    </w:r>
    <w:r>
      <w:rPr>
        <w:sz w:val="17"/>
        <w:szCs w:val="17"/>
        <w:rtl w:val="0"/>
      </w:rPr>
      <w:tab/>
    </w:r>
    <w:r>
      <w:drawing>
        <wp:anchor distT="0" distB="0" distL="0" distR="0" simplePos="0" relativeHeight="251659264" behindDoc="1" locked="0" layoutInCell="1" allowOverlap="1">
          <wp:simplePos x="0" y="0"/>
          <wp:positionH relativeFrom="column">
            <wp:posOffset>1473200</wp:posOffset>
          </wp:positionH>
          <wp:positionV relativeFrom="paragraph">
            <wp:posOffset>97790</wp:posOffset>
          </wp:positionV>
          <wp:extent cx="419100" cy="34417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1"/>
                  <a:srcRect/>
                  <a:stretch>
                    <a:fillRect/>
                  </a:stretch>
                </pic:blipFill>
                <pic:spPr>
                  <a:xfrm>
                    <a:off x="0" y="0"/>
                    <a:ext cx="419100" cy="343952"/>
                  </a:xfrm>
                  <a:prstGeom prst="rect">
                    <a:avLst/>
                  </a:prstGeom>
                </pic:spPr>
              </pic:pic>
            </a:graphicData>
          </a:graphic>
        </wp:anchor>
      </w:drawing>
    </w:r>
  </w:p>
  <w:p w14:paraId="00000106">
    <w:pPr>
      <w:tabs>
        <w:tab w:val="left" w:pos="2023"/>
        <w:tab w:val="center" w:pos="4677"/>
        <w:tab w:val="right" w:pos="9355"/>
      </w:tabs>
      <w:spacing w:after="0"/>
      <w:jc w:val="center"/>
      <w:rPr>
        <w:rFonts w:ascii="Malgun Gothic" w:hAnsi="Malgun Gothic" w:eastAsia="Malgun Gothic" w:cs="Malgun Gothic"/>
        <w:b/>
        <w:bCs/>
        <w:color w:val="417587"/>
      </w:rPr>
    </w:pPr>
    <w:r>
      <w:rPr>
        <w:b/>
        <w:bCs/>
        <w:sz w:val="17"/>
        <w:szCs w:val="17"/>
        <w:rtl w:val="0"/>
      </w:rPr>
      <w:t>RELIABLE PARTNER. SUCCESSFUL BUSINESS</w:t>
    </w:r>
  </w:p>
  <w:p w14:paraId="00000107">
    <w:pPr>
      <w:tabs>
        <w:tab w:val="left" w:pos="2023"/>
        <w:tab w:val="center" w:pos="4677"/>
        <w:tab w:val="right" w:pos="9355"/>
      </w:tabs>
      <w:spacing w:after="0"/>
      <w:rPr>
        <w:color w:val="046876"/>
        <w:sz w:val="18"/>
        <w:szCs w:val="18"/>
      </w:rPr>
    </w:pPr>
    <w:r>
      <w:rPr>
        <w:sz w:val="17"/>
        <w:szCs w:val="17"/>
        <w:rtl w:val="0"/>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04">
    <w:pPr>
      <w:tabs>
        <w:tab w:val="center" w:pos="4677"/>
        <w:tab w:val="right" w:pos="9355"/>
      </w:tabs>
      <w:spacing w:after="0"/>
      <w:jc w:val="center"/>
      <w:rPr>
        <w:rFonts w:ascii="Calibri" w:hAnsi="Calibri" w:eastAsia="Calibri" w:cs="Calibri"/>
        <w:color w:val="000000"/>
        <w:sz w:val="22"/>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FD">
    <w:pPr>
      <w:tabs>
        <w:tab w:val="center" w:pos="4677"/>
        <w:tab w:val="left" w:pos="6220"/>
        <w:tab w:val="left" w:pos="8860"/>
        <w:tab w:val="right" w:pos="9355"/>
        <w:tab w:val="right" w:pos="10466"/>
      </w:tabs>
      <w:spacing w:after="0"/>
      <w:jc w:val="right"/>
      <w:rPr>
        <w:b/>
        <w:bCs/>
        <w:color w:val="000000"/>
        <w:sz w:val="24"/>
        <w:szCs w:val="24"/>
      </w:rPr>
    </w:pPr>
    <w:r>
      <w:rPr>
        <w:b/>
        <w:bCs/>
        <w:sz w:val="17"/>
        <w:szCs w:val="17"/>
        <w:rtl w:val="0"/>
      </w:rPr>
      <w:t>MF Corporation Co. Ltd</w:t>
    </w:r>
  </w:p>
  <w:p w14:paraId="000000FE">
    <w:pPr>
      <w:tabs>
        <w:tab w:val="center" w:pos="4677"/>
        <w:tab w:val="left" w:pos="6480"/>
        <w:tab w:val="left" w:pos="7590"/>
        <w:tab w:val="right" w:pos="9355"/>
      </w:tabs>
      <w:spacing w:before="120" w:after="0"/>
      <w:jc w:val="right"/>
      <w:rPr>
        <w:color w:val="000000"/>
      </w:rPr>
    </w:pPr>
    <w:r>
      <w:rPr>
        <w:sz w:val="17"/>
        <w:szCs w:val="17"/>
        <w:rtl w:val="0"/>
      </w:rPr>
      <w:t xml:space="preserve">9/31, Mu 5, Choeng Thale, Thalang District, </w:t>
    </w:r>
    <w:r>
      <w:drawing>
        <wp:anchor distT="0" distB="0" distL="114300" distR="114300" simplePos="0" relativeHeight="251659264" behindDoc="0" locked="0" layoutInCell="1" allowOverlap="1">
          <wp:simplePos x="0" y="0"/>
          <wp:positionH relativeFrom="column">
            <wp:posOffset>5080</wp:posOffset>
          </wp:positionH>
          <wp:positionV relativeFrom="paragraph">
            <wp:posOffset>-126365</wp:posOffset>
          </wp:positionV>
          <wp:extent cx="2038350" cy="867410"/>
          <wp:effectExtent l="0" t="0" r="0" b="0"/>
          <wp:wrapTopAndBottom/>
          <wp:docPr id="2" name="image3.png" descr="лого"/>
          <wp:cNvGraphicFramePr/>
          <a:graphic xmlns:a="http://schemas.openxmlformats.org/drawingml/2006/main">
            <a:graphicData uri="http://schemas.openxmlformats.org/drawingml/2006/picture">
              <pic:pic xmlns:pic="http://schemas.openxmlformats.org/drawingml/2006/picture">
                <pic:nvPicPr>
                  <pic:cNvPr id="2" name="image3.png" descr="лого"/>
                  <pic:cNvPicPr preferRelativeResize="0"/>
                </pic:nvPicPr>
                <pic:blipFill>
                  <a:blip r:embed="rId1"/>
                  <a:srcRect/>
                  <a:stretch>
                    <a:fillRect/>
                  </a:stretch>
                </pic:blipFill>
                <pic:spPr>
                  <a:xfrm>
                    <a:off x="0" y="0"/>
                    <a:ext cx="2038350" cy="867410"/>
                  </a:xfrm>
                  <a:prstGeom prst="rect">
                    <a:avLst/>
                  </a:prstGeom>
                </pic:spPr>
              </pic:pic>
            </a:graphicData>
          </a:graphic>
        </wp:anchor>
      </w:drawing>
    </w:r>
  </w:p>
  <w:p w14:paraId="000000FF">
    <w:pPr>
      <w:tabs>
        <w:tab w:val="center" w:pos="4677"/>
        <w:tab w:val="left" w:pos="6480"/>
        <w:tab w:val="left" w:pos="7590"/>
        <w:tab w:val="right" w:pos="9355"/>
      </w:tabs>
      <w:spacing w:before="120" w:after="0"/>
      <w:jc w:val="right"/>
      <w:rPr>
        <w:color w:val="000000"/>
      </w:rPr>
    </w:pPr>
    <w:r>
      <w:rPr>
        <w:sz w:val="17"/>
        <w:szCs w:val="17"/>
        <w:rtl w:val="0"/>
      </w:rPr>
      <w:t>Phuket, 83110,Thailand</w:t>
    </w:r>
  </w:p>
  <w:p w14:paraId="00000100">
    <w:pPr>
      <w:tabs>
        <w:tab w:val="center" w:pos="4677"/>
        <w:tab w:val="left" w:pos="8655"/>
        <w:tab w:val="right" w:pos="9355"/>
      </w:tabs>
      <w:spacing w:before="120" w:after="0"/>
      <w:jc w:val="right"/>
      <w:rPr>
        <w:color w:val="000000"/>
      </w:rPr>
    </w:pPr>
    <w:r>
      <w:rPr>
        <w:sz w:val="17"/>
        <w:szCs w:val="17"/>
        <w:rtl w:val="0"/>
      </w:rPr>
      <w:t>Tel: +66 991971701</w:t>
    </w:r>
  </w:p>
  <w:p w14:paraId="00000101">
    <w:pPr>
      <w:tabs>
        <w:tab w:val="center" w:pos="4677"/>
        <w:tab w:val="left" w:pos="8655"/>
        <w:tab w:val="right" w:pos="9355"/>
      </w:tabs>
      <w:spacing w:after="0"/>
      <w:jc w:val="right"/>
      <w:rPr>
        <w:color w:val="000000"/>
      </w:rPr>
    </w:pPr>
    <w:r>
      <w:rPr>
        <w:sz w:val="17"/>
        <w:szCs w:val="17"/>
        <w:rtl w:val="0"/>
      </w:rPr>
      <w:t xml:space="preserve">E-mail: </w:t>
    </w:r>
    <w:r>
      <w:fldChar w:fldCharType="begin"/>
    </w:r>
    <w:r>
      <w:instrText xml:space="preserve"> HYPERLINK "mailto:mfcorpthai@gmail.com" \h </w:instrText>
    </w:r>
    <w:r>
      <w:fldChar w:fldCharType="separate"/>
    </w:r>
    <w:r>
      <w:rPr>
        <w:color w:val="000000"/>
        <w:u w:val="single"/>
        <w:rtl w:val="0"/>
      </w:rPr>
      <w:t>mfcorpthai@gmail.com</w:t>
    </w:r>
    <w:r>
      <w:rPr>
        <w:color w:val="000000"/>
        <w:u w:val="single"/>
        <w:rtl w:val="0"/>
      </w:rPr>
      <w:fldChar w:fldCharType="end"/>
    </w:r>
  </w:p>
  <w:p w14:paraId="00000102">
    <w:pPr>
      <w:tabs>
        <w:tab w:val="center" w:pos="4677"/>
        <w:tab w:val="left" w:pos="8655"/>
        <w:tab w:val="right" w:pos="9355"/>
      </w:tabs>
      <w:spacing w:after="0"/>
      <w:jc w:val="right"/>
      <w:rPr>
        <w:color w:val="417587"/>
        <w:sz w:val="18"/>
        <w:szCs w:val="18"/>
      </w:rPr>
    </w:pPr>
    <w:r>
      <w:rPr>
        <w:sz w:val="17"/>
        <w:szCs w:val="17"/>
        <w:rtl w:val="0"/>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FC">
    <w:pPr>
      <w:tabs>
        <w:tab w:val="center" w:pos="4677"/>
        <w:tab w:val="right" w:pos="9355"/>
      </w:tabs>
      <w:spacing w:after="0"/>
      <w:rPr>
        <w:rFonts w:ascii="Calibri" w:hAnsi="Calibri" w:eastAsia="Calibri" w:cs="Calibri"/>
        <w:color w:val="000000"/>
        <w:sz w:val="22"/>
        <w:szCs w:val="22"/>
      </w:rPr>
    </w:pPr>
    <w:r>
      <w:rPr>
        <w:rFonts w:ascii="Calibri" w:hAnsi="Calibri" w:eastAsia="Calibri" w:cs="Calibri"/>
        <w:color w:val="000000"/>
        <w:sz w:val="22"/>
        <w:szCs w:val="22"/>
      </w:rPr>
      <w:pict>
        <v:shape id="WordPictureWatermark1" o:spid="_x0000_s2050" o:spt="75" type="#_x0000_t75" style="position:absolute;left:0pt;height:324.1pt;width:390.1pt;mso-position-horizontal:center;mso-position-horizontal-relative:margin;mso-position-vertical:center;mso-position-vertical-relative:margin;z-index:-251657216;mso-width-relative:page;mso-height-relative:page;" filled="f" coordsize="21600,21600">
          <v:path/>
          <v:fill on="f" focussize="0,0"/>
          <v:stroke/>
          <v:imagedata r:id="rId1" o:title="image1.png"/>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03">
    <w:pPr>
      <w:tabs>
        <w:tab w:val="center" w:pos="4677"/>
        <w:tab w:val="right" w:pos="9355"/>
      </w:tabs>
      <w:spacing w:after="0"/>
      <w:rPr>
        <w:rFonts w:ascii="Calibri" w:hAnsi="Calibri" w:eastAsia="Calibri" w:cs="Calibri"/>
        <w:color w:val="000000"/>
        <w:sz w:val="22"/>
        <w:szCs w:val="22"/>
      </w:rPr>
    </w:pPr>
    <w:r>
      <w:rPr>
        <w:rFonts w:ascii="Calibri" w:hAnsi="Calibri" w:eastAsia="Calibri" w:cs="Calibri"/>
        <w:color w:val="000000"/>
        <w:sz w:val="22"/>
        <w:szCs w:val="22"/>
      </w:rPr>
      <w:pict>
        <v:shape id="WordPictureWatermark2" o:spid="_x0000_s2049" o:spt="75" type="#_x0000_t75" style="position:absolute;left:0pt;height:324.1pt;width:390.1pt;mso-position-horizontal:center;mso-position-horizontal-relative:margin;mso-position-vertical:center;mso-position-vertical-relative:margin;z-index:-251657216;mso-width-relative:page;mso-height-relative:page;" filled="f" coordsize="21600,21600">
          <v:path/>
          <v:fill on="f" focussize="0,0"/>
          <v:stroke/>
          <v:imagedata r:id="rId1" o:title="image1.png"/>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1"/>
  <w:embedTrueTypeFonts/>
  <w:bordersDoNotSurroundHeader w:val="0"/>
  <w:bordersDoNotSurroundFooter w:val="0"/>
  <w:documentProtection w:enforcement="0"/>
  <w:defaultTabStop w:val="720"/>
  <w:displayHorizontalDrawingGridEvery w:val="1"/>
  <w:displayVerticalDrawingGridEvery w:val="1"/>
  <w:noPunctuationKerning w:val="1"/>
  <w:hdrShapeDefaults>
    <o:shapelayout v:ext="edit">
      <o:idmap v:ext="edit" data="2"/>
    </o:shapelayout>
  </w:hdrShapeDefaults>
  <w:footnotePr>
    <w:footnote w:id="0"/>
    <w:footnote w:id="1"/>
  </w:footnotePr>
  <w:compat>
    <w:doNotExpandShiftReturn/>
    <w:doNotWrapTextWithPunct/>
    <w:doNotUseEastAsianBreakRules/>
    <w:compatSetting w:name="compatibilityMode" w:uri="http://schemas.microsoft.com/office/word" w:val="15"/>
  </w:compat>
  <w:rsids>
    <w:rsidRoot w:val="00000000"/>
    <w:rsid w:val="7F556B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uiPriority w:val="0"/>
    <w:pPr>
      <w:spacing w:after="40"/>
    </w:pPr>
    <w:rPr>
      <w:rFonts w:ascii="Arial" w:hAnsi="Arial" w:eastAsia="Arial" w:cs="Arial"/>
      <w:color w:val="1F1F1F"/>
      <w:lang w:val="en"/>
    </w:rPr>
  </w:style>
  <w:style w:type="paragraph" w:styleId="2">
    <w:name w:val="heading 1"/>
    <w:basedOn w:val="1"/>
    <w:next w:val="1"/>
    <w:uiPriority w:val="0"/>
    <w:pPr>
      <w:keepNext/>
      <w:keepLines/>
      <w:spacing w:before="480" w:after="120"/>
    </w:pPr>
    <w:rPr>
      <w:b/>
      <w:bCs/>
      <w:sz w:val="48"/>
      <w:szCs w:val="48"/>
    </w:rPr>
  </w:style>
  <w:style w:type="paragraph" w:styleId="3">
    <w:name w:val="heading 2"/>
    <w:basedOn w:val="1"/>
    <w:next w:val="1"/>
    <w:uiPriority w:val="0"/>
    <w:pPr>
      <w:keepNext/>
      <w:keepLines/>
      <w:spacing w:before="360" w:after="80"/>
    </w:pPr>
    <w:rPr>
      <w:b/>
      <w:bCs/>
      <w:sz w:val="36"/>
      <w:szCs w:val="36"/>
    </w:rPr>
  </w:style>
  <w:style w:type="paragraph" w:styleId="4">
    <w:name w:val="heading 3"/>
    <w:basedOn w:val="1"/>
    <w:next w:val="1"/>
    <w:uiPriority w:val="0"/>
    <w:pPr>
      <w:keepNext/>
      <w:keepLines/>
      <w:spacing w:before="280" w:after="80"/>
    </w:pPr>
    <w:rPr>
      <w:b/>
      <w:bCs/>
      <w:sz w:val="28"/>
      <w:szCs w:val="28"/>
    </w:rPr>
  </w:style>
  <w:style w:type="paragraph" w:styleId="5">
    <w:name w:val="heading 4"/>
    <w:basedOn w:val="1"/>
    <w:next w:val="1"/>
    <w:uiPriority w:val="0"/>
    <w:pPr>
      <w:keepNext/>
      <w:keepLines/>
      <w:spacing w:before="240"/>
    </w:pPr>
    <w:rPr>
      <w:b/>
      <w:bCs/>
      <w:sz w:val="24"/>
      <w:szCs w:val="24"/>
    </w:rPr>
  </w:style>
  <w:style w:type="paragraph" w:styleId="6">
    <w:name w:val="heading 5"/>
    <w:basedOn w:val="1"/>
    <w:next w:val="1"/>
    <w:uiPriority w:val="0"/>
    <w:pPr>
      <w:keepNext/>
      <w:keepLines/>
      <w:spacing w:before="220"/>
    </w:pPr>
    <w:rPr>
      <w:b/>
      <w:bCs/>
      <w:sz w:val="22"/>
      <w:szCs w:val="22"/>
    </w:rPr>
  </w:style>
  <w:style w:type="paragraph" w:styleId="7">
    <w:name w:val="heading 6"/>
    <w:basedOn w:val="1"/>
    <w:next w:val="1"/>
    <w:uiPriority w:val="0"/>
    <w:pPr>
      <w:keepNext/>
      <w:keepLines/>
      <w:spacing w:before="200"/>
    </w:pPr>
    <w:rPr>
      <w:b/>
      <w:bCs/>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Strong"/>
    <w:basedOn w:val="8"/>
    <w:qFormat/>
    <w:uiPriority w:val="0"/>
    <w:rPr>
      <w:b/>
      <w:bCs/>
    </w:rPr>
  </w:style>
  <w:style w:type="paragraph" w:styleId="11">
    <w:name w:val="Title"/>
    <w:basedOn w:val="1"/>
    <w:next w:val="1"/>
    <w:uiPriority w:val="0"/>
    <w:pPr>
      <w:keepNext/>
      <w:keepLines/>
      <w:spacing w:before="480" w:after="120"/>
    </w:pPr>
    <w:rPr>
      <w:b/>
      <w:bCs/>
      <w:sz w:val="72"/>
      <w:szCs w:val="72"/>
    </w:rPr>
  </w:style>
  <w:style w:type="paragraph" w:styleId="12">
    <w:name w:val="Normal (Web)"/>
    <w:uiPriority w:val="0"/>
    <w:pPr>
      <w:spacing w:before="0" w:beforeAutospacing="1" w:after="0" w:afterAutospacing="1"/>
      <w:ind w:left="0" w:right="0"/>
      <w:jc w:val="left"/>
    </w:pPr>
    <w:rPr>
      <w:kern w:val="0"/>
      <w:sz w:val="24"/>
      <w:szCs w:val="24"/>
      <w:lang w:val="en-US" w:eastAsia="zh-CN" w:bidi="ar"/>
    </w:rPr>
  </w:style>
  <w:style w:type="paragraph" w:styleId="13">
    <w:name w:val="Subtitle"/>
    <w:basedOn w:val="1"/>
    <w:next w:val="1"/>
    <w:uiPriority w:val="0"/>
    <w:pPr>
      <w:keepNext/>
      <w:keepLines/>
      <w:spacing w:before="360" w:after="80"/>
    </w:pPr>
    <w:rPr>
      <w:rFonts w:ascii="Georgia" w:hAnsi="Georgia" w:eastAsia="Georgia" w:cs="Georgia"/>
      <w:i/>
      <w:iCs/>
      <w:color w:val="666666"/>
      <w:sz w:val="48"/>
      <w:szCs w:val="48"/>
    </w:rPr>
  </w:style>
  <w:style w:type="table" w:customStyle="1" w:styleId="14">
    <w:name w:val="TableNormal"/>
    <w:uiPriority w:val="0"/>
    <w:tblPr>
      <w:tblCellMar>
        <w:top w:w="100" w:type="dxa"/>
        <w:left w:w="100" w:type="dxa"/>
        <w:bottom w:w="100" w:type="dxa"/>
        <w:right w:w="100" w:type="dxa"/>
      </w:tblCellMar>
    </w:tblPr>
  </w:style>
  <w:style w:type="table" w:customStyle="1" w:styleId="15">
    <w:name w:val="_Style 10"/>
    <w:basedOn w:val="14"/>
    <w:uiPriority w:val="0"/>
    <w:tblPr>
      <w:tblCellMar>
        <w:top w:w="0" w:type="dxa"/>
        <w:left w:w="10" w:type="dxa"/>
        <w:bottom w:w="0" w:type="dxa"/>
        <w:right w:w="10" w:type="dxa"/>
      </w:tblCellMar>
    </w:tblPr>
  </w:style>
  <w:style w:type="table" w:customStyle="1" w:styleId="16">
    <w:name w:val="_Style 11"/>
    <w:basedOn w:val="14"/>
    <w:uiPriority w:val="0"/>
    <w:tblPr>
      <w:tblCellMar>
        <w:top w:w="0" w:type="dxa"/>
        <w:left w:w="10" w:type="dxa"/>
        <w:bottom w:w="0" w:type="dxa"/>
        <w:right w:w="10" w:type="dxa"/>
      </w:tblCellMar>
    </w:tblPr>
  </w:style>
  <w:style w:type="table" w:customStyle="1" w:styleId="17">
    <w:name w:val="_Style 12"/>
    <w:basedOn w:val="14"/>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9</Pages>
  <TotalTime>0</TotalTime>
  <ScaleCrop>false</ScaleCrop>
  <LinksUpToDate>false</LinksUpToDate>
  <Application>WPS Office_12.1.26015.26015_F1E327BC-269C-435d-A152-05C5408002CA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2026-08-27T13:06:57Z</dcterms:created>
  <dc:creator>Data</dc:creator>
  <cp:lastModifiedBy>WPS_1781160455</cp:lastModifiedBy>
  <dcterms:modified xsi:type="dcterms:W3CDTF">2026-08-27T13:10:15Z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1049-12.1.26015.26015</vt:lpwstr>
  </property>
  <property fmtid="{D5CDD505-2E9C-101B-9397-08002B2CF9AE}" pid="3" name="ICV">
    <vt:lpwstr>BFB21D3D343C5B7FDE9B686A8CE792D4_42</vt:lpwstr>
  </property>
</Properties>
</file>