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FF6B4">
      <w:pPr>
        <w:spacing w:before="0" w:after="60" w:line="240" w:lineRule="auto"/>
        <w:jc w:val="center"/>
      </w:pPr>
      <w:r>
        <w:rPr>
          <w:rFonts w:ascii="Arial" w:hAnsi="Arial" w:eastAsia="Arial"/>
          <w:b/>
          <w:i w:val="0"/>
          <w:color w:val="F6AE00"/>
          <w:sz w:val="18"/>
        </w:rPr>
        <w:t>ОБЕЗЛИЧЕННЫЙ ШАБЛОН</w:t>
      </w:r>
    </w:p>
    <w:p w14:paraId="471D4754">
      <w:pPr>
        <w:keepNext/>
        <w:spacing w:before="0" w:after="20" w:line="240" w:lineRule="auto"/>
        <w:jc w:val="center"/>
      </w:pPr>
      <w:r>
        <w:rPr>
          <w:rFonts w:ascii="Arial" w:hAnsi="Arial" w:eastAsia="Arial"/>
          <w:b/>
          <w:i w:val="0"/>
          <w:color w:val="007FAE"/>
          <w:sz w:val="26"/>
        </w:rPr>
        <w:t>АГЕНТСКИЙ ДОГОВОР ОБ ОРГАНИЗАЦИИ ОПЛАТЫ АРЕНДЫ</w:t>
      </w:r>
    </w:p>
    <w:p w14:paraId="0BC77825">
      <w:pPr>
        <w:keepNext/>
        <w:spacing w:before="0" w:after="100" w:line="240" w:lineRule="auto"/>
        <w:jc w:val="center"/>
      </w:pPr>
      <w:r>
        <w:rPr>
          <w:rFonts w:ascii="Arial" w:hAnsi="Arial" w:eastAsia="Arial"/>
          <w:b/>
          <w:i w:val="0"/>
          <w:color w:val="007FAE"/>
          <w:sz w:val="22"/>
        </w:rPr>
        <w:t>RENTAL PAYMENT ARRANGEMENT AGENCY AGREEMENT</w:t>
      </w:r>
    </w:p>
    <w:p w14:paraId="07D4027E">
      <w:pPr>
        <w:spacing w:before="0" w:after="120" w:line="240" w:lineRule="auto"/>
        <w:jc w:val="center"/>
      </w:pPr>
      <w:r>
        <w:rPr>
          <w:rFonts w:ascii="Arial" w:hAnsi="Arial" w:eastAsia="Arial"/>
          <w:b w:val="0"/>
          <w:i w:val="0"/>
          <w:color w:val="666666"/>
          <w:sz w:val="17"/>
        </w:rPr>
        <w:t>г. [●] / [●], [дата / date]</w:t>
      </w:r>
    </w:p>
    <w:tbl>
      <w:tblPr>
        <w:tblStyle w:val="9"/>
        <w:tblW w:w="10198" w:type="dxa"/>
        <w:jc w:val="center"/>
        <w:tblLayout w:type="fixed"/>
        <w:tblCellMar>
          <w:top w:w="0" w:type="dxa"/>
          <w:left w:w="10" w:type="dxa"/>
          <w:bottom w:w="0" w:type="dxa"/>
          <w:right w:w="10" w:type="dxa"/>
        </w:tblCellMar>
      </w:tblPr>
      <w:tblGrid>
        <w:gridCol w:w="20"/>
        <w:gridCol w:w="5089"/>
        <w:gridCol w:w="5089"/>
      </w:tblGrid>
      <w:tr w14:paraId="4BA21EA3">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93E37C0">
            <w:pPr>
              <w:spacing w:before="0" w:after="30" w:line="240" w:lineRule="auto"/>
              <w:rPr>
                <w:rFonts w:ascii="Arial" w:hAnsi="Arial" w:eastAsia="Arial"/>
                <w:b w:val="0"/>
                <w:i w:val="0"/>
                <w:color w:val="000000"/>
                <w:sz w:val="18"/>
              </w:rPr>
            </w:pPr>
            <w:r>
              <w:rPr>
                <w:rFonts w:ascii="Arial" w:hAnsi="Arial" w:eastAsia="Arial"/>
                <w:b w:val="0"/>
                <w:i w:val="0"/>
                <w:color w:val="000000"/>
                <w:sz w:val="18"/>
              </w:rPr>
              <w:t xml:space="preserve">MF Corporation Company Limited, юридическое лицо, учрежденное по праву Таиланда, регистрационный и налоговый номер 0835565024547, адрес: 9/31, Mu 5, Choeng Thale Sub-district, Thalang District, Phuket Province 83110, Thailand, в лице Director Miss Katika Sakornnoi, действующей на основании [учредительных документов / corporate documents], далее — «Агент», с одной стороны, </w:t>
            </w:r>
          </w:p>
          <w:p w14:paraId="3C14B091">
            <w:pPr>
              <w:spacing w:before="0" w:after="30" w:line="240" w:lineRule="auto"/>
              <w:rPr>
                <w:rFonts w:ascii="Arial" w:hAnsi="Arial" w:eastAsia="Arial"/>
                <w:b w:val="0"/>
                <w:i w:val="0"/>
                <w:color w:val="000000"/>
                <w:sz w:val="18"/>
              </w:rPr>
            </w:pPr>
            <w:r>
              <w:rPr>
                <w:rFonts w:ascii="Arial" w:hAnsi="Arial" w:eastAsia="Arial"/>
                <w:b w:val="0"/>
                <w:i w:val="0"/>
                <w:color w:val="000000"/>
                <w:sz w:val="18"/>
              </w:rPr>
              <w:t xml:space="preserve">и </w:t>
            </w:r>
          </w:p>
          <w:p w14:paraId="6D3C61A7">
            <w:pPr>
              <w:spacing w:before="0" w:after="30" w:line="240" w:lineRule="auto"/>
            </w:pPr>
            <w:r>
              <w:rPr>
                <w:rFonts w:ascii="Arial" w:hAnsi="Arial" w:eastAsia="Arial"/>
                <w:b w:val="0"/>
                <w:i w:val="0"/>
                <w:color w:val="000000"/>
                <w:sz w:val="18"/>
              </w:rPr>
              <w:t>[ФИО / полное наименование, ID/регистрационный номер, адрес], далее — «Клиент», с другой стороны, совместно — «Стороны», заключили настоящий Договор о нижеследующем.</w:t>
            </w:r>
          </w:p>
        </w:tc>
        <w:tc>
          <w:tcPr>
            <w:tcW w:w="5089" w:type="dxa"/>
            <w:tcBorders>
              <w:top w:val="nil"/>
              <w:left w:val="nil"/>
              <w:bottom w:val="nil"/>
              <w:right w:val="nil"/>
            </w:tcBorders>
            <w:tcMar>
              <w:top w:w="75" w:type="dxa"/>
              <w:left w:w="100" w:type="dxa"/>
              <w:bottom w:w="75" w:type="dxa"/>
              <w:right w:w="100" w:type="dxa"/>
            </w:tcMar>
            <w:vAlign w:val="top"/>
          </w:tcPr>
          <w:p w14:paraId="6D753842">
            <w:pPr>
              <w:spacing w:before="0" w:after="30" w:line="240" w:lineRule="auto"/>
              <w:rPr>
                <w:rFonts w:ascii="Arial" w:hAnsi="Arial" w:eastAsia="Arial"/>
                <w:b w:val="0"/>
                <w:i w:val="0"/>
                <w:color w:val="000000"/>
                <w:sz w:val="18"/>
              </w:rPr>
            </w:pPr>
            <w:r>
              <w:rPr>
                <w:rFonts w:ascii="Arial" w:hAnsi="Arial" w:eastAsia="Arial"/>
                <w:b w:val="0"/>
                <w:i w:val="0"/>
                <w:color w:val="000000"/>
                <w:sz w:val="18"/>
              </w:rPr>
              <w:t xml:space="preserve">MF Corporation Company Limited, a legal entity incorporated under the laws of Thailand, registration and tax number 0835565024547, address: 9/31, Mu 5, Choeng Thale Sub-district, Thalang District, Phuket Province 83110, Thailand, represented by Director Miss Katika Sakornnoi, acting under [corporate documents], hereinafter the “Agent”, </w:t>
            </w:r>
          </w:p>
          <w:p w14:paraId="77791BC1">
            <w:pPr>
              <w:spacing w:before="0" w:after="30" w:line="240" w:lineRule="auto"/>
              <w:rPr>
                <w:rFonts w:ascii="Arial" w:hAnsi="Arial" w:eastAsia="Arial"/>
                <w:b w:val="0"/>
                <w:i w:val="0"/>
                <w:color w:val="000000"/>
                <w:sz w:val="18"/>
              </w:rPr>
            </w:pPr>
            <w:r>
              <w:rPr>
                <w:rFonts w:ascii="Arial" w:hAnsi="Arial" w:eastAsia="Arial"/>
                <w:b w:val="0"/>
                <w:i w:val="0"/>
                <w:color w:val="000000"/>
                <w:sz w:val="18"/>
              </w:rPr>
              <w:t xml:space="preserve">and </w:t>
            </w:r>
          </w:p>
          <w:p w14:paraId="40E93B3D">
            <w:pPr>
              <w:spacing w:before="0" w:after="30" w:line="240" w:lineRule="auto"/>
            </w:pPr>
            <w:r>
              <w:rPr>
                <w:rFonts w:ascii="Arial" w:hAnsi="Arial" w:eastAsia="Arial"/>
                <w:b w:val="0"/>
                <w:i w:val="0"/>
                <w:color w:val="000000"/>
                <w:sz w:val="18"/>
              </w:rPr>
              <w:t>[full name / legal name, ID or registration number, address], hereinafter the “Client”, jointly the “Parties”, enter into this Agreement as follows.</w:t>
            </w:r>
          </w:p>
        </w:tc>
      </w:tr>
      <w:tr w14:paraId="593246E6">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15AE3CBD">
            <w:pPr>
              <w:spacing w:before="100" w:after="30" w:line="240" w:lineRule="auto"/>
            </w:pPr>
            <w:r>
              <w:rPr>
                <w:rFonts w:ascii="Arial" w:hAnsi="Arial" w:eastAsia="Arial"/>
                <w:b/>
                <w:i w:val="0"/>
                <w:color w:val="007FAE"/>
                <w:sz w:val="19"/>
              </w:rPr>
              <w:t>1. ПРЕДМЕТ ДОГОВОРА</w:t>
            </w:r>
          </w:p>
        </w:tc>
        <w:tc>
          <w:tcPr>
            <w:tcW w:w="5089" w:type="dxa"/>
            <w:tcBorders>
              <w:top w:val="nil"/>
              <w:left w:val="nil"/>
              <w:bottom w:val="nil"/>
              <w:right w:val="nil"/>
            </w:tcBorders>
            <w:tcMar>
              <w:top w:w="75" w:type="dxa"/>
              <w:left w:w="100" w:type="dxa"/>
              <w:bottom w:w="75" w:type="dxa"/>
              <w:right w:w="100" w:type="dxa"/>
            </w:tcMar>
            <w:vAlign w:val="top"/>
          </w:tcPr>
          <w:p w14:paraId="62BF2DCA">
            <w:pPr>
              <w:spacing w:before="100" w:after="30" w:line="240" w:lineRule="auto"/>
            </w:pPr>
            <w:r>
              <w:rPr>
                <w:rFonts w:ascii="Arial" w:hAnsi="Arial" w:eastAsia="Arial"/>
                <w:b/>
                <w:i w:val="0"/>
                <w:color w:val="007FAE"/>
                <w:sz w:val="19"/>
              </w:rPr>
              <w:t>1. SUBJECT MATTER</w:t>
            </w:r>
          </w:p>
        </w:tc>
      </w:tr>
      <w:tr w14:paraId="5FBC3953">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1CDE3517">
            <w:pPr>
              <w:spacing w:before="0" w:after="30" w:line="240" w:lineRule="auto"/>
            </w:pPr>
            <w:r>
              <w:rPr>
                <w:rFonts w:ascii="Arial" w:hAnsi="Arial" w:eastAsia="Arial"/>
                <w:b w:val="0"/>
                <w:i w:val="0"/>
                <w:color w:val="000000"/>
                <w:sz w:val="18"/>
              </w:rPr>
              <w:t>1.1. Агент по поручению и за счет Клиента организует исполнение платежа, указанного в отдельной Rental Payment Instruction по форме Приложения 1, в пользу получателя, указанного в такой инструкции. Основанием платежа являются договор аренды, инвойс, счёт управляющей компании и/или иные документы по аренде объекта недвижимости (далее — «Основная сделка»).</w:t>
            </w:r>
          </w:p>
        </w:tc>
        <w:tc>
          <w:tcPr>
            <w:tcW w:w="5089" w:type="dxa"/>
            <w:tcBorders>
              <w:top w:val="nil"/>
              <w:left w:val="nil"/>
              <w:bottom w:val="nil"/>
              <w:right w:val="nil"/>
            </w:tcBorders>
            <w:tcMar>
              <w:top w:w="75" w:type="dxa"/>
              <w:left w:w="100" w:type="dxa"/>
              <w:bottom w:w="75" w:type="dxa"/>
              <w:right w:w="100" w:type="dxa"/>
            </w:tcMar>
            <w:vAlign w:val="top"/>
          </w:tcPr>
          <w:p w14:paraId="76EDE455">
            <w:pPr>
              <w:spacing w:before="0" w:after="30" w:line="240" w:lineRule="auto"/>
            </w:pPr>
            <w:r>
              <w:rPr>
                <w:rFonts w:ascii="Arial" w:hAnsi="Arial" w:eastAsia="Arial"/>
                <w:b w:val="0"/>
                <w:i w:val="0"/>
                <w:color w:val="000000"/>
                <w:sz w:val="18"/>
              </w:rPr>
              <w:t>1.1. The Agent, on the Client’s instruction and at the Client’s expense, arranges the payment specified in a separate Rental Payment Instruction in Appendix 1, to the recipient named in that instruction. The basis for payment is a rental agreement, invoice, property-management bill and/or other documents relating to a rental of real property (the “Underlying Transaction”).</w:t>
            </w:r>
          </w:p>
        </w:tc>
      </w:tr>
      <w:tr w14:paraId="6BA1B38C">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29C92AF">
            <w:pPr>
              <w:spacing w:before="0" w:after="30" w:line="240" w:lineRule="auto"/>
            </w:pPr>
            <w:r>
              <w:rPr>
                <w:rFonts w:ascii="Arial" w:hAnsi="Arial" w:eastAsia="Arial"/>
                <w:b w:val="0"/>
                <w:i w:val="0"/>
                <w:color w:val="000000"/>
                <w:sz w:val="18"/>
              </w:rPr>
              <w:t>1.2. Агент не является арендодателем, собственником, управляющей компанией, брокером по недвижимости или стороной Основной сделки. Договор не является договором аренды, не подтверждает право Клиента на проживание или пользование объектом и не заменяет договор аренды, акт приема-передачи или иные документы между Клиентом и арендодателем.</w:t>
            </w:r>
          </w:p>
        </w:tc>
        <w:tc>
          <w:tcPr>
            <w:tcW w:w="5089" w:type="dxa"/>
            <w:tcBorders>
              <w:top w:val="nil"/>
              <w:left w:val="nil"/>
              <w:bottom w:val="nil"/>
              <w:right w:val="nil"/>
            </w:tcBorders>
            <w:tcMar>
              <w:top w:w="75" w:type="dxa"/>
              <w:left w:w="100" w:type="dxa"/>
              <w:bottom w:w="75" w:type="dxa"/>
              <w:right w:w="100" w:type="dxa"/>
            </w:tcMar>
            <w:vAlign w:val="top"/>
          </w:tcPr>
          <w:p w14:paraId="012E8C6B">
            <w:pPr>
              <w:spacing w:before="0" w:after="30" w:line="240" w:lineRule="auto"/>
            </w:pPr>
            <w:r>
              <w:rPr>
                <w:rFonts w:ascii="Arial" w:hAnsi="Arial" w:eastAsia="Arial"/>
                <w:b w:val="0"/>
                <w:i w:val="0"/>
                <w:color w:val="000000"/>
                <w:sz w:val="18"/>
              </w:rPr>
              <w:t>1.2. The Agent is not the lessor, owner, property manager, real-estate broker, or a party to the Underlying Transaction. This Agreement is not a lease, does not confirm the Client’s right to occupy or use the property, and does not replace the rental agreement, handover record, or other documents between the Client and the lessor.</w:t>
            </w:r>
          </w:p>
        </w:tc>
      </w:tr>
      <w:tr w14:paraId="2BEA4D0F">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D10704E">
            <w:pPr>
              <w:spacing w:before="0" w:after="30" w:line="240" w:lineRule="auto"/>
            </w:pPr>
            <w:r>
              <w:rPr>
                <w:rFonts w:ascii="Arial" w:hAnsi="Arial" w:eastAsia="Arial"/>
                <w:b w:val="0"/>
                <w:i w:val="0"/>
                <w:color w:val="000000"/>
                <w:sz w:val="18"/>
              </w:rPr>
              <w:t>1.3. Каждая Rental Payment Instruction является частью Договора после подписания или подтверждения Сторонами согласованным способом. При противоречии между Договором и инструкцией по конкретному платежу преимущественную силу имеет инструкция, кроме условий об ответственности, применимом праве, спорах и комплаенсе.</w:t>
            </w:r>
          </w:p>
        </w:tc>
        <w:tc>
          <w:tcPr>
            <w:tcW w:w="5089" w:type="dxa"/>
            <w:tcBorders>
              <w:top w:val="nil"/>
              <w:left w:val="nil"/>
              <w:bottom w:val="nil"/>
              <w:right w:val="nil"/>
            </w:tcBorders>
            <w:tcMar>
              <w:top w:w="75" w:type="dxa"/>
              <w:left w:w="100" w:type="dxa"/>
              <w:bottom w:w="75" w:type="dxa"/>
              <w:right w:w="100" w:type="dxa"/>
            </w:tcMar>
            <w:vAlign w:val="top"/>
          </w:tcPr>
          <w:p w14:paraId="7391353E">
            <w:pPr>
              <w:spacing w:before="0" w:after="30" w:line="240" w:lineRule="auto"/>
            </w:pPr>
            <w:r>
              <w:rPr>
                <w:rFonts w:ascii="Arial" w:hAnsi="Arial" w:eastAsia="Arial"/>
                <w:b w:val="0"/>
                <w:i w:val="0"/>
                <w:color w:val="000000"/>
                <w:sz w:val="18"/>
              </w:rPr>
              <w:t>1.3. Each Rental Payment Instruction becomes part of this Agreement after signature or confirmation by the Parties through an agreed method. If this Agreement and an instruction conflict for a payment, the instruction prevails, except for liability, governing-law, dispute, and compliance clauses.</w:t>
            </w:r>
          </w:p>
        </w:tc>
      </w:tr>
      <w:tr w14:paraId="3854A94A">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6CBC769E">
            <w:pPr>
              <w:spacing w:before="100" w:after="30" w:line="240" w:lineRule="auto"/>
            </w:pPr>
            <w:r>
              <w:rPr>
                <w:rFonts w:ascii="Arial" w:hAnsi="Arial" w:eastAsia="Arial"/>
                <w:b/>
                <w:i w:val="0"/>
                <w:color w:val="007FAE"/>
                <w:sz w:val="19"/>
              </w:rPr>
              <w:t>2. ПОРЯДОК ПЛАТЕЖА</w:t>
            </w:r>
          </w:p>
        </w:tc>
        <w:tc>
          <w:tcPr>
            <w:tcW w:w="5089" w:type="dxa"/>
            <w:tcBorders>
              <w:top w:val="nil"/>
              <w:left w:val="nil"/>
              <w:bottom w:val="nil"/>
              <w:right w:val="nil"/>
            </w:tcBorders>
            <w:tcMar>
              <w:top w:w="75" w:type="dxa"/>
              <w:left w:w="100" w:type="dxa"/>
              <w:bottom w:w="75" w:type="dxa"/>
              <w:right w:w="100" w:type="dxa"/>
            </w:tcMar>
            <w:vAlign w:val="top"/>
          </w:tcPr>
          <w:p w14:paraId="5CBCA5FB">
            <w:pPr>
              <w:spacing w:before="100" w:after="30" w:line="240" w:lineRule="auto"/>
            </w:pPr>
            <w:r>
              <w:rPr>
                <w:rFonts w:ascii="Arial" w:hAnsi="Arial" w:eastAsia="Arial"/>
                <w:b/>
                <w:i w:val="0"/>
                <w:color w:val="007FAE"/>
                <w:sz w:val="19"/>
              </w:rPr>
              <w:t>2. PAYMENT PROCESS</w:t>
            </w:r>
          </w:p>
        </w:tc>
      </w:tr>
      <w:tr w14:paraId="223E1360">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2DC5D7B9">
            <w:pPr>
              <w:spacing w:before="0" w:after="30" w:line="240" w:lineRule="auto"/>
            </w:pPr>
            <w:r>
              <w:rPr>
                <w:rPr>
                  <w:rFonts w:ascii="Arial" w:hAnsi="Arial" w:eastAsia="Arial"/>
                  <w:b w:val="0"/>
                  <w:i w:val="0"/>
                  <w:color w:val="000000"/>
                  <w:sz w:val="18"/>
                </w:rPr>
              </w:rPr>
              <w:t>2.1. Клиент вносит сумму, указанную в соответствующих Invoice и Payment Instruction, способом и по реквизитам, указанным Агентом для конкретной операции. Допустимый способ может включать банковский перевод на расчетный счет, СБП, перевод USDT или наличные — только если это прямо указано в Invoice или Payment Instruction. Реквизиты и способ оплаты действительны только если они указаны в Invoice или Payment Instruction с номером и датой, относящихся к конкретной операции, направлены Агентом с согласованного корпоративного e-mail и используются в пределах указанного в документе срока.</w:t>
              <w:br/>
              <w:br/>
              <w:t>При изменении получателя, банковских реквизитов или адреса USDT-кошелька Клиент подтверждает новую Payment Instruction или Invoice с согласованного контакта до совершения оплаты. Если в Invoice или Payment Instruction указан получатель, отличный от Агента, в документе указываются его полное наименование и роль в платёжном маршруте; оплата такому получателю считается надлежащим исполнением обязанности Клиента перед Агентом только при прямом указании на это в соответствующем документе.</w:t>
            </w:r>
          </w:p>
        </w:tc>
        <w:tc>
          <w:tcPr>
            <w:tcW w:w="5089" w:type="dxa"/>
            <w:tcBorders>
              <w:top w:val="nil"/>
              <w:left w:val="nil"/>
              <w:bottom w:val="nil"/>
              <w:right w:val="nil"/>
            </w:tcBorders>
            <w:tcMar>
              <w:top w:w="75" w:type="dxa"/>
              <w:left w:w="100" w:type="dxa"/>
              <w:bottom w:w="75" w:type="dxa"/>
              <w:right w:w="100" w:type="dxa"/>
            </w:tcMar>
            <w:vAlign w:val="top"/>
          </w:tcPr>
          <w:p w14:paraId="4C4AF1C5">
            <w:pPr>
              <w:spacing w:before="0" w:after="30" w:line="240" w:lineRule="auto"/>
            </w:pPr>
            <w:r>
              <w:rPr>
                <w:rPr>
                  <w:rFonts w:ascii="Arial" w:hAnsi="Arial" w:eastAsia="Arial"/>
                  <w:b w:val="0"/>
                  <w:i w:val="0"/>
                  <w:color w:val="000000"/>
                  <w:sz w:val="18"/>
                </w:rPr>
              </w:rPr>
              <w:t>2.1. The Client pays the amount stated in the relevant Invoice and Payment Instruction using the method and payment details specified by the Agent for that transaction. The permitted method may include a bank transfer to a settlement account, SBP, USDT transfer or cash, only where expressly stated in the Invoice or Payment Instruction. Payment details and the payment method are valid only if stated in an Invoice or Payment Instruction bearing a number and date, relating to the relevant transaction, sent by the Agent from an agreed corporate email address, and used within the validity period stated in that document.</w:t>
              <w:br/>
              <w:br/>
              <w:t>If the pay-in recipient, bank details or USDT wallet address changes, the Client shall confirm the new Payment Instruction or Invoice through an agreed contact before making payment. If an Invoice or Payment Instruction names a pay-in recipient other than the Agent, the document identifies that recipient’s full legal name and role in the payment route; payment to that recipient is treated as due performance of the Client’s obligation to the Agent only where the relevant document expressly states so.</w:t>
            </w:r>
          </w:p>
        </w:tc>
      </w:tr>
      <w:tr w14:paraId="524E8BC9">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59126B58">
            <w:pPr>
              <w:spacing w:before="0" w:after="30" w:line="240" w:lineRule="auto"/>
            </w:pPr>
            <w:r>
              <w:rPr>
                <w:rFonts w:ascii="Arial" w:hAnsi="Arial" w:eastAsia="Arial"/>
                <w:b w:val="0"/>
                <w:i w:val="0"/>
                <w:color w:val="000000"/>
                <w:sz w:val="18"/>
              </w:rPr>
              <w:t>2.2. Агент приступает к организации THB-платежа после поступления полной суммы, указанной в Invoice/Rental Payment Instruction, получения заполненной Rental Payment Instruction и документов по Основной сделке, успешного прохождения проверки по пункту 5.1 и доступности согласованного платёжного маршрута.</w:t>
            </w:r>
          </w:p>
        </w:tc>
        <w:tc>
          <w:tcPr>
            <w:tcW w:w="5089" w:type="dxa"/>
            <w:tcBorders>
              <w:top w:val="nil"/>
              <w:left w:val="nil"/>
              <w:bottom w:val="nil"/>
              <w:right w:val="nil"/>
            </w:tcBorders>
            <w:tcMar>
              <w:top w:w="75" w:type="dxa"/>
              <w:left w:w="100" w:type="dxa"/>
              <w:bottom w:w="75" w:type="dxa"/>
              <w:right w:w="100" w:type="dxa"/>
            </w:tcMar>
            <w:vAlign w:val="top"/>
          </w:tcPr>
          <w:p w14:paraId="3C4A626A">
            <w:pPr>
              <w:spacing w:before="0" w:after="30" w:line="240" w:lineRule="auto"/>
            </w:pPr>
            <w:r>
              <w:rPr>
                <w:rFonts w:ascii="Arial" w:hAnsi="Arial" w:eastAsia="Arial"/>
                <w:b w:val="0"/>
                <w:i w:val="0"/>
                <w:color w:val="000000"/>
                <w:sz w:val="18"/>
              </w:rPr>
              <w:t>2.2. The Agent starts arranging the THB payment only after receipt of the full amount stated in the Invoice/Rental Payment Instruction, a completed Rental Payment Instruction and Underlying Transaction documents, successful completion of Clause 5.1 checks, and availability of the agreed payment route.</w:t>
            </w:r>
          </w:p>
        </w:tc>
      </w:tr>
      <w:tr w14:paraId="094216C5">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63C4569">
            <w:pPr>
              <w:spacing w:before="0" w:after="30" w:line="240" w:lineRule="auto"/>
            </w:pPr>
            <w:r>
              <w:rPr>
                <w:rFonts w:ascii="Arial" w:hAnsi="Arial" w:eastAsia="Arial"/>
                <w:b w:val="0"/>
                <w:i w:val="0"/>
                <w:color w:val="000000"/>
                <w:sz w:val="18"/>
              </w:rPr>
              <w:t>2.3. Сумма к перечислению в THB, вид платежа (депозит, арендная плата, сервисные/коммунальные платежи или иной согласованный платеж), курс RUB/THB, комиссия Агента, банковские расходы, срок действия расчета и срок исполнения указываются в Rental Payment Instruction. При недостаточности суммы Агент уведомляет Клиента и вправе не исполнять инструкцию до доплаты.</w:t>
            </w:r>
          </w:p>
        </w:tc>
        <w:tc>
          <w:tcPr>
            <w:tcW w:w="5089" w:type="dxa"/>
            <w:tcBorders>
              <w:top w:val="nil"/>
              <w:left w:val="nil"/>
              <w:bottom w:val="nil"/>
              <w:right w:val="nil"/>
            </w:tcBorders>
            <w:tcMar>
              <w:top w:w="75" w:type="dxa"/>
              <w:left w:w="100" w:type="dxa"/>
              <w:bottom w:w="75" w:type="dxa"/>
              <w:right w:w="100" w:type="dxa"/>
            </w:tcMar>
            <w:vAlign w:val="top"/>
          </w:tcPr>
          <w:p w14:paraId="7A7CE1CE">
            <w:pPr>
              <w:spacing w:before="0" w:after="30" w:line="240" w:lineRule="auto"/>
            </w:pPr>
            <w:r>
              <w:rPr>
                <w:rFonts w:ascii="Arial" w:hAnsi="Arial" w:eastAsia="Arial"/>
                <w:b w:val="0"/>
                <w:i w:val="0"/>
                <w:color w:val="000000"/>
                <w:sz w:val="18"/>
              </w:rPr>
              <w:t>2.3. The THB transfer amount, payment type (security deposit, rent, service/utility charge or another agreed payment), RUB/THB exchange rate, Agent’s fee, bank charges, quote-validity period, and execution period are stated in the Rental Payment Instruction. If the funds are insufficient, the Agent notifies the Client and may suspend execution until the shortfall is paid.</w:t>
            </w:r>
          </w:p>
        </w:tc>
      </w:tr>
      <w:tr w14:paraId="7D1066F3">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21C63D97">
            <w:pPr>
              <w:spacing w:before="0" w:after="30" w:line="240" w:lineRule="auto"/>
            </w:pPr>
            <w:r>
              <w:rPr>
                <w:rFonts w:ascii="Arial" w:hAnsi="Arial" w:eastAsia="Arial"/>
                <w:b w:val="0"/>
                <w:i w:val="0"/>
                <w:color w:val="000000"/>
                <w:sz w:val="18"/>
              </w:rPr>
              <w:t>2.4. Агент исполняет Rental Payment Instruction в срок [●] рабочих дней после выполнения пункта 2.2, если иной срок не указан в инструкции. Срок не включает период ожидания документов, ответа банка, проверки или сбоя вне контроля Агента.</w:t>
            </w:r>
          </w:p>
        </w:tc>
        <w:tc>
          <w:tcPr>
            <w:tcW w:w="5089" w:type="dxa"/>
            <w:tcBorders>
              <w:top w:val="nil"/>
              <w:left w:val="nil"/>
              <w:bottom w:val="nil"/>
              <w:right w:val="nil"/>
            </w:tcBorders>
            <w:tcMar>
              <w:top w:w="75" w:type="dxa"/>
              <w:left w:w="100" w:type="dxa"/>
              <w:bottom w:w="75" w:type="dxa"/>
              <w:right w:w="100" w:type="dxa"/>
            </w:tcMar>
            <w:vAlign w:val="top"/>
          </w:tcPr>
          <w:p w14:paraId="22F7C0EF">
            <w:pPr>
              <w:spacing w:before="0" w:after="30" w:line="240" w:lineRule="auto"/>
            </w:pPr>
            <w:r>
              <w:rPr>
                <w:rFonts w:ascii="Arial" w:hAnsi="Arial" w:eastAsia="Arial"/>
                <w:b w:val="0"/>
                <w:i w:val="0"/>
                <w:color w:val="000000"/>
                <w:sz w:val="18"/>
              </w:rPr>
              <w:t>2.4. The Agent executes a Rental Payment Instruction within [●] business days after Clause 2.2 is met, unless the instruction states otherwise. This period excludes time awaiting documents, a bank response, review, or an outage outside the Agent’s control.</w:t>
            </w:r>
          </w:p>
        </w:tc>
      </w:tr>
      <w:tr w14:paraId="4711364B">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2A3F6845">
            <w:pPr>
              <w:spacing w:before="100" w:after="30" w:line="240" w:lineRule="auto"/>
            </w:pPr>
            <w:r>
              <w:rPr>
                <w:rFonts w:ascii="Arial" w:hAnsi="Arial" w:eastAsia="Arial"/>
                <w:b/>
                <w:i w:val="0"/>
                <w:color w:val="007FAE"/>
                <w:sz w:val="19"/>
              </w:rPr>
              <w:t>3. ДОКУМЕНТЫ ПО АРЕНДЕ</w:t>
            </w:r>
          </w:p>
        </w:tc>
        <w:tc>
          <w:tcPr>
            <w:tcW w:w="5089" w:type="dxa"/>
            <w:tcBorders>
              <w:top w:val="nil"/>
              <w:left w:val="nil"/>
              <w:bottom w:val="nil"/>
              <w:right w:val="nil"/>
            </w:tcBorders>
            <w:tcMar>
              <w:top w:w="75" w:type="dxa"/>
              <w:left w:w="100" w:type="dxa"/>
              <w:bottom w:w="75" w:type="dxa"/>
              <w:right w:w="100" w:type="dxa"/>
            </w:tcMar>
            <w:vAlign w:val="top"/>
          </w:tcPr>
          <w:p w14:paraId="023AAC77">
            <w:pPr>
              <w:spacing w:before="100" w:after="30" w:line="240" w:lineRule="auto"/>
            </w:pPr>
            <w:r>
              <w:rPr>
                <w:rFonts w:ascii="Arial" w:hAnsi="Arial" w:eastAsia="Arial"/>
                <w:b/>
                <w:i w:val="0"/>
                <w:color w:val="007FAE"/>
                <w:sz w:val="19"/>
              </w:rPr>
              <w:t>3. RENTAL TRANSACTION DOCUMENTS</w:t>
            </w:r>
          </w:p>
        </w:tc>
      </w:tr>
      <w:tr w14:paraId="77CB49A2">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66BA210">
            <w:pPr>
              <w:spacing w:before="0" w:after="30" w:line="240" w:lineRule="auto"/>
            </w:pPr>
            <w:r>
              <w:rPr>
                <w:rFonts w:ascii="Arial" w:hAnsi="Arial" w:eastAsia="Arial"/>
                <w:b w:val="0"/>
                <w:i w:val="0"/>
                <w:color w:val="000000"/>
                <w:sz w:val="18"/>
              </w:rPr>
              <w:t>3.1. До исполнения Клиент предоставляет договор аренды или иной документ с арендодателем/управляющей компанией, действующий инвойс или счет, данные объекта и периода аренды, вид платежа, реквизиты получателя и иные документы, разумно запрошенные Агентом.</w:t>
            </w:r>
          </w:p>
        </w:tc>
        <w:tc>
          <w:tcPr>
            <w:tcW w:w="5089" w:type="dxa"/>
            <w:tcBorders>
              <w:top w:val="nil"/>
              <w:left w:val="nil"/>
              <w:bottom w:val="nil"/>
              <w:right w:val="nil"/>
            </w:tcBorders>
            <w:tcMar>
              <w:top w:w="75" w:type="dxa"/>
              <w:left w:w="100" w:type="dxa"/>
              <w:bottom w:w="75" w:type="dxa"/>
              <w:right w:w="100" w:type="dxa"/>
            </w:tcMar>
            <w:vAlign w:val="top"/>
          </w:tcPr>
          <w:p w14:paraId="273704E9">
            <w:pPr>
              <w:spacing w:before="0" w:after="30" w:line="240" w:lineRule="auto"/>
            </w:pPr>
            <w:r>
              <w:rPr>
                <w:rFonts w:ascii="Arial" w:hAnsi="Arial" w:eastAsia="Arial"/>
                <w:b w:val="0"/>
                <w:i w:val="0"/>
                <w:color w:val="000000"/>
                <w:sz w:val="18"/>
              </w:rPr>
              <w:t>3.1. Before execution, the Client provides a rental agreement or other document with the lessor/property manager, a valid invoice or bill, property and rental-period details, payment type, recipient details, and other documents reasonably requested by the Agent.</w:t>
            </w:r>
          </w:p>
        </w:tc>
      </w:tr>
      <w:tr w14:paraId="16DCADA4">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5D4512E">
            <w:pPr>
              <w:spacing w:before="0" w:after="30" w:line="240" w:lineRule="auto"/>
            </w:pPr>
            <w:r>
              <w:rPr>
                <w:rFonts w:ascii="Arial" w:hAnsi="Arial" w:eastAsia="Arial"/>
                <w:b w:val="0"/>
                <w:i w:val="0"/>
                <w:color w:val="000000"/>
                <w:sz w:val="18"/>
              </w:rPr>
              <w:t>3.2. Клиент самостоятельно проверяет условия Основной сделки, полномочия получателя, состояние объекта, размер и условия возврата депозита, порядок передачи и возврата объекта, начисления за аренду, сервис и коммунальные услуги, а также налоги и сборы. Агент не проводит юридическую или техническую проверку объекта и не дает заключения о действительности аренды, качестве объекта, проживании, возврате депозита или спорах с арендодателем, если отдельно письменно не согласовано иное.</w:t>
            </w:r>
          </w:p>
        </w:tc>
        <w:tc>
          <w:tcPr>
            <w:tcW w:w="5089" w:type="dxa"/>
            <w:tcBorders>
              <w:top w:val="nil"/>
              <w:left w:val="nil"/>
              <w:bottom w:val="nil"/>
              <w:right w:val="nil"/>
            </w:tcBorders>
            <w:tcMar>
              <w:top w:w="75" w:type="dxa"/>
              <w:left w:w="100" w:type="dxa"/>
              <w:bottom w:w="75" w:type="dxa"/>
              <w:right w:w="100" w:type="dxa"/>
            </w:tcMar>
            <w:vAlign w:val="top"/>
          </w:tcPr>
          <w:p w14:paraId="33CD0207">
            <w:pPr>
              <w:spacing w:before="0" w:after="30" w:line="240" w:lineRule="auto"/>
            </w:pPr>
            <w:r>
              <w:rPr>
                <w:rFonts w:ascii="Arial" w:hAnsi="Arial" w:eastAsia="Arial"/>
                <w:b w:val="0"/>
                <w:i w:val="0"/>
                <w:color w:val="000000"/>
                <w:sz w:val="18"/>
              </w:rPr>
              <w:t>3.2. The Client independently checks the Underlying Transaction, recipient authority, property condition, amount and return terms of the security deposit, handover and return procedure, rent, service and utility charges, and taxes and charges. The Agent does not perform legal or technical due diligence on the property and gives no opinion on the validity of the rental, property quality, occupancy, return of the security deposit, or disputes with the lessor unless separately agreed in writing.</w:t>
            </w:r>
          </w:p>
        </w:tc>
      </w:tr>
      <w:tr w14:paraId="2707F555">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1E59B3EA">
            <w:pPr>
              <w:spacing w:before="100" w:after="30" w:line="240" w:lineRule="auto"/>
            </w:pPr>
            <w:r>
              <w:rPr>
                <w:rFonts w:ascii="Arial" w:hAnsi="Arial" w:eastAsia="Arial"/>
                <w:b/>
                <w:i w:val="0"/>
                <w:color w:val="007FAE"/>
                <w:sz w:val="19"/>
              </w:rPr>
              <w:t>4. КОМИССИЯ, ОТМЕНА И ВОЗВРАТ</w:t>
            </w:r>
          </w:p>
        </w:tc>
        <w:tc>
          <w:tcPr>
            <w:tcW w:w="5089" w:type="dxa"/>
            <w:tcBorders>
              <w:top w:val="nil"/>
              <w:left w:val="nil"/>
              <w:bottom w:val="nil"/>
              <w:right w:val="nil"/>
            </w:tcBorders>
            <w:tcMar>
              <w:top w:w="75" w:type="dxa"/>
              <w:left w:w="100" w:type="dxa"/>
              <w:bottom w:w="75" w:type="dxa"/>
              <w:right w:w="100" w:type="dxa"/>
            </w:tcMar>
            <w:vAlign w:val="top"/>
          </w:tcPr>
          <w:p w14:paraId="36B45431">
            <w:pPr>
              <w:spacing w:before="100" w:after="30" w:line="240" w:lineRule="auto"/>
            </w:pPr>
            <w:r>
              <w:rPr>
                <w:rFonts w:ascii="Arial" w:hAnsi="Arial" w:eastAsia="Arial"/>
                <w:b/>
                <w:i w:val="0"/>
                <w:color w:val="007FAE"/>
                <w:sz w:val="19"/>
              </w:rPr>
              <w:t>4. FEES, CANCELLATION AND REFUND</w:t>
            </w:r>
          </w:p>
        </w:tc>
      </w:tr>
      <w:tr w14:paraId="100CA088">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0F0370CB">
            <w:pPr>
              <w:spacing w:before="0" w:after="30" w:line="240" w:lineRule="auto"/>
            </w:pPr>
            <w:r>
              <w:rPr>
                <w:rFonts w:ascii="Arial" w:hAnsi="Arial" w:eastAsia="Arial"/>
                <w:b w:val="0"/>
                <w:i w:val="0"/>
                <w:color w:val="000000"/>
                <w:sz w:val="18"/>
              </w:rPr>
              <w:t>4.1. Комиссия Агента и банковские расходы указываются в Payment Instruction. Если комиссия не согласована, Агент не обязан исполнять инструкцию.</w:t>
            </w:r>
          </w:p>
        </w:tc>
        <w:tc>
          <w:tcPr>
            <w:tcW w:w="5089" w:type="dxa"/>
            <w:tcBorders>
              <w:top w:val="nil"/>
              <w:left w:val="nil"/>
              <w:bottom w:val="nil"/>
              <w:right w:val="nil"/>
            </w:tcBorders>
            <w:tcMar>
              <w:top w:w="75" w:type="dxa"/>
              <w:left w:w="100" w:type="dxa"/>
              <w:bottom w:w="75" w:type="dxa"/>
              <w:right w:w="100" w:type="dxa"/>
            </w:tcMar>
            <w:vAlign w:val="top"/>
          </w:tcPr>
          <w:p w14:paraId="5B5C74BD">
            <w:pPr>
              <w:spacing w:before="0" w:after="30" w:line="240" w:lineRule="auto"/>
            </w:pPr>
            <w:r>
              <w:rPr>
                <w:rFonts w:ascii="Arial" w:hAnsi="Arial" w:eastAsia="Arial"/>
                <w:b w:val="0"/>
                <w:i w:val="0"/>
                <w:color w:val="000000"/>
                <w:sz w:val="18"/>
              </w:rPr>
              <w:t>The Agent’s fee and bank charges are stated in the Payment Instruction. If the fee is not agreed, the Agent is not required to execute the instruction.</w:t>
            </w:r>
          </w:p>
        </w:tc>
      </w:tr>
      <w:tr w14:paraId="5A4862F6">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03FFA61">
            <w:pPr>
              <w:spacing w:before="0" w:after="30" w:line="240" w:lineRule="auto"/>
            </w:pPr>
            <w:r>
              <w:rPr>
                <w:rFonts w:ascii="Arial" w:hAnsi="Arial" w:eastAsia="Arial"/>
                <w:b w:val="0"/>
                <w:i w:val="0"/>
                <w:color w:val="000000"/>
                <w:sz w:val="18"/>
              </w:rPr>
              <w:t>4.2. Клиент вправе отозвать неисполненную инструкцию до направления платежа банку. После направления отзыв возможен только при согласии банка и/или получателя; соответствующие расходы несет Клиент.</w:t>
            </w:r>
          </w:p>
        </w:tc>
        <w:tc>
          <w:tcPr>
            <w:tcW w:w="5089" w:type="dxa"/>
            <w:tcBorders>
              <w:top w:val="nil"/>
              <w:left w:val="nil"/>
              <w:bottom w:val="nil"/>
              <w:right w:val="nil"/>
            </w:tcBorders>
            <w:tcMar>
              <w:top w:w="75" w:type="dxa"/>
              <w:left w:w="100" w:type="dxa"/>
              <w:bottom w:w="75" w:type="dxa"/>
              <w:right w:w="100" w:type="dxa"/>
            </w:tcMar>
            <w:vAlign w:val="top"/>
          </w:tcPr>
          <w:p w14:paraId="0F93E180">
            <w:pPr>
              <w:spacing w:before="0" w:after="30" w:line="240" w:lineRule="auto"/>
            </w:pPr>
            <w:r>
              <w:rPr>
                <w:rFonts w:ascii="Arial" w:hAnsi="Arial" w:eastAsia="Arial"/>
                <w:b w:val="0"/>
                <w:i w:val="0"/>
                <w:color w:val="000000"/>
                <w:sz w:val="18"/>
              </w:rPr>
              <w:t>The Client may revoke an unexecuted instruction before payment submission to the bank. Afterwards, revocation is possible only with the bank’s and/or recipient’s consent; the Client bears related costs.</w:t>
            </w:r>
          </w:p>
        </w:tc>
      </w:tr>
      <w:tr w14:paraId="4502AEDD">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07423FB">
            <w:pPr>
              <w:spacing w:before="0" w:after="30" w:line="240" w:lineRule="auto"/>
              <w:rPr>
                <w:rFonts w:hint="default" w:ascii="Arial" w:hAnsi="Arial" w:eastAsia="Arial"/>
                <w:b w:val="0"/>
                <w:i w:val="0"/>
                <w:color w:val="000000"/>
                <w:sz w:val="18"/>
              </w:rPr>
            </w:pPr>
            <w:r>
              <w:rPr>
                <w:rPr>
                  <w:rFonts w:hint="default" w:ascii="Arial" w:hAnsi="Arial" w:eastAsia="Arial"/>
                  <w:b w:val="0"/>
                  <w:i w:val="0"/>
                  <w:color w:val="000000"/>
                  <w:sz w:val="18"/>
                </w:rPr>
              </w:rPr>
              <w:t>4.3. При отказе банка или платёжного партнёра, невозможности исполнения по результатам комплаенс-проверки, ошибке реквизитов либо иной невозможности исполнения Агент возвращает Клиенту неиспользованный остаток за вычетом: (i) согласованной комиссии за фактически оказанные услуги; и (ii) заранее раскрытых и документально подтверждённых невозвратных банковских и иных расходов третьих лиц.</w:t>
              <w:br/>
              <w:br/>
              <w:t>Неиспользованным остатком признаются средства, не перечисленные получателю и не использованные для оплаты указанных комиссии и расходов.</w:t>
              <w:br/>
              <w:br/>
              <w:t>Возврат производится в течение 5 (пяти) рабочих дней с даты, когда Агент получил возвращённые средства от банка или платёжного партнёра либо когда стало окончательно известно, что исполнение невозможно. Возврат осуществляется на исходный счёт или кошелёк плательщика, если это законно и технически возможно; в иных случаях — на верифицированные реквизиты Клиента, согласованные Сторонами письменно. Валюта возврата определяется валютой фактически сохранившегося остатка после исполнения или отмены платежа, если Стороны письменно не согласовали иное.</w:t>
            </w:r>
          </w:p>
          <w:p w14:paraId="0BD5B457">
            <w:pPr>
              <w:spacing w:before="0" w:after="30" w:line="240" w:lineRule="auto"/>
              <w:rPr>
                <w:rFonts w:hint="default" w:ascii="Arial" w:hAnsi="Arial" w:eastAsia="Arial"/>
                <w:b w:val="0"/>
                <w:i w:val="0"/>
                <w:color w:val="000000"/>
                <w:sz w:val="18"/>
              </w:rPr>
            </w:pPr>
          </w:p>
          <w:p w14:paraId="513E28A0">
            <w:pPr>
              <w:spacing w:before="0" w:after="30" w:line="240" w:lineRule="auto"/>
              <w:rPr>
                <w:rFonts w:hint="default" w:ascii="Arial" w:hAnsi="Arial" w:eastAsia="Arial"/>
                <w:b w:val="0"/>
                <w:i w:val="0"/>
                <w:color w:val="000000"/>
                <w:sz w:val="18"/>
              </w:rPr>
            </w:pPr>
            <w:r>
              <w:rPr>
                <w:rFonts w:hint="default" w:ascii="Arial" w:hAnsi="Arial" w:eastAsia="Arial"/>
                <w:b w:val="0"/>
                <w:i w:val="0"/>
                <w:color w:val="000000"/>
                <w:sz w:val="18"/>
              </w:rPr>
              <w:t>Неиспользованным остатком признаются средства, не перечисленные получателю и не использованные для оплаты указанных комиссии и расходов.</w:t>
            </w:r>
          </w:p>
          <w:p w14:paraId="17BCE51E">
            <w:pPr>
              <w:spacing w:before="0" w:after="30" w:line="240" w:lineRule="auto"/>
              <w:rPr>
                <w:rFonts w:hint="default" w:ascii="Arial" w:hAnsi="Arial" w:eastAsia="Arial"/>
                <w:b w:val="0"/>
                <w:i w:val="0"/>
                <w:color w:val="000000"/>
                <w:sz w:val="18"/>
              </w:rPr>
            </w:pPr>
          </w:p>
          <w:p w14:paraId="7080F9EC">
            <w:pPr>
              <w:spacing w:before="0" w:after="30" w:line="240" w:lineRule="auto"/>
            </w:pPr>
            <w:r>
              <w:rPr>
                <w:rFonts w:hint="default" w:ascii="Arial" w:hAnsi="Arial" w:eastAsia="Arial"/>
                <w:b w:val="0"/>
                <w:i w:val="0"/>
                <w:color w:val="000000"/>
                <w:sz w:val="18"/>
              </w:rPr>
              <w:t>Возврат производится в течение 5 (пяти) рабочих дней с даты, когда Агент получил возвращённые средства от банка или платёжного партнёра либо когда стало окончательно известно, что исполнение невозможно. Возврат осуществляется на исходный счёт или кошелёк плательщика, если это законно и технически возможно; в иных случаях — на верифицированные реквизиты Клиента, согласованные Сторонами письменно. Валюта возврата определяется валютой фактически сохранившегося остатка после исполнения или отмены платежа, если Стороны письменно не согласовали иное.</w:t>
            </w:r>
          </w:p>
        </w:tc>
        <w:tc>
          <w:tcPr>
            <w:tcW w:w="5089" w:type="dxa"/>
            <w:tcBorders>
              <w:top w:val="nil"/>
              <w:left w:val="nil"/>
              <w:bottom w:val="nil"/>
              <w:right w:val="nil"/>
            </w:tcBorders>
            <w:tcMar>
              <w:top w:w="75" w:type="dxa"/>
              <w:left w:w="100" w:type="dxa"/>
              <w:bottom w:w="75" w:type="dxa"/>
              <w:right w:w="100" w:type="dxa"/>
            </w:tcMar>
            <w:vAlign w:val="top"/>
          </w:tcPr>
          <w:p w14:paraId="0A5179D6">
            <w:pPr>
              <w:spacing w:before="0" w:after="30" w:line="240" w:lineRule="auto"/>
              <w:rPr>
                <w:rFonts w:hint="default" w:ascii="Arial" w:hAnsi="Arial" w:eastAsia="Arial"/>
                <w:b w:val="0"/>
                <w:i w:val="0"/>
                <w:color w:val="000000"/>
                <w:sz w:val="18"/>
              </w:rPr>
            </w:pPr>
            <w:r>
              <w:rPr>
                <w:rPr>
                  <w:rFonts w:hint="default" w:ascii="Arial" w:hAnsi="Arial" w:eastAsia="Arial"/>
                  <w:b w:val="0"/>
                  <w:i w:val="0"/>
                  <w:color w:val="000000"/>
                  <w:sz w:val="18"/>
                </w:rPr>
              </w:rPr>
              <w:t>4.3. If a bank or payment partner declines the transaction, execution becomes impossible as a result of compliance review, recipient details are incorrect, or execution becomes impossible for another reason, the Agent shall return the unused balance to the Client less: (i) the agreed fee for services actually performed; and (ii) pre-disclosed and documented non-refundable bank and other third-party costs.</w:t>
              <w:br/>
              <w:br/>
              <w:t>“Unused balance” means funds not remitted to the recipient and not used to pay such fee and costs.</w:t>
              <w:br/>
              <w:br/>
              <w:t>The refund shall be made within 5 (five) Business Days after the Agent receives returned funds from the bank or payment partner, or after it becomes finally known that execution is impossible. The refund shall be made to the original payer’s account or wallet where lawful and technically possible; otherwise, to the Client’s verified payment details agreed by the Parties in writing. The refund currency shall be the currency of the balance actually remaining after execution or cancellation of the payment, unless otherwise agreed by the Parties in writing.</w:t>
            </w:r>
          </w:p>
          <w:p w14:paraId="5CB999C4">
            <w:pPr>
              <w:spacing w:before="0" w:after="30" w:line="240" w:lineRule="auto"/>
              <w:rPr>
                <w:rFonts w:hint="default" w:ascii="Arial" w:hAnsi="Arial" w:eastAsia="Arial"/>
                <w:b w:val="0"/>
                <w:i w:val="0"/>
                <w:color w:val="000000"/>
                <w:sz w:val="18"/>
              </w:rPr>
            </w:pPr>
          </w:p>
          <w:p w14:paraId="17345BA0">
            <w:pPr>
              <w:spacing w:before="0" w:after="30" w:line="240" w:lineRule="auto"/>
              <w:rPr>
                <w:rFonts w:hint="default" w:ascii="Arial" w:hAnsi="Arial" w:eastAsia="Arial"/>
                <w:b w:val="0"/>
                <w:i w:val="0"/>
                <w:color w:val="000000"/>
                <w:sz w:val="18"/>
              </w:rPr>
            </w:pPr>
            <w:r>
              <w:rPr>
                <w:rFonts w:hint="default" w:ascii="Arial" w:hAnsi="Arial" w:eastAsia="Arial"/>
                <w:b w:val="0"/>
                <w:i w:val="0"/>
                <w:color w:val="000000"/>
                <w:sz w:val="18"/>
              </w:rPr>
              <w:t>“Unused balance” means funds not remitted to the recipient and not used to pay such fee and costs.</w:t>
            </w:r>
          </w:p>
          <w:p w14:paraId="5305DD63">
            <w:pPr>
              <w:spacing w:before="0" w:after="30" w:line="240" w:lineRule="auto"/>
              <w:rPr>
                <w:rFonts w:hint="default" w:ascii="Arial" w:hAnsi="Arial" w:eastAsia="Arial"/>
                <w:b w:val="0"/>
                <w:i w:val="0"/>
                <w:color w:val="000000"/>
                <w:sz w:val="18"/>
              </w:rPr>
            </w:pPr>
          </w:p>
          <w:p w14:paraId="71D10ECF">
            <w:pPr>
              <w:spacing w:before="0" w:after="30" w:line="240" w:lineRule="auto"/>
            </w:pPr>
            <w:r>
              <w:rPr>
                <w:rFonts w:hint="default" w:ascii="Arial" w:hAnsi="Arial" w:eastAsia="Arial"/>
                <w:b w:val="0"/>
                <w:i w:val="0"/>
                <w:color w:val="000000"/>
                <w:sz w:val="18"/>
              </w:rPr>
              <w:t>The refund shall be made within 5 (five) Business Days after the Agent receives returned funds from the bank or payment partner, or after it becomes finally known that execution is impossible. The refund shall be made to the original payer’s account or wallet where lawful and technically possible; otherwise, to the Client’s verified payment details agreed by the Parties in writing. The refund currency shall be the currency of the balance actually remaining after execution or cancellation of the payment, unless otherwise agreed by the Parties in writing.</w:t>
            </w:r>
            <w:bookmarkStart w:id="0" w:name="_GoBack"/>
            <w:bookmarkEnd w:id="0"/>
          </w:p>
        </w:tc>
      </w:tr>
      <w:tr w14:paraId="445D1476">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67BD88F6">
            <w:pPr>
              <w:spacing w:before="100" w:after="30" w:line="240" w:lineRule="auto"/>
            </w:pPr>
            <w:r>
              <w:rPr>
                <w:rFonts w:ascii="Arial" w:hAnsi="Arial" w:eastAsia="Arial"/>
                <w:b/>
                <w:i w:val="0"/>
                <w:color w:val="007FAE"/>
                <w:sz w:val="19"/>
              </w:rPr>
              <w:t>5. КОМПЛАЕНС И ДОСТОВЕРНОСТЬ</w:t>
            </w:r>
          </w:p>
        </w:tc>
        <w:tc>
          <w:tcPr>
            <w:tcW w:w="5089" w:type="dxa"/>
            <w:tcBorders>
              <w:top w:val="nil"/>
              <w:left w:val="nil"/>
              <w:bottom w:val="nil"/>
              <w:right w:val="nil"/>
            </w:tcBorders>
            <w:tcMar>
              <w:top w:w="75" w:type="dxa"/>
              <w:left w:w="100" w:type="dxa"/>
              <w:bottom w:w="75" w:type="dxa"/>
              <w:right w:w="100" w:type="dxa"/>
            </w:tcMar>
            <w:vAlign w:val="top"/>
          </w:tcPr>
          <w:p w14:paraId="2CFE1DA8">
            <w:pPr>
              <w:spacing w:before="100" w:after="30" w:line="240" w:lineRule="auto"/>
            </w:pPr>
            <w:r>
              <w:rPr>
                <w:rFonts w:ascii="Arial" w:hAnsi="Arial" w:eastAsia="Arial"/>
                <w:b/>
                <w:i w:val="0"/>
                <w:color w:val="007FAE"/>
                <w:sz w:val="19"/>
              </w:rPr>
              <w:t>5. COMPLIANCE AND ACCURACY</w:t>
            </w:r>
          </w:p>
        </w:tc>
      </w:tr>
      <w:tr w14:paraId="75490FE1">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5D77A164">
            <w:pPr>
              <w:spacing w:before="0" w:after="30" w:line="240" w:lineRule="auto"/>
            </w:pPr>
            <w:r>
              <w:rPr>
                <w:rFonts w:ascii="Arial" w:hAnsi="Arial" w:eastAsia="Arial"/>
                <w:b w:val="0"/>
                <w:i w:val="0"/>
                <w:color w:val="000000"/>
                <w:sz w:val="18"/>
              </w:rPr>
              <w:t>5.1. Агент вправе запросить документы Клиента, подтверждение источника средств, сведения о плательщике/получателе и иные материалы, необходимые для банковской, санкционной, AML/KYC или внутренней проверки.</w:t>
            </w:r>
          </w:p>
        </w:tc>
        <w:tc>
          <w:tcPr>
            <w:tcW w:w="5089" w:type="dxa"/>
            <w:tcBorders>
              <w:top w:val="nil"/>
              <w:left w:val="nil"/>
              <w:bottom w:val="nil"/>
              <w:right w:val="nil"/>
            </w:tcBorders>
            <w:tcMar>
              <w:top w:w="75" w:type="dxa"/>
              <w:left w:w="100" w:type="dxa"/>
              <w:bottom w:w="75" w:type="dxa"/>
              <w:right w:w="100" w:type="dxa"/>
            </w:tcMar>
            <w:vAlign w:val="top"/>
          </w:tcPr>
          <w:p w14:paraId="797FF17F">
            <w:pPr>
              <w:spacing w:before="0" w:after="30" w:line="240" w:lineRule="auto"/>
            </w:pPr>
            <w:r>
              <w:rPr>
                <w:rFonts w:ascii="Arial" w:hAnsi="Arial" w:eastAsia="Arial"/>
                <w:b w:val="0"/>
                <w:i w:val="0"/>
                <w:color w:val="000000"/>
                <w:sz w:val="18"/>
              </w:rPr>
              <w:t>The Agent may request Client documents, source-of-funds confirmation, payer/recipient information, and other materials required for banking, sanctions, AML/KYC, or internal review.</w:t>
            </w:r>
          </w:p>
        </w:tc>
      </w:tr>
      <w:tr w14:paraId="546EA4BF">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413B86E0">
            <w:pPr>
              <w:spacing w:before="0" w:after="30" w:line="240" w:lineRule="auto"/>
            </w:pPr>
            <w:r>
              <w:rPr>
                <w:rFonts w:ascii="Arial" w:hAnsi="Arial" w:eastAsia="Arial"/>
                <w:b w:val="0"/>
                <w:i w:val="0"/>
                <w:color w:val="000000"/>
                <w:sz w:val="18"/>
              </w:rPr>
              <w:t>5.2. Агент вправе приостановить, отклонить или не исполнять инструкцию при неполных документах, обоснованных сомнениях, несоответствии требованиям банка/применимым ограничениям или риске нарушения права. Такое действие не является нарушением при добросовестности Агента.</w:t>
            </w:r>
          </w:p>
        </w:tc>
        <w:tc>
          <w:tcPr>
            <w:tcW w:w="5089" w:type="dxa"/>
            <w:tcBorders>
              <w:top w:val="nil"/>
              <w:left w:val="nil"/>
              <w:bottom w:val="nil"/>
              <w:right w:val="nil"/>
            </w:tcBorders>
            <w:tcMar>
              <w:top w:w="75" w:type="dxa"/>
              <w:left w:w="100" w:type="dxa"/>
              <w:bottom w:w="75" w:type="dxa"/>
              <w:right w:w="100" w:type="dxa"/>
            </w:tcMar>
            <w:vAlign w:val="top"/>
          </w:tcPr>
          <w:p w14:paraId="4B745FEF">
            <w:pPr>
              <w:spacing w:before="0" w:after="30" w:line="240" w:lineRule="auto"/>
            </w:pPr>
            <w:r>
              <w:rPr>
                <w:rFonts w:ascii="Arial" w:hAnsi="Arial" w:eastAsia="Arial"/>
                <w:b w:val="0"/>
                <w:i w:val="0"/>
                <w:color w:val="000000"/>
                <w:sz w:val="18"/>
              </w:rPr>
              <w:t>The Agent may suspend, decline, or not execute an instruction if documents are incomplete, there are reasonable concerns, bank requirements or applicable restrictions are not met, or there is a risk of legal breach. Such action is not a breach if taken in good faith.</w:t>
            </w:r>
          </w:p>
        </w:tc>
      </w:tr>
      <w:tr w14:paraId="2D97311F">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CAB1632">
            <w:pPr>
              <w:spacing w:before="0" w:after="30" w:line="240" w:lineRule="auto"/>
            </w:pPr>
            <w:r>
              <w:rPr>
                <w:rFonts w:ascii="Arial" w:hAnsi="Arial" w:eastAsia="Arial"/>
                <w:b w:val="0"/>
                <w:i w:val="0"/>
                <w:color w:val="000000"/>
                <w:sz w:val="18"/>
              </w:rPr>
              <w:t>5.3. Клиент гарантирует точность и полноту сведений и несет риск их недостоверности, включая отказ банка, задержку, возврат платежа и расходы.</w:t>
            </w:r>
          </w:p>
        </w:tc>
        <w:tc>
          <w:tcPr>
            <w:tcW w:w="5089" w:type="dxa"/>
            <w:tcBorders>
              <w:top w:val="nil"/>
              <w:left w:val="nil"/>
              <w:bottom w:val="nil"/>
              <w:right w:val="nil"/>
            </w:tcBorders>
            <w:tcMar>
              <w:top w:w="75" w:type="dxa"/>
              <w:left w:w="100" w:type="dxa"/>
              <w:bottom w:w="75" w:type="dxa"/>
              <w:right w:w="100" w:type="dxa"/>
            </w:tcMar>
            <w:vAlign w:val="top"/>
          </w:tcPr>
          <w:p w14:paraId="2653B1FE">
            <w:pPr>
              <w:spacing w:before="0" w:after="30" w:line="240" w:lineRule="auto"/>
            </w:pPr>
            <w:r>
              <w:rPr>
                <w:rFonts w:ascii="Arial" w:hAnsi="Arial" w:eastAsia="Arial"/>
                <w:b w:val="0"/>
                <w:i w:val="0"/>
                <w:color w:val="000000"/>
                <w:sz w:val="18"/>
              </w:rPr>
              <w:t>The Client warrants the accuracy and completeness of information and bears the risk of its inaccuracy, including bank refusal, delay, returned payment, and costs.</w:t>
            </w:r>
          </w:p>
        </w:tc>
      </w:tr>
      <w:tr w14:paraId="0764E3B0">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0E43ED30">
            <w:pPr>
              <w:spacing w:before="0" w:after="30" w:line="240" w:lineRule="auto"/>
            </w:pPr>
            <w:r>
              <w:rPr>
                <w:rFonts w:ascii="Arial" w:hAnsi="Arial" w:eastAsia="Arial"/>
                <w:b w:val="0"/>
                <w:i w:val="0"/>
                <w:color w:val="000000"/>
                <w:sz w:val="18"/>
              </w:rPr>
              <w:t>5.4. Клиент разрешает Агенту передавать копии документа, удостоверяющего личность, документов по Основной сделке, Payment Instruction и иных сведений, предоставленных Клиентом для исполнения инструкции, банку, платежному партнеру, привлеченному им провайдеру и получателю платежа — исключительно в объеме, необходимом для проверки и исполнения платежа. Если такой получатель запросит отдельное согласие или документ, Клиент предоставляет его без неоправданной задержки.</w:t>
            </w:r>
          </w:p>
        </w:tc>
        <w:tc>
          <w:tcPr>
            <w:tcW w:w="5089" w:type="dxa"/>
            <w:tcBorders>
              <w:top w:val="nil"/>
              <w:left w:val="nil"/>
              <w:bottom w:val="nil"/>
              <w:right w:val="nil"/>
            </w:tcBorders>
            <w:tcMar>
              <w:top w:w="75" w:type="dxa"/>
              <w:left w:w="100" w:type="dxa"/>
              <w:bottom w:w="75" w:type="dxa"/>
              <w:right w:w="100" w:type="dxa"/>
            </w:tcMar>
            <w:vAlign w:val="top"/>
          </w:tcPr>
          <w:p w14:paraId="7E9C94CD">
            <w:pPr>
              <w:spacing w:before="0" w:after="30" w:line="240" w:lineRule="auto"/>
            </w:pPr>
            <w:r>
              <w:rPr>
                <w:rFonts w:ascii="Arial" w:hAnsi="Arial" w:eastAsia="Arial"/>
                <w:b w:val="0"/>
                <w:i w:val="0"/>
                <w:color w:val="000000"/>
                <w:sz w:val="18"/>
              </w:rPr>
              <w:t>5.4. The Client authorises the Agent to disclose copies of the Client’s identity document, Underlying Transaction documents, the Payment Instruction and other information provided by the Client for execution of an instruction to the bank, payment partner, its engaged provider and payment recipient, solely to the extent necessary to review and execute the payment. If such recipient requests a separate consent or document, the Client provides it without undue delay.</w:t>
            </w:r>
          </w:p>
        </w:tc>
      </w:tr>
      <w:tr w14:paraId="1D2C79E5">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1327CE36">
            <w:pPr>
              <w:spacing w:before="0" w:after="30" w:line="240" w:lineRule="auto"/>
            </w:pPr>
            <w:r>
              <w:rPr>
                <w:rFonts w:ascii="Arial" w:hAnsi="Arial" w:eastAsia="Arial"/>
                <w:b w:val="0"/>
                <w:i w:val="0"/>
                <w:color w:val="000000"/>
                <w:sz w:val="18"/>
              </w:rPr>
              <w:t>5.5. Не позднее одного рабочего дня после направления платежа банку Агент направляет Клиенту доступное подтверждение. Не позднее пяти рабочих дней после исполнения или прекращения исполнения инструкции Агент предоставляет краткий отчёт: статус, сумму, комиссию/расходы и доступный банковский reference. Замечания к отчёту направляются в течение [5] рабочих дней.</w:t>
            </w:r>
          </w:p>
        </w:tc>
        <w:tc>
          <w:tcPr>
            <w:tcW w:w="5089" w:type="dxa"/>
            <w:tcBorders>
              <w:top w:val="nil"/>
              <w:left w:val="nil"/>
              <w:bottom w:val="nil"/>
              <w:right w:val="nil"/>
            </w:tcBorders>
            <w:tcMar>
              <w:top w:w="75" w:type="dxa"/>
              <w:left w:w="100" w:type="dxa"/>
              <w:bottom w:w="75" w:type="dxa"/>
              <w:right w:w="100" w:type="dxa"/>
            </w:tcMar>
            <w:vAlign w:val="top"/>
          </w:tcPr>
          <w:p w14:paraId="42DE3FED">
            <w:pPr>
              <w:spacing w:before="0" w:after="30" w:line="240" w:lineRule="auto"/>
            </w:pPr>
            <w:r>
              <w:rPr>
                <w:rFonts w:ascii="Arial" w:hAnsi="Arial" w:eastAsia="Arial"/>
                <w:b w:val="0"/>
                <w:i w:val="0"/>
                <w:color w:val="000000"/>
                <w:sz w:val="18"/>
              </w:rPr>
              <w:t>5.5. No later than one business day after submitting the payment to the bank, the Agent sends the Client available evidence. No later than five business days after execution or cessation of execution, the Agent provides a short report: status, amount, fee/costs and available bank reference. Comments on the report must be sent within [5] business days.</w:t>
            </w:r>
          </w:p>
        </w:tc>
      </w:tr>
      <w:tr w14:paraId="04A1FF19">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2B522A9B">
            <w:pPr>
              <w:spacing w:before="0" w:after="30" w:line="240" w:lineRule="auto"/>
            </w:pPr>
            <w:r>
              <w:rPr>
                <w:rFonts w:ascii="Arial" w:hAnsi="Arial" w:eastAsia="Arial"/>
                <w:b w:val="0"/>
                <w:i w:val="0"/>
                <w:color w:val="000000"/>
                <w:sz w:val="18"/>
              </w:rPr>
              <w:t>5.6. Денежные средства, полученные Агентом для исполнения конкретной Payment Instruction, не являются займом, вкладом или инвестициями Клиента в Агенте. Проценты на них не начисляются, если иное прямо не предусмотрено обязательными нормами применимого права.</w:t>
            </w:r>
          </w:p>
        </w:tc>
        <w:tc>
          <w:tcPr>
            <w:tcW w:w="5089" w:type="dxa"/>
            <w:tcBorders>
              <w:top w:val="nil"/>
              <w:left w:val="nil"/>
              <w:bottom w:val="nil"/>
              <w:right w:val="nil"/>
            </w:tcBorders>
            <w:tcMar>
              <w:top w:w="75" w:type="dxa"/>
              <w:left w:w="100" w:type="dxa"/>
              <w:bottom w:w="75" w:type="dxa"/>
              <w:right w:w="100" w:type="dxa"/>
            </w:tcMar>
            <w:vAlign w:val="top"/>
          </w:tcPr>
          <w:p w14:paraId="7DBF8163">
            <w:pPr>
              <w:spacing w:before="0" w:after="30" w:line="240" w:lineRule="auto"/>
            </w:pPr>
            <w:r>
              <w:rPr>
                <w:rFonts w:ascii="Arial" w:hAnsi="Arial" w:eastAsia="Arial"/>
                <w:b w:val="0"/>
                <w:i w:val="0"/>
                <w:color w:val="000000"/>
                <w:sz w:val="18"/>
              </w:rPr>
              <w:t>5.6. Funds received by the Agent for a specific Payment Instruction are not a loan, deposit or investment by the Client in the Agent. No interest accrues on them unless mandatory applicable law expressly provides otherwise.</w:t>
            </w:r>
          </w:p>
        </w:tc>
      </w:tr>
      <w:tr w14:paraId="6015C20B">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A253DD3">
            <w:pPr>
              <w:spacing w:before="100" w:after="30" w:line="240" w:lineRule="auto"/>
            </w:pPr>
            <w:r>
              <w:rPr>
                <w:rFonts w:ascii="Arial" w:hAnsi="Arial" w:eastAsia="Arial"/>
                <w:b/>
                <w:i w:val="0"/>
                <w:color w:val="007FAE"/>
                <w:sz w:val="19"/>
              </w:rPr>
              <w:t>6. ОТВЕТСТВЕННОСТЬ</w:t>
            </w:r>
          </w:p>
        </w:tc>
        <w:tc>
          <w:tcPr>
            <w:tcW w:w="5089" w:type="dxa"/>
            <w:tcBorders>
              <w:top w:val="nil"/>
              <w:left w:val="nil"/>
              <w:bottom w:val="nil"/>
              <w:right w:val="nil"/>
            </w:tcBorders>
            <w:tcMar>
              <w:top w:w="75" w:type="dxa"/>
              <w:left w:w="100" w:type="dxa"/>
              <w:bottom w:w="75" w:type="dxa"/>
              <w:right w:w="100" w:type="dxa"/>
            </w:tcMar>
            <w:vAlign w:val="top"/>
          </w:tcPr>
          <w:p w14:paraId="1E74282B">
            <w:pPr>
              <w:spacing w:before="100" w:after="30" w:line="240" w:lineRule="auto"/>
            </w:pPr>
            <w:r>
              <w:rPr>
                <w:rFonts w:ascii="Arial" w:hAnsi="Arial" w:eastAsia="Arial"/>
                <w:b/>
                <w:i w:val="0"/>
                <w:color w:val="007FAE"/>
                <w:sz w:val="19"/>
              </w:rPr>
              <w:t>6. LIABILITY</w:t>
            </w:r>
          </w:p>
        </w:tc>
      </w:tr>
      <w:tr w14:paraId="4A490F1B">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5C38EF4E">
            <w:pPr>
              <w:spacing w:before="0" w:after="30" w:line="240" w:lineRule="auto"/>
            </w:pPr>
            <w:r>
              <w:rPr>
                <w:rFonts w:ascii="Arial" w:hAnsi="Arial" w:eastAsia="Arial"/>
                <w:b w:val="0"/>
                <w:i w:val="0"/>
                <w:color w:val="000000"/>
                <w:sz w:val="18"/>
              </w:rPr>
              <w:t>6.1. Агент отвечает только за прямой документально подтвержденный ущерб, причиненный его виновным неисполнением. Максимальная ответственность по одной Payment Instruction ограничена комиссией Агента по ней, кроме умысла, ответственности, которую нельзя ограничить по применимому праву, и прав Клиента, предоставленных обязательными нормами о защите прав потребителей.</w:t>
            </w:r>
          </w:p>
        </w:tc>
        <w:tc>
          <w:tcPr>
            <w:tcW w:w="5089" w:type="dxa"/>
            <w:tcBorders>
              <w:top w:val="nil"/>
              <w:left w:val="nil"/>
              <w:bottom w:val="nil"/>
              <w:right w:val="nil"/>
            </w:tcBorders>
            <w:tcMar>
              <w:top w:w="75" w:type="dxa"/>
              <w:left w:w="100" w:type="dxa"/>
              <w:bottom w:w="75" w:type="dxa"/>
              <w:right w:w="100" w:type="dxa"/>
            </w:tcMar>
            <w:vAlign w:val="top"/>
          </w:tcPr>
          <w:p w14:paraId="179D4473">
            <w:pPr>
              <w:spacing w:before="0" w:after="30" w:line="240" w:lineRule="auto"/>
            </w:pPr>
            <w:r>
              <w:rPr>
                <w:rFonts w:ascii="Arial" w:hAnsi="Arial" w:eastAsia="Arial"/>
                <w:b w:val="0"/>
                <w:i w:val="0"/>
                <w:color w:val="000000"/>
                <w:sz w:val="18"/>
              </w:rPr>
              <w:t>The Agent is liable only for direct documented loss caused by its culpable non-performance. Maximum liability for one Payment Instruction is limited to the Agent’s fee for it, except for wilful misconduct, liability that cannot be limited by applicable law, and Client rights granted by mandatory consumer-protection law.</w:t>
            </w:r>
          </w:p>
        </w:tc>
      </w:tr>
      <w:tr w14:paraId="02D8168F">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FA98DCC">
            <w:pPr>
              <w:spacing w:before="0" w:after="30" w:line="240" w:lineRule="auto"/>
            </w:pPr>
            <w:r>
              <w:rPr>
                <w:rFonts w:ascii="Arial" w:hAnsi="Arial" w:eastAsia="Arial"/>
                <w:b w:val="0"/>
                <w:i w:val="0"/>
                <w:color w:val="000000"/>
                <w:sz w:val="18"/>
              </w:rPr>
              <w:t>6.2. Агент не отвечает за действия арендодателя, собственника, управляющей компании, продавца, банка, корреспондента, платежной системы или органа власти; состояние, качество, доступность, сроки передачи или пользования объектом; начисления за аренду, сервис или коммунальные услуги; возврат депозита; прекращение аренды; а также косвенные убытки и упущенную выгоду.</w:t>
            </w:r>
          </w:p>
        </w:tc>
        <w:tc>
          <w:tcPr>
            <w:tcW w:w="5089" w:type="dxa"/>
            <w:tcBorders>
              <w:top w:val="nil"/>
              <w:left w:val="nil"/>
              <w:bottom w:val="nil"/>
              <w:right w:val="nil"/>
            </w:tcBorders>
            <w:tcMar>
              <w:top w:w="75" w:type="dxa"/>
              <w:left w:w="100" w:type="dxa"/>
              <w:bottom w:w="75" w:type="dxa"/>
              <w:right w:w="100" w:type="dxa"/>
            </w:tcMar>
            <w:vAlign w:val="top"/>
          </w:tcPr>
          <w:p w14:paraId="6A174419">
            <w:pPr>
              <w:spacing w:before="0" w:after="30" w:line="240" w:lineRule="auto"/>
            </w:pPr>
            <w:r>
              <w:rPr>
                <w:rFonts w:ascii="Arial" w:hAnsi="Arial" w:eastAsia="Arial"/>
                <w:b w:val="0"/>
                <w:i w:val="0"/>
                <w:color w:val="000000"/>
                <w:sz w:val="18"/>
              </w:rPr>
              <w:t>6.2. The Agent is not liable for acts of the lessor, owner, property manager, seller, bank, correspondent, payment system, or public authority; the condition, quality, availability, handover timing or use of the property; rent, service or utility charges; return of the security deposit; termination of the rental; or indirect losses and lost profit.</w:t>
            </w:r>
          </w:p>
        </w:tc>
      </w:tr>
      <w:tr w14:paraId="62E85F30">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48B648EC">
            <w:pPr>
              <w:spacing w:before="100" w:after="30" w:line="240" w:lineRule="auto"/>
            </w:pPr>
            <w:r>
              <w:rPr>
                <w:rFonts w:ascii="Arial" w:hAnsi="Arial" w:eastAsia="Arial"/>
                <w:b/>
                <w:i w:val="0"/>
                <w:color w:val="007FAE"/>
                <w:sz w:val="19"/>
              </w:rPr>
              <w:t>7. СРОК И ПРОЧИЕ УСЛОВИЯ</w:t>
            </w:r>
          </w:p>
        </w:tc>
        <w:tc>
          <w:tcPr>
            <w:tcW w:w="5089" w:type="dxa"/>
            <w:tcBorders>
              <w:top w:val="nil"/>
              <w:left w:val="nil"/>
              <w:bottom w:val="nil"/>
              <w:right w:val="nil"/>
            </w:tcBorders>
            <w:tcMar>
              <w:top w:w="75" w:type="dxa"/>
              <w:left w:w="100" w:type="dxa"/>
              <w:bottom w:w="75" w:type="dxa"/>
              <w:right w:w="100" w:type="dxa"/>
            </w:tcMar>
            <w:vAlign w:val="top"/>
          </w:tcPr>
          <w:p w14:paraId="7F3D506C">
            <w:pPr>
              <w:spacing w:before="100" w:after="30" w:line="240" w:lineRule="auto"/>
            </w:pPr>
            <w:r>
              <w:rPr>
                <w:rFonts w:ascii="Arial" w:hAnsi="Arial" w:eastAsia="Arial"/>
                <w:b/>
                <w:i w:val="0"/>
                <w:color w:val="007FAE"/>
                <w:sz w:val="19"/>
              </w:rPr>
              <w:t>7. TERM AND MISCELLANEOUS</w:t>
            </w:r>
          </w:p>
        </w:tc>
      </w:tr>
      <w:tr w14:paraId="58C7898E">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07682B9">
            <w:pPr>
              <w:spacing w:before="0" w:after="30" w:line="240" w:lineRule="auto"/>
            </w:pPr>
            <w:r>
              <w:rPr>
                <w:rFonts w:ascii="Arial" w:hAnsi="Arial" w:eastAsia="Arial"/>
                <w:b w:val="0"/>
                <w:i w:val="0"/>
                <w:color w:val="000000"/>
                <w:sz w:val="18"/>
              </w:rPr>
              <w:t>7.1. Договор действует с даты подписания до исполнения обязательств по принятым Payment Instructions. Каждая Сторона вправе прекратить его за [10] рабочих дней письменного уведомления; это не отменяет уже принятые инструкции.</w:t>
            </w:r>
          </w:p>
        </w:tc>
        <w:tc>
          <w:tcPr>
            <w:tcW w:w="5089" w:type="dxa"/>
            <w:tcBorders>
              <w:top w:val="nil"/>
              <w:left w:val="nil"/>
              <w:bottom w:val="nil"/>
              <w:right w:val="nil"/>
            </w:tcBorders>
            <w:tcMar>
              <w:top w:w="75" w:type="dxa"/>
              <w:left w:w="100" w:type="dxa"/>
              <w:bottom w:w="75" w:type="dxa"/>
              <w:right w:w="100" w:type="dxa"/>
            </w:tcMar>
            <w:vAlign w:val="top"/>
          </w:tcPr>
          <w:p w14:paraId="39DBDE07">
            <w:pPr>
              <w:spacing w:before="0" w:after="30" w:line="240" w:lineRule="auto"/>
            </w:pPr>
            <w:r>
              <w:rPr>
                <w:rFonts w:ascii="Arial" w:hAnsi="Arial" w:eastAsia="Arial"/>
                <w:b w:val="0"/>
                <w:i w:val="0"/>
                <w:color w:val="000000"/>
                <w:sz w:val="18"/>
              </w:rPr>
              <w:t>This Agreement applies from signature until obligations under accepted Payment Instructions are performed. Either Party may terminate it with [10] business days’ written notice; this does not cancel accepted instructions.</w:t>
            </w:r>
          </w:p>
        </w:tc>
      </w:tr>
      <w:tr w14:paraId="0674BE47">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DB68CDC">
            <w:pPr>
              <w:spacing w:before="0" w:after="30" w:line="240" w:lineRule="auto"/>
            </w:pPr>
            <w:r>
              <w:rPr>
                <w:rFonts w:ascii="Arial" w:hAnsi="Arial" w:eastAsia="Arial"/>
                <w:b w:val="0"/>
                <w:i w:val="0"/>
                <w:color w:val="000000"/>
                <w:sz w:val="18"/>
              </w:rPr>
              <w:t>7.2. Сторона освобождается от ответственности за неисполнение вследствие форс-мажора при незамедлительном уведомлении и разумном подтверждении таких обстоятельств.</w:t>
            </w:r>
          </w:p>
        </w:tc>
        <w:tc>
          <w:tcPr>
            <w:tcW w:w="5089" w:type="dxa"/>
            <w:tcBorders>
              <w:top w:val="nil"/>
              <w:left w:val="nil"/>
              <w:bottom w:val="nil"/>
              <w:right w:val="nil"/>
            </w:tcBorders>
            <w:tcMar>
              <w:top w:w="75" w:type="dxa"/>
              <w:left w:w="100" w:type="dxa"/>
              <w:bottom w:w="75" w:type="dxa"/>
              <w:right w:w="100" w:type="dxa"/>
            </w:tcMar>
            <w:vAlign w:val="top"/>
          </w:tcPr>
          <w:p w14:paraId="6DD06E0F">
            <w:pPr>
              <w:spacing w:before="0" w:after="30" w:line="240" w:lineRule="auto"/>
            </w:pPr>
            <w:r>
              <w:rPr>
                <w:rFonts w:ascii="Arial" w:hAnsi="Arial" w:eastAsia="Arial"/>
                <w:b w:val="0"/>
                <w:i w:val="0"/>
                <w:color w:val="000000"/>
                <w:sz w:val="18"/>
              </w:rPr>
              <w:t>A Party is released from liability for non-performance due to force majeure if it promptly notifies the other Party and reasonably confirms the circumstances.</w:t>
            </w:r>
          </w:p>
        </w:tc>
      </w:tr>
      <w:tr w14:paraId="5BE28952">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2E10CE82">
            <w:pPr>
              <w:spacing w:before="0" w:after="30" w:line="240" w:lineRule="auto"/>
            </w:pPr>
            <w:r>
              <w:rPr>
                <w:rFonts w:ascii="Arial" w:hAnsi="Arial" w:eastAsia="Arial"/>
                <w:b w:val="0"/>
                <w:i w:val="0"/>
                <w:color w:val="000000"/>
                <w:sz w:val="18"/>
              </w:rPr>
              <w:t>7.3. К Договору применяется право Российской Федерации. Споры Стороны стремятся урегулировать переговорами в течение 15 календарных дней; затем спор разрешается компетентным государственным судом по правилам применимого права.</w:t>
            </w:r>
          </w:p>
        </w:tc>
        <w:tc>
          <w:tcPr>
            <w:tcW w:w="5089" w:type="dxa"/>
            <w:tcBorders>
              <w:top w:val="nil"/>
              <w:left w:val="nil"/>
              <w:bottom w:val="nil"/>
              <w:right w:val="nil"/>
            </w:tcBorders>
            <w:tcMar>
              <w:top w:w="75" w:type="dxa"/>
              <w:left w:w="100" w:type="dxa"/>
              <w:bottom w:w="75" w:type="dxa"/>
              <w:right w:w="100" w:type="dxa"/>
            </w:tcMar>
            <w:vAlign w:val="top"/>
          </w:tcPr>
          <w:p w14:paraId="0831D955">
            <w:pPr>
              <w:spacing w:before="0" w:after="30" w:line="240" w:lineRule="auto"/>
            </w:pPr>
            <w:r>
              <w:rPr>
                <w:rFonts w:ascii="Arial" w:hAnsi="Arial" w:eastAsia="Arial"/>
                <w:b w:val="0"/>
                <w:i w:val="0"/>
                <w:color w:val="000000"/>
                <w:sz w:val="18"/>
              </w:rPr>
              <w:t>This Agreement is governed by the law of the Russian Federation. The Parties seek to resolve disputes through negotiations within 15 calendar days; then a competent state court resolves the dispute under applicable-law rules.</w:t>
            </w:r>
          </w:p>
        </w:tc>
      </w:tr>
      <w:tr w14:paraId="7D94E992">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65BD80DB">
            <w:pPr>
              <w:spacing w:before="0" w:after="30" w:line="240" w:lineRule="auto"/>
            </w:pPr>
            <w:r>
              <w:rPr>
                <w:rFonts w:ascii="Arial" w:hAnsi="Arial" w:eastAsia="Arial"/>
                <w:b w:val="0"/>
                <w:i w:val="0"/>
                <w:color w:val="000000"/>
                <w:sz w:val="18"/>
              </w:rPr>
              <w:t>7.4. Договор составлен на русском и английском языках. При расхождении преимущественную силу имеет русский текст. Уведомления и согласования, включая Rental Payment Instructions, направляются по e-mail, указанному в реквизитах или инструкции, и считаются полученными в следующий рабочий день после отправки, если не доказано иное.</w:t>
            </w:r>
          </w:p>
        </w:tc>
        <w:tc>
          <w:tcPr>
            <w:tcW w:w="5089" w:type="dxa"/>
            <w:tcBorders>
              <w:top w:val="nil"/>
              <w:left w:val="nil"/>
              <w:bottom w:val="nil"/>
              <w:right w:val="nil"/>
            </w:tcBorders>
            <w:tcMar>
              <w:top w:w="75" w:type="dxa"/>
              <w:left w:w="100" w:type="dxa"/>
              <w:bottom w:w="75" w:type="dxa"/>
              <w:right w:w="100" w:type="dxa"/>
            </w:tcMar>
            <w:vAlign w:val="top"/>
          </w:tcPr>
          <w:p w14:paraId="45EC4C03">
            <w:pPr>
              <w:spacing w:before="0" w:after="30" w:line="240" w:lineRule="auto"/>
            </w:pPr>
            <w:r>
              <w:rPr>
                <w:rFonts w:ascii="Arial" w:hAnsi="Arial" w:eastAsia="Arial"/>
                <w:b w:val="0"/>
                <w:i w:val="0"/>
                <w:color w:val="000000"/>
                <w:sz w:val="18"/>
              </w:rPr>
              <w:t>7.4. This Agreement is executed in Russian and English. In case of discrepancy, the Russian text prevails. Notices and approvals, including Rental Payment Instructions, are sent by email specified in the details or instruction and are deemed received on the next business day after dispatch, unless proved otherwise.</w:t>
            </w:r>
          </w:p>
        </w:tc>
      </w:tr>
      <w:tr w14:paraId="4A26C0B6">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46F7AC87">
            <w:pPr>
              <w:spacing w:before="0" w:after="30" w:line="240" w:lineRule="auto"/>
            </w:pPr>
            <w:r>
              <w:rPr>
                <w:rFonts w:ascii="Arial" w:hAnsi="Arial" w:eastAsia="Arial"/>
                <w:b w:val="0"/>
                <w:i w:val="0"/>
                <w:color w:val="000000"/>
                <w:sz w:val="18"/>
              </w:rPr>
              <w:t>7.5. Приложения 1 и 2 являются неотъемлемой частью Договора. Изменения действительны только в письменной форме и при согласовании обеими Сторонами. Стороны вправе обрабатывать и передавать персональные и платёжные данные в объёме, необходимом для исполнения Договора, банковской проверки и требований применимого права.</w:t>
            </w:r>
          </w:p>
        </w:tc>
        <w:tc>
          <w:tcPr>
            <w:tcW w:w="5089" w:type="dxa"/>
            <w:tcBorders>
              <w:top w:val="nil"/>
              <w:left w:val="nil"/>
              <w:bottom w:val="nil"/>
              <w:right w:val="nil"/>
            </w:tcBorders>
            <w:tcMar>
              <w:top w:w="75" w:type="dxa"/>
              <w:left w:w="100" w:type="dxa"/>
              <w:bottom w:w="75" w:type="dxa"/>
              <w:right w:w="100" w:type="dxa"/>
            </w:tcMar>
            <w:vAlign w:val="top"/>
          </w:tcPr>
          <w:p w14:paraId="036F354B">
            <w:pPr>
              <w:spacing w:before="0" w:after="30" w:line="240" w:lineRule="auto"/>
            </w:pPr>
            <w:r>
              <w:rPr>
                <w:rFonts w:ascii="Arial" w:hAnsi="Arial" w:eastAsia="Arial"/>
                <w:b w:val="0"/>
                <w:i w:val="0"/>
                <w:color w:val="000000"/>
                <w:sz w:val="18"/>
              </w:rPr>
              <w:t>7.5. Appendices 1 and 2 form an integral part of this Agreement. Amendments are effective only in writing and when agreed by both Parties. The Parties may process and disclose personal and payment data to the extent necessary to perform this Agreement, conduct bank checks and comply with applicable law.</w:t>
            </w:r>
          </w:p>
        </w:tc>
      </w:tr>
      <w:tr w14:paraId="64981BAA">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AEC6997">
            <w:pPr>
              <w:spacing w:before="100" w:after="30" w:line="240" w:lineRule="auto"/>
            </w:pPr>
            <w:r>
              <w:rPr>
                <w:rFonts w:ascii="Arial" w:hAnsi="Arial" w:eastAsia="Arial"/>
                <w:b/>
                <w:i w:val="0"/>
                <w:color w:val="007FAE"/>
                <w:sz w:val="19"/>
              </w:rPr>
              <w:t>8. РЕКВИЗИТЫ И ПОДПИСИ</w:t>
            </w:r>
          </w:p>
        </w:tc>
        <w:tc>
          <w:tcPr>
            <w:tcW w:w="5089" w:type="dxa"/>
            <w:tcBorders>
              <w:top w:val="nil"/>
              <w:left w:val="nil"/>
              <w:bottom w:val="nil"/>
              <w:right w:val="nil"/>
            </w:tcBorders>
            <w:tcMar>
              <w:top w:w="75" w:type="dxa"/>
              <w:left w:w="100" w:type="dxa"/>
              <w:bottom w:w="75" w:type="dxa"/>
              <w:right w:w="100" w:type="dxa"/>
            </w:tcMar>
            <w:vAlign w:val="top"/>
          </w:tcPr>
          <w:p w14:paraId="060BC347">
            <w:pPr>
              <w:spacing w:before="100" w:after="30" w:line="240" w:lineRule="auto"/>
            </w:pPr>
            <w:r>
              <w:rPr>
                <w:rFonts w:ascii="Arial" w:hAnsi="Arial" w:eastAsia="Arial"/>
                <w:b/>
                <w:i w:val="0"/>
                <w:color w:val="007FAE"/>
                <w:sz w:val="19"/>
              </w:rPr>
              <w:t>8. DETAILS AND SIGNATURES</w:t>
            </w:r>
          </w:p>
        </w:tc>
      </w:tr>
      <w:tr w14:paraId="7CD1139F">
        <w:trPr>
          <w:cantSplit/>
          <w:jc w:val="center"/>
        </w:trPr>
        <w:tc>
          <w:tcPr>
            <w:tcW w:w="5109" w:type="dxa"/>
            <w:gridSpan w:val="2"/>
            <w:shd w:val="clear" w:color="auto" w:fill="EAF4F8"/>
            <w:tcMar>
              <w:top w:w="90" w:type="dxa"/>
              <w:left w:w="120" w:type="dxa"/>
              <w:bottom w:w="90" w:type="dxa"/>
              <w:right w:w="120" w:type="dxa"/>
            </w:tcMar>
            <w:vAlign w:val="top"/>
          </w:tcPr>
          <w:p w14:paraId="6E683BAA">
            <w:pPr>
              <w:widowControl/>
              <w:spacing w:before="0" w:after="30" w:line="240" w:lineRule="auto"/>
            </w:pPr>
            <w:r>
              <w:rPr>
                <w:rFonts w:ascii="Arial" w:hAnsi="Arial" w:eastAsia="Arial" w:cs="Arial"/>
                <w:b/>
                <w:i w:val="0"/>
                <w:color w:val="0E6D95"/>
                <w:sz w:val="20"/>
              </w:rPr>
              <w:t>АГЕНТ / AGENT</w:t>
            </w:r>
          </w:p>
        </w:tc>
        <w:tc>
          <w:tcPr>
            <w:tcW w:w="5089" w:type="dxa"/>
            <w:shd w:val="clear" w:color="auto" w:fill="EAF4F8"/>
            <w:tcMar>
              <w:top w:w="90" w:type="dxa"/>
              <w:left w:w="120" w:type="dxa"/>
              <w:bottom w:w="90" w:type="dxa"/>
              <w:right w:w="120" w:type="dxa"/>
            </w:tcMar>
            <w:vAlign w:val="top"/>
          </w:tcPr>
          <w:p w14:paraId="272A9B8E">
            <w:pPr>
              <w:widowControl/>
              <w:spacing w:before="0" w:after="30" w:line="240" w:lineRule="auto"/>
            </w:pPr>
            <w:r>
              <w:rPr>
                <w:rFonts w:ascii="Arial" w:hAnsi="Arial" w:eastAsia="Arial" w:cs="Arial"/>
                <w:b/>
                <w:i w:val="0"/>
                <w:color w:val="0E6D95"/>
                <w:sz w:val="20"/>
              </w:rPr>
              <w:t>КЛИЕНТ / CLIENT</w:t>
            </w:r>
          </w:p>
        </w:tc>
      </w:tr>
      <w:tr w14:paraId="3DEB676F">
        <w:trPr>
          <w:cantSplit/>
          <w:jc w:val="center"/>
        </w:trPr>
        <w:tc>
          <w:tcPr>
            <w:tcW w:w="5109" w:type="dxa"/>
            <w:gridSpan w:val="2"/>
            <w:tcMar>
              <w:top w:w="90" w:type="dxa"/>
              <w:left w:w="120" w:type="dxa"/>
              <w:bottom w:w="90" w:type="dxa"/>
              <w:right w:w="120" w:type="dxa"/>
            </w:tcMar>
            <w:vAlign w:val="top"/>
          </w:tcPr>
          <w:p w14:paraId="73D986CB">
            <w:pPr>
              <w:widowControl/>
              <w:spacing w:before="0" w:after="30" w:line="240" w:lineRule="auto"/>
            </w:pPr>
            <w:r>
              <w:rPr>
                <w:rFonts w:ascii="Arial" w:hAnsi="Arial" w:eastAsia="Arial" w:cs="Arial"/>
                <w:b w:val="0"/>
                <w:i w:val="0"/>
                <w:color w:val="1F1F1F"/>
                <w:sz w:val="20"/>
              </w:rPr>
              <w:t>MF Corporation Company Limited</w:t>
            </w:r>
            <w:r>
              <w:rPr>
                <w:rFonts w:ascii="Arial" w:hAnsi="Arial" w:eastAsia="Arial" w:cs="Arial"/>
                <w:b w:val="0"/>
                <w:i w:val="0"/>
                <w:color w:val="1F1F1F"/>
                <w:sz w:val="20"/>
              </w:rPr>
              <w:br w:type="textWrapping"/>
            </w:r>
            <w:r>
              <w:rPr>
                <w:rFonts w:ascii="Arial" w:hAnsi="Arial" w:eastAsia="Arial" w:cs="Arial"/>
                <w:b w:val="0"/>
                <w:i w:val="0"/>
                <w:color w:val="1F1F1F"/>
                <w:sz w:val="20"/>
              </w:rPr>
              <w:t>Registration / Tax No.: 0835565024547</w:t>
            </w:r>
            <w:r>
              <w:rPr>
                <w:rFonts w:ascii="Arial" w:hAnsi="Arial" w:eastAsia="Arial" w:cs="Arial"/>
                <w:b w:val="0"/>
                <w:i w:val="0"/>
                <w:color w:val="1F1F1F"/>
                <w:sz w:val="20"/>
              </w:rPr>
              <w:br w:type="textWrapping"/>
            </w:r>
            <w:r>
              <w:rPr>
                <w:rFonts w:ascii="Arial" w:hAnsi="Arial" w:eastAsia="Arial" w:cs="Arial"/>
                <w:b w:val="0"/>
                <w:i w:val="0"/>
                <w:color w:val="1F1F1F"/>
                <w:sz w:val="20"/>
              </w:rPr>
              <w:t>9/31, Mu 5, Choeng Thale Sub-district, Thalang District, Phuket Province 83110, Thailand</w:t>
            </w:r>
            <w:r>
              <w:rPr>
                <w:rFonts w:ascii="Arial" w:hAnsi="Arial" w:eastAsia="Arial" w:cs="Arial"/>
                <w:b w:val="0"/>
                <w:i w:val="0"/>
                <w:color w:val="1F1F1F"/>
                <w:sz w:val="20"/>
              </w:rPr>
              <w:br w:type="textWrapping"/>
            </w:r>
            <w:r>
              <w:rPr>
                <w:rFonts w:ascii="Arial" w:hAnsi="Arial" w:eastAsia="Arial" w:cs="Arial"/>
                <w:b w:val="0"/>
                <w:i w:val="0"/>
                <w:color w:val="1F1F1F"/>
                <w:sz w:val="20"/>
              </w:rPr>
              <w:t>Director: Miss Katika Sakornnoi</w:t>
            </w:r>
            <w:r>
              <w:rPr>
                <w:rFonts w:ascii="Arial" w:hAnsi="Arial" w:eastAsia="Arial" w:cs="Arial"/>
                <w:b w:val="0"/>
                <w:i w:val="0"/>
                <w:color w:val="1F1F1F"/>
                <w:sz w:val="20"/>
              </w:rPr>
              <w:br w:type="textWrapping"/>
            </w:r>
            <w:r>
              <w:rPr>
                <w:rFonts w:ascii="Arial" w:hAnsi="Arial" w:eastAsia="Arial" w:cs="Arial"/>
                <w:b w:val="0"/>
                <w:i w:val="0"/>
                <w:color w:val="1F1F1F"/>
                <w:sz w:val="20"/>
              </w:rPr>
              <w:br w:type="textWrapping"/>
            </w:r>
            <w:r>
              <w:rPr>
                <w:rFonts w:ascii="Arial" w:hAnsi="Arial" w:eastAsia="Arial" w:cs="Arial"/>
                <w:b w:val="0"/>
                <w:i w:val="0"/>
                <w:color w:val="1F1F1F"/>
                <w:sz w:val="20"/>
              </w:rPr>
              <w:t>Signature: _____________________</w:t>
            </w:r>
            <w:r>
              <w:rPr>
                <w:rFonts w:ascii="Arial" w:hAnsi="Arial" w:eastAsia="Arial" w:cs="Arial"/>
                <w:b w:val="0"/>
                <w:i w:val="0"/>
                <w:color w:val="1F1F1F"/>
                <w:sz w:val="20"/>
              </w:rPr>
              <w:br w:type="textWrapping"/>
            </w:r>
            <w:r>
              <w:rPr>
                <w:rFonts w:ascii="Arial" w:hAnsi="Arial" w:eastAsia="Arial" w:cs="Arial"/>
                <w:b w:val="0"/>
                <w:i w:val="0"/>
                <w:color w:val="1F1F1F"/>
                <w:sz w:val="20"/>
              </w:rPr>
              <w:t>Date: _________________________</w:t>
            </w:r>
          </w:p>
        </w:tc>
        <w:tc>
          <w:tcPr>
            <w:tcW w:w="5089" w:type="dxa"/>
            <w:tcMar>
              <w:top w:w="90" w:type="dxa"/>
              <w:left w:w="120" w:type="dxa"/>
              <w:bottom w:w="90" w:type="dxa"/>
              <w:right w:w="120" w:type="dxa"/>
            </w:tcMar>
            <w:vAlign w:val="top"/>
          </w:tcPr>
          <w:p w14:paraId="4903F1BF">
            <w:pPr>
              <w:widowControl/>
              <w:spacing w:before="0" w:after="30" w:line="240" w:lineRule="auto"/>
            </w:pPr>
            <w:r>
              <w:rPr>
                <w:rFonts w:ascii="Arial" w:hAnsi="Arial" w:eastAsia="Arial" w:cs="Arial"/>
                <w:b w:val="0"/>
                <w:i w:val="0"/>
                <w:color w:val="1F1F1F"/>
                <w:sz w:val="20"/>
              </w:rPr>
              <w:t>[Full name / legal name]</w:t>
            </w:r>
            <w:r>
              <w:rPr>
                <w:rFonts w:ascii="Arial" w:hAnsi="Arial" w:eastAsia="Arial" w:cs="Arial"/>
                <w:b w:val="0"/>
                <w:i w:val="0"/>
                <w:color w:val="1F1F1F"/>
                <w:sz w:val="20"/>
              </w:rPr>
              <w:br w:type="textWrapping"/>
            </w:r>
            <w:r>
              <w:rPr>
                <w:rFonts w:ascii="Arial" w:hAnsi="Arial" w:eastAsia="Arial" w:cs="Arial"/>
                <w:b w:val="0"/>
                <w:i w:val="0"/>
                <w:color w:val="1F1F1F"/>
                <w:sz w:val="20"/>
              </w:rPr>
              <w:t>[ID / Registration No.]</w:t>
            </w:r>
            <w:r>
              <w:rPr>
                <w:rFonts w:ascii="Arial" w:hAnsi="Arial" w:eastAsia="Arial" w:cs="Arial"/>
                <w:b w:val="0"/>
                <w:i w:val="0"/>
                <w:color w:val="1F1F1F"/>
                <w:sz w:val="20"/>
              </w:rPr>
              <w:br w:type="textWrapping"/>
            </w:r>
            <w:r>
              <w:rPr>
                <w:rFonts w:ascii="Arial" w:hAnsi="Arial" w:eastAsia="Arial" w:cs="Arial"/>
                <w:b w:val="0"/>
                <w:i w:val="0"/>
                <w:color w:val="1F1F1F"/>
                <w:sz w:val="20"/>
              </w:rPr>
              <w:t>[Address]</w:t>
            </w:r>
            <w:r>
              <w:rPr>
                <w:rFonts w:ascii="Arial" w:hAnsi="Arial" w:eastAsia="Arial" w:cs="Arial"/>
                <w:b w:val="0"/>
                <w:i w:val="0"/>
                <w:color w:val="1F1F1F"/>
                <w:sz w:val="20"/>
              </w:rPr>
              <w:br w:type="textWrapping"/>
            </w:r>
            <w:r>
              <w:rPr>
                <w:rFonts w:ascii="Arial" w:hAnsi="Arial" w:eastAsia="Arial" w:cs="Arial"/>
                <w:b w:val="0"/>
                <w:i w:val="0"/>
                <w:color w:val="1F1F1F"/>
                <w:sz w:val="20"/>
              </w:rPr>
              <w:t>[Email / phone]</w:t>
            </w:r>
            <w:r>
              <w:rPr>
                <w:rFonts w:ascii="Arial" w:hAnsi="Arial" w:eastAsia="Arial" w:cs="Arial"/>
                <w:b w:val="0"/>
                <w:i w:val="0"/>
                <w:color w:val="1F1F1F"/>
                <w:sz w:val="20"/>
              </w:rPr>
              <w:br w:type="textWrapping"/>
            </w:r>
            <w:r>
              <w:rPr>
                <w:rFonts w:ascii="Arial" w:hAnsi="Arial" w:eastAsia="Arial" w:cs="Arial"/>
                <w:b w:val="0"/>
                <w:i w:val="0"/>
                <w:color w:val="1F1F1F"/>
                <w:sz w:val="20"/>
              </w:rPr>
              <w:br w:type="textWrapping"/>
            </w:r>
            <w:r>
              <w:rPr>
                <w:rFonts w:ascii="Arial" w:hAnsi="Arial" w:eastAsia="Arial" w:cs="Arial"/>
                <w:b w:val="0"/>
                <w:i w:val="0"/>
                <w:color w:val="1F1F1F"/>
                <w:sz w:val="20"/>
              </w:rPr>
              <w:t>Signature: _____________________</w:t>
            </w:r>
            <w:r>
              <w:rPr>
                <w:rFonts w:ascii="Arial" w:hAnsi="Arial" w:eastAsia="Arial" w:cs="Arial"/>
                <w:b w:val="0"/>
                <w:i w:val="0"/>
                <w:color w:val="1F1F1F"/>
                <w:sz w:val="20"/>
              </w:rPr>
              <w:br w:type="textWrapping"/>
            </w:r>
            <w:r>
              <w:rPr>
                <w:rFonts w:ascii="Arial" w:hAnsi="Arial" w:eastAsia="Arial" w:cs="Arial"/>
                <w:b w:val="0"/>
                <w:i w:val="0"/>
                <w:color w:val="1F1F1F"/>
                <w:sz w:val="20"/>
              </w:rPr>
              <w:t>Date: _________________________</w:t>
            </w:r>
          </w:p>
        </w:tc>
      </w:tr>
    </w:tbl>
    <w:p w14:paraId="3013C5A8">
      <w:pPr>
        <w:pageBreakBefore/>
      </w:pPr>
    </w:p>
    <w:p w14:paraId="5D19579D">
      <w:pPr>
        <w:keepNext/>
        <w:spacing w:before="0" w:after="20" w:line="240" w:lineRule="auto"/>
        <w:jc w:val="center"/>
      </w:pPr>
      <w:r>
        <w:rPr>
          <w:rFonts w:ascii="Arial" w:hAnsi="Arial" w:eastAsia="Arial"/>
          <w:b/>
          <w:i w:val="0"/>
          <w:color w:val="007FAE"/>
          <w:sz w:val="22"/>
        </w:rPr>
        <w:t>ПРИЛОЖЕНИЕ 1 — RENTAL PAYMENT INSTRUCTION</w:t>
      </w:r>
    </w:p>
    <w:p w14:paraId="7F096D8D">
      <w:pPr>
        <w:keepNext/>
        <w:spacing w:before="0" w:after="100" w:line="240" w:lineRule="auto"/>
        <w:jc w:val="center"/>
      </w:pPr>
      <w:r>
        <w:rPr>
          <w:rFonts w:ascii="Arial" w:hAnsi="Arial" w:eastAsia="Arial"/>
          <w:b/>
          <w:i w:val="0"/>
          <w:color w:val="007FAE"/>
          <w:sz w:val="18"/>
        </w:rPr>
        <w:t>к Агентскому договору об организации оплаты аренды / to the Rental Payment Arrangement Agency Agreement</w:t>
      </w:r>
    </w:p>
    <w:tbl>
      <w:tblPr>
        <w:tblStyle w:val="9"/>
        <w:tblW w:w="10198" w:type="dxa"/>
        <w:jc w:val="center"/>
        <w:tblLayout w:type="fixed"/>
        <w:tblCellMar>
          <w:top w:w="0" w:type="dxa"/>
          <w:left w:w="10" w:type="dxa"/>
          <w:bottom w:w="0" w:type="dxa"/>
          <w:right w:w="10" w:type="dxa"/>
        </w:tblCellMar>
      </w:tblPr>
      <w:tblGrid>
        <w:gridCol w:w="20"/>
        <w:gridCol w:w="5089"/>
        <w:gridCol w:w="5089"/>
      </w:tblGrid>
      <w:tr w14:paraId="5FD22002">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65C75535">
            <w:pPr>
              <w:spacing w:before="100" w:after="30" w:line="240" w:lineRule="auto"/>
            </w:pPr>
            <w:r>
              <w:rPr>
                <w:rFonts w:ascii="Arial" w:hAnsi="Arial" w:eastAsia="Arial"/>
                <w:b/>
                <w:i w:val="0"/>
                <w:color w:val="007FAE"/>
                <w:sz w:val="19"/>
              </w:rPr>
              <w:t>Подтверждение</w:t>
            </w:r>
            <w:r>
              <w:br/>
              <w:br/>
              <w:t>Агент исполняет Instruction только в пределах общей суммы, фактически полученной от Клиента. Если суммы недостаточно для полного платежа получателю и согласованных расходов, Агент запрашивает новую Instruction или доплату и не обязан доплачивать за свой счёт.</w:t>
            </w:r>
          </w:p>
        </w:tc>
        <w:tc>
          <w:tcPr>
            <w:tcW w:w="5089" w:type="dxa"/>
            <w:tcBorders>
              <w:top w:val="nil"/>
              <w:left w:val="nil"/>
              <w:bottom w:val="nil"/>
              <w:right w:val="nil"/>
            </w:tcBorders>
            <w:tcMar>
              <w:top w:w="75" w:type="dxa"/>
              <w:left w:w="100" w:type="dxa"/>
              <w:bottom w:w="75" w:type="dxa"/>
              <w:right w:w="100" w:type="dxa"/>
            </w:tcMar>
            <w:vAlign w:val="top"/>
          </w:tcPr>
          <w:p>
            <w:r>
              <w:t>Confirmation</w:t>
              <w:br/>
              <w:br/>
              <w:t>The Agent shall execute the Instruction only within the total amount actually received from the Client. If the amount is insufficient for full payment to the recipient and agreed costs, the Agent shall request a new Instruction or additional payment and is not obliged to make up any shortfall from its own funds.</w:t>
            </w:r>
          </w:p>
        </w:tc>
      </w:tr>
      <w:tr w14:paraId="649A22B0">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C9556BA">
            <w:pPr>
              <w:spacing w:before="0" w:after="30" w:line="240" w:lineRule="auto"/>
            </w:pPr>
            <w:r>
              <w:rPr>
                <w:rFonts w:ascii="Arial" w:hAnsi="Arial" w:eastAsia="Arial"/>
                <w:b w:val="0"/>
                <w:i w:val="0"/>
                <w:color w:val="000000"/>
                <w:sz w:val="18"/>
              </w:rPr>
              <w:t>Клиент подтверждает точность реквизитов получателя, наличие и действительность документов по аренде и согласие на исполнение на указанных условиях.</w:t>
            </w:r>
          </w:p>
        </w:tc>
        <w:tc>
          <w:tcPr>
            <w:tcW w:w="5089" w:type="dxa"/>
            <w:tcBorders>
              <w:top w:val="nil"/>
              <w:left w:val="nil"/>
              <w:bottom w:val="nil"/>
              <w:right w:val="nil"/>
            </w:tcBorders>
            <w:tcMar>
              <w:top w:w="75" w:type="dxa"/>
              <w:left w:w="100" w:type="dxa"/>
              <w:bottom w:w="75" w:type="dxa"/>
              <w:right w:w="100" w:type="dxa"/>
            </w:tcMar>
            <w:vAlign w:val="top"/>
          </w:tcPr>
          <w:p w14:paraId="37D473CA">
            <w:pPr>
              <w:spacing w:before="0" w:after="30" w:line="240" w:lineRule="auto"/>
            </w:pPr>
            <w:r>
              <w:rPr>
                <w:rFonts w:ascii="Arial" w:hAnsi="Arial" w:eastAsia="Arial"/>
                <w:b w:val="0"/>
                <w:i w:val="0"/>
                <w:color w:val="000000"/>
                <w:sz w:val="18"/>
              </w:rPr>
              <w:t>The Client confirms the accuracy of recipient details, the existence and validity of rental documents, and consent to execution on the stated terms.</w:t>
            </w:r>
          </w:p>
        </w:tc>
      </w:tr>
      <w:tr w14:paraId="7A5A72C8">
        <w:trPr>
          <w:cantSplit/>
          <w:jc w:val="center"/>
        </w:trPr>
        <w:tc>
          <w:tcPr>
            <w:tcW w:w="5109" w:type="dxa"/>
            <w:gridSpan w:val="2"/>
            <w:shd w:val="clear" w:color="auto" w:fill="0E6D95"/>
            <w:tcMar>
              <w:top w:w="90" w:type="dxa"/>
              <w:left w:w="120" w:type="dxa"/>
              <w:bottom w:w="90" w:type="dxa"/>
              <w:right w:w="120" w:type="dxa"/>
            </w:tcMar>
            <w:vAlign w:val="top"/>
          </w:tcPr>
          <w:p w14:paraId="17F8EEFB">
            <w:pPr>
              <w:widowControl/>
              <w:spacing w:before="0" w:after="30" w:line="240" w:lineRule="auto"/>
            </w:pPr>
            <w:r>
              <w:rPr>
                <w:rFonts w:ascii="Arial" w:hAnsi="Arial" w:eastAsia="Arial" w:cs="Arial"/>
                <w:b/>
                <w:i w:val="0"/>
                <w:color w:val="FFFFFF"/>
                <w:sz w:val="20"/>
              </w:rPr>
              <w:t>ПОЛЕ / FIELD</w:t>
            </w:r>
          </w:p>
        </w:tc>
        <w:tc>
          <w:tcPr>
            <w:tcW w:w="5089" w:type="dxa"/>
            <w:shd w:val="clear" w:color="auto" w:fill="0E6D95"/>
            <w:tcMar>
              <w:top w:w="90" w:type="dxa"/>
              <w:left w:w="120" w:type="dxa"/>
              <w:bottom w:w="90" w:type="dxa"/>
              <w:right w:w="120" w:type="dxa"/>
            </w:tcMar>
            <w:vAlign w:val="top"/>
          </w:tcPr>
          <w:p w14:paraId="50C9F47E">
            <w:pPr>
              <w:widowControl/>
              <w:spacing w:before="0" w:after="30" w:line="240" w:lineRule="auto"/>
            </w:pPr>
            <w:r>
              <w:rPr>
                <w:rFonts w:ascii="Arial" w:hAnsi="Arial" w:eastAsia="Arial" w:cs="Arial"/>
                <w:b/>
                <w:i w:val="0"/>
                <w:color w:val="FFFFFF"/>
                <w:sz w:val="20"/>
              </w:rPr>
              <w:t>ДАННЫЕ / DETAILS</w:t>
            </w:r>
          </w:p>
        </w:tc>
      </w:tr>
      <w:tr w14:paraId="449C1791">
        <w:trPr>
          <w:cantSplit/>
          <w:jc w:val="center"/>
        </w:trPr>
        <w:tc>
          <w:tcPr>
            <w:tcW w:w="5109" w:type="dxa"/>
            <w:gridSpan w:val="2"/>
            <w:shd w:val="clear" w:color="auto" w:fill="EAF4F8"/>
            <w:tcMar>
              <w:top w:w="90" w:type="dxa"/>
              <w:left w:w="120" w:type="dxa"/>
              <w:bottom w:w="90" w:type="dxa"/>
              <w:right w:w="120" w:type="dxa"/>
            </w:tcMar>
            <w:vAlign w:val="top"/>
          </w:tcPr>
          <w:p w14:paraId="63C1464C">
            <w:pPr>
              <w:widowControl/>
              <w:spacing w:before="0" w:after="30" w:line="240" w:lineRule="auto"/>
            </w:pPr>
            <w:r>
              <w:rPr>
                <w:rFonts w:ascii="Arial" w:hAnsi="Arial" w:eastAsia="Arial" w:cs="Arial"/>
                <w:b/>
                <w:i w:val="0"/>
                <w:color w:val="1F1F1F"/>
                <w:sz w:val="20"/>
              </w:rPr>
              <w:t>Номер и дата / Number and date</w:t>
            </w:r>
          </w:p>
        </w:tc>
        <w:tc>
          <w:tcPr>
            <w:tcW w:w="5089" w:type="dxa"/>
            <w:tcMar>
              <w:top w:w="90" w:type="dxa"/>
              <w:left w:w="120" w:type="dxa"/>
              <w:bottom w:w="90" w:type="dxa"/>
              <w:right w:w="120" w:type="dxa"/>
            </w:tcMar>
            <w:vAlign w:val="top"/>
          </w:tcPr>
          <w:p w14:paraId="3AF6AEA5">
            <w:pPr>
              <w:widowControl/>
              <w:spacing w:before="0" w:after="30" w:line="240" w:lineRule="auto"/>
            </w:pPr>
            <w:r>
              <w:rPr>
                <w:rFonts w:ascii="Arial" w:hAnsi="Arial" w:eastAsia="Arial" w:cs="Arial"/>
                <w:b w:val="0"/>
                <w:i w:val="0"/>
                <w:color w:val="1F1F1F"/>
                <w:sz w:val="20"/>
              </w:rPr>
              <w:t>[●]</w:t>
            </w:r>
          </w:p>
        </w:tc>
      </w:tr>
      <w:tr w14:paraId="3110EA11">
        <w:trPr>
          <w:cantSplit/>
          <w:jc w:val="center"/>
        </w:trPr>
        <w:tc>
          <w:tcPr>
            <w:tcW w:w="5109" w:type="dxa"/>
            <w:gridSpan w:val="2"/>
            <w:shd w:val="clear" w:color="auto" w:fill="EAF4F8"/>
            <w:tcMar>
              <w:top w:w="90" w:type="dxa"/>
              <w:left w:w="120" w:type="dxa"/>
              <w:bottom w:w="90" w:type="dxa"/>
              <w:right w:w="120" w:type="dxa"/>
            </w:tcMar>
            <w:vAlign w:val="top"/>
          </w:tcPr>
          <w:p w14:paraId="12636E6F">
            <w:pPr>
              <w:widowControl/>
              <w:spacing w:before="0" w:after="30" w:line="240" w:lineRule="auto"/>
            </w:pPr>
            <w:r>
              <w:rPr>
                <w:rFonts w:ascii="Arial" w:hAnsi="Arial" w:eastAsia="Arial" w:cs="Arial"/>
                <w:b/>
                <w:i w:val="0"/>
                <w:color w:val="1F1F1F"/>
                <w:sz w:val="20"/>
              </w:rPr>
              <w:t>Клиент / Client</w:t>
            </w:r>
          </w:p>
        </w:tc>
        <w:tc>
          <w:tcPr>
            <w:tcW w:w="5089" w:type="dxa"/>
            <w:tcMar>
              <w:top w:w="90" w:type="dxa"/>
              <w:left w:w="120" w:type="dxa"/>
              <w:bottom w:w="90" w:type="dxa"/>
              <w:right w:w="120" w:type="dxa"/>
            </w:tcMar>
            <w:vAlign w:val="top"/>
          </w:tcPr>
          <w:p w14:paraId="0F8B36CD">
            <w:pPr>
              <w:widowControl/>
              <w:spacing w:before="0" w:after="30" w:line="240" w:lineRule="auto"/>
            </w:pPr>
            <w:r>
              <w:rPr>
                <w:rFonts w:ascii="Arial" w:hAnsi="Arial" w:eastAsia="Arial" w:cs="Arial"/>
                <w:b w:val="0"/>
                <w:i w:val="0"/>
                <w:color w:val="1F1F1F"/>
                <w:sz w:val="20"/>
              </w:rPr>
              <w:t>[●]</w:t>
            </w:r>
          </w:p>
        </w:tc>
      </w:tr>
      <w:tr w14:paraId="79F9E4A8">
        <w:trPr>
          <w:cantSplit/>
          <w:jc w:val="center"/>
        </w:trPr>
        <w:tc>
          <w:tcPr>
            <w:tcW w:w="5109" w:type="dxa"/>
            <w:gridSpan w:val="2"/>
            <w:shd w:val="clear" w:color="auto" w:fill="EAF4F8"/>
            <w:tcMar>
              <w:top w:w="90" w:type="dxa"/>
              <w:left w:w="120" w:type="dxa"/>
              <w:bottom w:w="90" w:type="dxa"/>
              <w:right w:w="120" w:type="dxa"/>
            </w:tcMar>
            <w:vAlign w:val="top"/>
          </w:tcPr>
          <w:p w14:paraId="08E50476">
            <w:pPr>
              <w:widowControl/>
              <w:spacing w:before="0" w:after="30" w:line="240" w:lineRule="auto"/>
            </w:pPr>
            <w:r>
              <w:rPr>
                <w:rFonts w:ascii="Arial" w:hAnsi="Arial" w:eastAsia="Arial" w:cs="Arial"/>
                <w:b/>
                <w:i w:val="0"/>
                <w:color w:val="1F1F1F"/>
                <w:sz w:val="20"/>
              </w:rPr>
              <w:t>Основание платежа / Payment basis</w:t>
            </w:r>
          </w:p>
        </w:tc>
        <w:tc>
          <w:tcPr>
            <w:tcW w:w="5089" w:type="dxa"/>
            <w:tcMar>
              <w:top w:w="90" w:type="dxa"/>
              <w:left w:w="120" w:type="dxa"/>
              <w:bottom w:w="90" w:type="dxa"/>
              <w:right w:w="120" w:type="dxa"/>
            </w:tcMar>
            <w:vAlign w:val="top"/>
          </w:tcPr>
          <w:p w14:paraId="577B0A72">
            <w:pPr>
              <w:widowControl/>
              <w:spacing w:before="0" w:after="30" w:line="240" w:lineRule="auto"/>
            </w:pPr>
            <w:r>
              <w:rPr>
                <w:rFonts w:ascii="Arial" w:hAnsi="Arial" w:eastAsia="Arial" w:cs="Arial"/>
                <w:b w:val="0"/>
                <w:i w:val="0"/>
                <w:color w:val="1F1F1F"/>
                <w:sz w:val="20"/>
              </w:rPr>
              <w:t>Договор аренды / Rental Agreement № [●] от [●]; инвойс / счет № [●] от [●]</w:t>
            </w:r>
          </w:p>
        </w:tc>
      </w:tr>
      <w:tr w14:paraId="5E7207DC">
        <w:trPr>
          <w:cantSplit/>
          <w:jc w:val="center"/>
        </w:trPr>
        <w:tc>
          <w:tcPr>
            <w:tcW w:w="5109" w:type="dxa"/>
            <w:gridSpan w:val="2"/>
            <w:shd w:val="clear" w:color="auto" w:fill="EAF4F8"/>
            <w:tcMar>
              <w:top w:w="90" w:type="dxa"/>
              <w:left w:w="120" w:type="dxa"/>
              <w:bottom w:w="90" w:type="dxa"/>
              <w:right w:w="120" w:type="dxa"/>
            </w:tcMar>
            <w:vAlign w:val="top"/>
          </w:tcPr>
          <w:p w14:paraId="58FA8E09">
            <w:pPr>
              <w:widowControl/>
              <w:spacing w:before="0" w:after="30" w:line="240" w:lineRule="auto"/>
            </w:pPr>
            <w:r>
              <w:rPr>
                <w:rFonts w:ascii="Arial" w:hAnsi="Arial" w:eastAsia="Arial" w:cs="Arial"/>
                <w:b/>
                <w:i w:val="0"/>
                <w:color w:val="1F1F1F"/>
                <w:sz w:val="20"/>
              </w:rPr>
              <w:t>Объект / Property</w:t>
            </w:r>
          </w:p>
        </w:tc>
        <w:tc>
          <w:tcPr>
            <w:tcW w:w="5089" w:type="dxa"/>
            <w:tcMar>
              <w:top w:w="90" w:type="dxa"/>
              <w:left w:w="120" w:type="dxa"/>
              <w:bottom w:w="90" w:type="dxa"/>
              <w:right w:w="120" w:type="dxa"/>
            </w:tcMar>
            <w:vAlign w:val="top"/>
          </w:tcPr>
          <w:p w14:paraId="6E88D08A">
            <w:pPr>
              <w:widowControl/>
              <w:spacing w:before="0" w:after="30" w:line="240" w:lineRule="auto"/>
            </w:pPr>
            <w:r>
              <w:rPr>
                <w:rFonts w:ascii="Arial" w:hAnsi="Arial" w:eastAsia="Arial" w:cs="Arial"/>
                <w:b w:val="0"/>
                <w:i w:val="0"/>
                <w:color w:val="1F1F1F"/>
                <w:sz w:val="20"/>
              </w:rPr>
              <w:t>Проект / адрес [●], юнит [●]; период аренды / rental period: [●]</w:t>
            </w:r>
          </w:p>
        </w:tc>
      </w:tr>
      <w:tr w14:paraId="63A0F0E7">
        <w:trPr>
          <w:cantSplit/>
          <w:jc w:val="center"/>
        </w:trPr>
        <w:tc>
          <w:tcPr>
            <w:tcW w:w="5109" w:type="dxa"/>
            <w:gridSpan w:val="2"/>
            <w:shd w:val="clear" w:color="auto" w:fill="EAF4F8"/>
            <w:tcMar>
              <w:top w:w="90" w:type="dxa"/>
              <w:left w:w="120" w:type="dxa"/>
              <w:bottom w:w="90" w:type="dxa"/>
              <w:right w:w="120" w:type="dxa"/>
            </w:tcMar>
            <w:vAlign w:val="top"/>
          </w:tcPr>
          <w:p w14:paraId="64C22567">
            <w:pPr>
              <w:widowControl/>
              <w:spacing w:before="0" w:after="30" w:line="240" w:lineRule="auto"/>
            </w:pPr>
            <w:r>
              <w:rPr>
                <w:rFonts w:ascii="Arial" w:hAnsi="Arial" w:eastAsia="Arial" w:cs="Arial"/>
                <w:b/>
                <w:i w:val="0"/>
                <w:color w:val="1F1F1F"/>
                <w:sz w:val="20"/>
              </w:rPr>
              <w:t>Вид платежа / Payment type</w:t>
            </w:r>
          </w:p>
        </w:tc>
        <w:tc>
          <w:tcPr>
            <w:tcW w:w="5089" w:type="dxa"/>
            <w:tcMar>
              <w:top w:w="90" w:type="dxa"/>
              <w:left w:w="120" w:type="dxa"/>
              <w:bottom w:w="90" w:type="dxa"/>
              <w:right w:w="120" w:type="dxa"/>
            </w:tcMar>
            <w:vAlign w:val="top"/>
          </w:tcPr>
          <w:p w14:paraId="585DF3B5">
            <w:pPr>
              <w:widowControl/>
              <w:spacing w:before="0" w:after="30" w:line="240" w:lineRule="auto"/>
            </w:pPr>
            <w:r>
              <w:rPr>
                <w:rFonts w:ascii="Arial" w:hAnsi="Arial" w:eastAsia="Arial" w:cs="Arial"/>
                <w:b w:val="0"/>
                <w:i w:val="0"/>
                <w:color w:val="1F1F1F"/>
                <w:sz w:val="20"/>
              </w:rPr>
              <w:t>[депозит / арендная плата / сервисный платеж / коммунальные услуги / иное]</w:t>
            </w:r>
          </w:p>
        </w:tc>
      </w:tr>
      <w:tr w14:paraId="4EA04167">
        <w:trPr>
          <w:cantSplit/>
          <w:jc w:val="center"/>
        </w:trPr>
        <w:tc>
          <w:tcPr>
            <w:tcW w:w="5109" w:type="dxa"/>
            <w:gridSpan w:val="2"/>
            <w:shd w:val="clear" w:color="auto" w:fill="EAF4F8"/>
            <w:tcMar>
              <w:top w:w="90" w:type="dxa"/>
              <w:left w:w="120" w:type="dxa"/>
              <w:bottom w:w="90" w:type="dxa"/>
              <w:right w:w="120" w:type="dxa"/>
            </w:tcMar>
            <w:vAlign w:val="top"/>
          </w:tcPr>
          <w:p w14:paraId="52AB8E4A">
            <w:pPr>
              <w:widowControl/>
              <w:spacing w:before="0" w:after="30" w:line="240" w:lineRule="auto"/>
            </w:pPr>
            <w:r>
              <w:rPr>
                <w:rFonts w:ascii="Arial" w:hAnsi="Arial" w:eastAsia="Arial" w:cs="Arial"/>
                <w:b/>
                <w:i w:val="0"/>
                <w:color w:val="1F1F1F"/>
                <w:sz w:val="20"/>
              </w:rPr>
              <w:t>Получатель / Recipient</w:t>
            </w:r>
          </w:p>
        </w:tc>
        <w:tc>
          <w:tcPr>
            <w:tcW w:w="5089" w:type="dxa"/>
            <w:tcMar>
              <w:top w:w="90" w:type="dxa"/>
              <w:left w:w="120" w:type="dxa"/>
              <w:bottom w:w="90" w:type="dxa"/>
              <w:right w:w="120" w:type="dxa"/>
            </w:tcMar>
            <w:vAlign w:val="top"/>
          </w:tcPr>
          <w:p w14:paraId="3164AFEE">
            <w:pPr>
              <w:widowControl/>
              <w:spacing w:before="0" w:after="30" w:line="240" w:lineRule="auto"/>
            </w:pPr>
            <w:r>
              <w:rPr>
                <w:rFonts w:ascii="Arial" w:hAnsi="Arial" w:eastAsia="Arial" w:cs="Arial"/>
                <w:b w:val="0"/>
                <w:i w:val="0"/>
                <w:color w:val="1F1F1F"/>
                <w:sz w:val="20"/>
              </w:rPr>
              <w:t>[полное юридическое наименование / full legal name]</w:t>
            </w:r>
          </w:p>
        </w:tc>
      </w:tr>
      <w:tr w14:paraId="4809262B">
        <w:trPr>
          <w:cantSplit/>
          <w:jc w:val="center"/>
        </w:trPr>
        <w:tc>
          <w:tcPr>
            <w:tcW w:w="5109" w:type="dxa"/>
            <w:gridSpan w:val="2"/>
            <w:shd w:val="clear" w:color="auto" w:fill="EAF4F8"/>
            <w:tcMar>
              <w:top w:w="90" w:type="dxa"/>
              <w:left w:w="120" w:type="dxa"/>
              <w:bottom w:w="90" w:type="dxa"/>
              <w:right w:w="120" w:type="dxa"/>
            </w:tcMar>
            <w:vAlign w:val="top"/>
          </w:tcPr>
          <w:p w14:paraId="613975B1">
            <w:pPr>
              <w:widowControl/>
              <w:spacing w:before="0" w:after="30" w:line="240" w:lineRule="auto"/>
            </w:pPr>
            <w:r>
              <w:rPr>
                <w:rFonts w:ascii="Arial" w:hAnsi="Arial" w:eastAsia="Arial" w:cs="Arial"/>
                <w:b/>
                <w:i w:val="0"/>
                <w:color w:val="1F1F1F"/>
                <w:sz w:val="20"/>
              </w:rPr>
              <w:t>Реквизиты получателя / Recipient bank details</w:t>
            </w:r>
          </w:p>
        </w:tc>
        <w:tc>
          <w:tcPr>
            <w:tcW w:w="5089" w:type="dxa"/>
            <w:tcMar>
              <w:top w:w="90" w:type="dxa"/>
              <w:left w:w="120" w:type="dxa"/>
              <w:bottom w:w="90" w:type="dxa"/>
              <w:right w:w="120" w:type="dxa"/>
            </w:tcMar>
            <w:vAlign w:val="top"/>
          </w:tcPr>
          <w:p w14:paraId="7B0E80B7">
            <w:pPr>
              <w:widowControl/>
              <w:spacing w:before="0" w:after="30" w:line="240" w:lineRule="auto"/>
            </w:pPr>
            <w:r>
              <w:rPr>
                <w:rFonts w:ascii="Arial" w:hAnsi="Arial" w:eastAsia="Arial" w:cs="Arial"/>
                <w:b w:val="0"/>
                <w:i w:val="0"/>
                <w:color w:val="1F1F1F"/>
                <w:sz w:val="20"/>
              </w:rPr>
              <w:t>[банк, счет, SWIFT, иные обязательные поля / bank, account, SWIFT and other required fields]</w:t>
            </w:r>
          </w:p>
        </w:tc>
      </w:tr>
      <w:tr w14:paraId="4E2E6311">
        <w:trPr>
          <w:cantSplit/>
          <w:jc w:val="center"/>
        </w:trPr>
        <w:tc>
          <w:tcPr>
            <w:tcW w:w="5109" w:type="dxa"/>
            <w:gridSpan w:val="2"/>
            <w:shd w:val="clear" w:color="auto" w:fill="EAF4F8"/>
            <w:tcMar>
              <w:top w:w="90" w:type="dxa"/>
              <w:left w:w="120" w:type="dxa"/>
              <w:bottom w:w="90" w:type="dxa"/>
              <w:right w:w="120" w:type="dxa"/>
            </w:tcMar>
            <w:vAlign w:val="top"/>
          </w:tcPr>
          <w:p w14:paraId="3718A204">
            <w:pPr>
              <w:widowControl/>
              <w:spacing w:before="0" w:after="30" w:line="240" w:lineRule="auto"/>
            </w:pPr>
            <w:r>
              <w:rPr>
                <w:rFonts w:ascii="Arial" w:hAnsi="Arial" w:eastAsia="Arial" w:cs="Arial"/>
                <w:b/>
                <w:i w:val="0"/>
                <w:color w:val="1F1F1F"/>
                <w:sz w:val="20"/>
              </w:rPr>
              <w:t>Сумма, поступающая Агенту / Amount received by Agent</w:t>
            </w:r>
          </w:p>
        </w:tc>
        <w:tc>
          <w:tcPr>
            <w:tcW w:w="5089" w:type="dxa"/>
            <w:tcMar>
              <w:top w:w="90" w:type="dxa"/>
              <w:left w:w="120" w:type="dxa"/>
              <w:bottom w:w="90" w:type="dxa"/>
              <w:right w:w="120" w:type="dxa"/>
            </w:tcMar>
            <w:vAlign w:val="top"/>
          </w:tcPr>
          <w:p w14:paraId="63FCCA51">
            <w:pPr>
              <w:widowControl/>
              <w:spacing w:before="0" w:after="30" w:line="240" w:lineRule="auto"/>
            </w:pPr>
            <w:r>
              <w:rPr>
                <w:rFonts w:ascii="Arial" w:hAnsi="Arial" w:eastAsia="Arial" w:cs="Arial"/>
                <w:b w:val="0"/>
                <w:i w:val="0"/>
                <w:color w:val="1F1F1F"/>
                <w:sz w:val="20"/>
              </w:rPr>
              <w:t>RUB [●]</w:t>
            </w:r>
          </w:p>
        </w:tc>
      </w:tr>
      <w:tr w14:paraId="0569FD7E">
        <w:trPr>
          <w:cantSplit/>
          <w:jc w:val="center"/>
        </w:trPr>
        <w:tc>
          <w:tcPr>
            <w:tcW w:w="5109" w:type="dxa"/>
            <w:gridSpan w:val="2"/>
            <w:shd w:val="clear" w:color="auto" w:fill="EAF4F8"/>
            <w:tcMar>
              <w:top w:w="90" w:type="dxa"/>
              <w:left w:w="120" w:type="dxa"/>
              <w:bottom w:w="90" w:type="dxa"/>
              <w:right w:w="120" w:type="dxa"/>
            </w:tcMar>
            <w:vAlign w:val="top"/>
          </w:tcPr>
          <w:p w14:paraId="3F1D7A6D">
            <w:pPr>
              <w:widowControl/>
              <w:spacing w:before="0" w:after="30" w:line="240" w:lineRule="auto"/>
            </w:pPr>
            <w:r>
              <w:rPr>
                <w:rFonts w:ascii="Arial" w:hAnsi="Arial" w:eastAsia="Arial" w:cs="Arial"/>
                <w:b/>
                <w:i w:val="0"/>
                <w:color w:val="1F1F1F"/>
                <w:sz w:val="20"/>
              </w:rPr>
              <w:t>Сумма и валюта перевода / Transfer amount and currency</w:t>
            </w:r>
          </w:p>
        </w:tc>
        <w:tc>
          <w:tcPr>
            <w:tcW w:w="5089" w:type="dxa"/>
            <w:tcMar>
              <w:top w:w="90" w:type="dxa"/>
              <w:left w:w="120" w:type="dxa"/>
              <w:bottom w:w="90" w:type="dxa"/>
              <w:right w:w="120" w:type="dxa"/>
            </w:tcMar>
            <w:vAlign w:val="top"/>
          </w:tcPr>
          <w:p w14:paraId="4774B07C">
            <w:pPr>
              <w:widowControl/>
              <w:spacing w:before="0" w:after="30" w:line="240" w:lineRule="auto"/>
            </w:pPr>
            <w:r>
              <w:rPr>
                <w:rFonts w:ascii="Arial" w:hAnsi="Arial" w:eastAsia="Arial" w:cs="Arial"/>
                <w:b w:val="0"/>
                <w:i w:val="0"/>
                <w:color w:val="1F1F1F"/>
                <w:sz w:val="20"/>
              </w:rPr>
              <w:t>THB [●]</w:t>
            </w:r>
          </w:p>
        </w:tc>
      </w:tr>
      <w:tr w14:paraId="699589AC">
        <w:trPr>
          <w:cantSplit/>
          <w:jc w:val="center"/>
        </w:trPr>
        <w:tc>
          <w:tcPr>
            <w:tcW w:w="5109" w:type="dxa"/>
            <w:gridSpan w:val="2"/>
            <w:shd w:val="clear" w:color="auto" w:fill="EAF4F8"/>
            <w:tcMar>
              <w:top w:w="90" w:type="dxa"/>
              <w:left w:w="120" w:type="dxa"/>
              <w:bottom w:w="90" w:type="dxa"/>
              <w:right w:w="120" w:type="dxa"/>
            </w:tcMar>
            <w:vAlign w:val="top"/>
          </w:tcPr>
          <w:p w14:paraId="728BCD77">
            <w:pPr>
              <w:widowControl/>
              <w:spacing w:before="0" w:after="30" w:line="240" w:lineRule="auto"/>
            </w:pPr>
            <w:r>
              <w:rPr>
                <w:rFonts w:ascii="Arial" w:hAnsi="Arial" w:eastAsia="Arial" w:cs="Arial"/>
                <w:b/>
                <w:i w:val="0"/>
                <w:color w:val="1F1F1F"/>
                <w:sz w:val="20"/>
              </w:rPr>
              <w:t>Курс и срок его действия / Exchange rate and validity</w:t>
            </w:r>
          </w:p>
        </w:tc>
        <w:tc>
          <w:tcPr>
            <w:tcW w:w="5089" w:type="dxa"/>
            <w:tcMar>
              <w:top w:w="90" w:type="dxa"/>
              <w:left w:w="120" w:type="dxa"/>
              <w:bottom w:w="90" w:type="dxa"/>
              <w:right w:w="120" w:type="dxa"/>
            </w:tcMar>
            <w:vAlign w:val="top"/>
          </w:tcPr>
          <w:p w14:paraId="563A10F0">
            <w:pPr>
              <w:widowControl/>
              <w:spacing w:before="0" w:after="30" w:line="240" w:lineRule="auto"/>
            </w:pPr>
            <w:r>
              <w:rPr>
                <w:rFonts w:ascii="Arial" w:hAnsi="Arial" w:eastAsia="Arial" w:cs="Arial"/>
                <w:b w:val="0"/>
                <w:i w:val="0"/>
                <w:color w:val="1F1F1F"/>
                <w:sz w:val="20"/>
              </w:rPr>
              <w:t>[●] / до [дата и время / date and time]</w:t>
            </w:r>
          </w:p>
        </w:tc>
      </w:tr>
      <w:tr w14:paraId="0B5B73F4">
        <w:trPr>
          <w:cantSplit/>
          <w:jc w:val="center"/>
        </w:trPr>
        <w:tc>
          <w:tcPr>
            <w:tcW w:w="5109" w:type="dxa"/>
            <w:gridSpan w:val="2"/>
            <w:shd w:val="clear" w:color="auto" w:fill="EAF4F8"/>
            <w:tcMar>
              <w:top w:w="90" w:type="dxa"/>
              <w:left w:w="120" w:type="dxa"/>
              <w:bottom w:w="90" w:type="dxa"/>
              <w:right w:w="120" w:type="dxa"/>
            </w:tcMar>
            <w:vAlign w:val="top"/>
          </w:tcPr>
          <w:p w14:paraId="009730E4">
            <w:pPr>
              <w:widowControl/>
              <w:spacing w:before="0" w:after="30" w:line="240" w:lineRule="auto"/>
            </w:pPr>
            <w:r>
              <w:rPr>
                <w:rFonts w:ascii="Arial" w:hAnsi="Arial" w:eastAsia="Arial" w:cs="Arial"/>
                <w:b/>
                <w:i w:val="0"/>
                <w:color w:val="1F1F1F"/>
                <w:sz w:val="20"/>
              </w:rPr>
              <w:t>Комиссия Агента / Agent’s fee</w:t>
            </w:r>
          </w:p>
        </w:tc>
        <w:tc>
          <w:tcPr>
            <w:tcW w:w="5089" w:type="dxa"/>
            <w:tcMar>
              <w:top w:w="90" w:type="dxa"/>
              <w:left w:w="120" w:type="dxa"/>
              <w:bottom w:w="90" w:type="dxa"/>
              <w:right w:w="120" w:type="dxa"/>
            </w:tcMar>
            <w:vAlign w:val="top"/>
          </w:tcPr>
          <w:p w14:paraId="7D1DF8D8">
            <w:pPr>
              <w:widowControl/>
              <w:spacing w:before="0" w:after="30" w:line="240" w:lineRule="auto"/>
            </w:pPr>
            <w:r>
              <w:rPr>
                <w:rFonts w:ascii="Arial" w:hAnsi="Arial" w:eastAsia="Arial" w:cs="Arial"/>
                <w:b w:val="0"/>
                <w:i w:val="0"/>
                <w:color w:val="1F1F1F"/>
                <w:sz w:val="20"/>
              </w:rPr>
              <w:t>[●]</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Fonts w:ascii="Arial" w:hAnsi="Arial" w:eastAsia="Arial" w:cs="Arial"/>
                <w:b/>
                <w:i w:val="0"/>
                <w:color w:val="1F1F1F"/>
                <w:sz w:val="20"/>
              </w:rPr>
              <w:t>Банковские расходы / Bank charges</w:t>
            </w:r>
          </w:p>
        </w:tc>
        <w:tc>
          <w:tcPr>
            <w:tcW w:w="5089" w:type="dxa"/>
            <w:tcMar>
              <w:top w:w="90" w:type="dxa"/>
              <w:left w:w="120" w:type="dxa"/>
              <w:bottom w:w="90" w:type="dxa"/>
              <w:right w:w="120" w:type="dxa"/>
            </w:tcMar>
            <w:vAlign w:val="top"/>
          </w:tcPr>
          <w:p w14:paraId="03C0D968">
            <w:pPr>
              <w:widowControl/>
              <w:spacing w:before="0" w:after="30" w:line="240" w:lineRule="auto"/>
            </w:pPr>
            <w:r>
              <w:rPr>
                <w:rFonts w:ascii="Arial" w:hAnsi="Arial" w:eastAsia="Arial" w:cs="Arial"/>
                <w:b w:val="0"/>
                <w:i w:val="0"/>
                <w:color w:val="1F1F1F"/>
                <w:sz w:val="20"/>
              </w:rPr>
              <w:t>[OUR / SHA / BEN; сумма или порядок / amount or allocation]</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Pr>
                  <w:rPr>
                    <w:rFonts w:ascii="Arial" w:hAnsi="Arial" w:eastAsia="Arial" w:cs="Arial"/>
                    <w:b/>
                    <w:i w:val="0"/>
                    <w:color w:val="1F1F1F"/>
                    <w:sz w:val="20"/>
                  </w:rPr>
                </w:rPr>
              </w:rPr>
              <w:t>Всего к оплате Клиентом</w:t>
              <w:br/>
              <w:t>Total payable by Client</w:t>
            </w:r>
          </w:p>
        </w:tc>
        <w:tc>
          <w:tcPr>
            <w:tcW w:w="5089" w:type="dxa"/>
            <w:tcMar>
              <w:top w:w="90" w:type="dxa"/>
              <w:left w:w="120" w:type="dxa"/>
              <w:bottom w:w="90" w:type="dxa"/>
              <w:right w:w="120" w:type="dxa"/>
            </w:tcMar>
            <w:vAlign w:val="top"/>
          </w:tcPr>
          <w:p w14:paraId="03C0D968">
            <w:pPr>
              <w:widowControl/>
              <w:spacing w:before="0" w:after="30" w:line="240" w:lineRule="auto"/>
            </w:pPr>
            <w:r>
              <w:rPr>
                <w:rPr>
                  <w:rFonts w:ascii="Arial" w:hAnsi="Arial" w:eastAsia="Arial" w:cs="Arial"/>
                  <w:b w:val="0"/>
                  <w:i w:val="0"/>
                  <w:color w:val="1F1F1F"/>
                  <w:sz w:val="20"/>
                </w:rPr>
              </w:rPr>
              <w:t>[валюта / currency] [сумма / amount]</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Pr>
                  <w:rPr>
                    <w:rPr>
                      <w:rPr>
                        <w:rFonts w:ascii="Arial" w:hAnsi="Arial" w:eastAsia="Arial" w:cs="Arial"/>
                        <w:b/>
                        <w:i w:val="0"/>
                        <w:color w:val="1F1F1F"/>
                        <w:sz w:val="20"/>
                      </w:rPr>
                    </w:rPr>
                  </w:rPr>
                </w:rPr>
              </w:rPr>
              <w:t>Сумма для перечисления получателю</w:t>
              <w:br/>
              <w:t>Amount to be remitted to recipient</w:t>
            </w:r>
          </w:p>
        </w:tc>
        <w:tc>
          <w:tcPr>
            <w:tcW w:w="5089" w:type="dxa"/>
            <w:tcMar>
              <w:top w:w="90" w:type="dxa"/>
              <w:left w:w="120" w:type="dxa"/>
              <w:bottom w:w="90" w:type="dxa"/>
              <w:right w:w="120" w:type="dxa"/>
            </w:tcMar>
            <w:vAlign w:val="top"/>
          </w:tcPr>
          <w:p w14:paraId="03C0D968">
            <w:pPr>
              <w:widowControl/>
              <w:spacing w:before="0" w:after="30" w:line="240" w:lineRule="auto"/>
            </w:pPr>
            <w:r>
              <w:rPr>
                <w:rPr>
                  <w:rPr>
                    <w:rFonts w:ascii="Arial" w:hAnsi="Arial" w:eastAsia="Arial" w:cs="Arial"/>
                    <w:b w:val="0"/>
                    <w:i w:val="0"/>
                    <w:color w:val="1F1F1F"/>
                    <w:sz w:val="20"/>
                  </w:rPr>
                </w:rPr>
              </w:rPr>
              <w:t>[THB / USD] [сумма / amount]</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Pr>
                  <w:rPr>
                    <w:rPr>
                      <w:rPr>
                        <w:rPr>
                          <w:rPr>
                            <w:rFonts w:ascii="Arial" w:hAnsi="Arial" w:eastAsia="Arial" w:cs="Arial"/>
                            <w:b/>
                            <w:i w:val="0"/>
                            <w:color w:val="1F1F1F"/>
                            <w:sz w:val="20"/>
                          </w:rPr>
                        </w:rPr>
                      </w:rPr>
                    </w:rPr>
                  </w:rPr>
                </w:rPr>
              </w:rPr>
              <w:t>Комиссия Агента</w:t>
              <w:br/>
              <w:t>Agent’s fee</w:t>
            </w:r>
          </w:p>
        </w:tc>
        <w:tc>
          <w:tcPr>
            <w:tcW w:w="5089" w:type="dxa"/>
            <w:tcMar>
              <w:top w:w="90" w:type="dxa"/>
              <w:left w:w="120" w:type="dxa"/>
              <w:bottom w:w="90" w:type="dxa"/>
              <w:right w:w="120" w:type="dxa"/>
            </w:tcMar>
            <w:vAlign w:val="top"/>
          </w:tcPr>
          <w:p w14:paraId="03C0D968">
            <w:pPr>
              <w:widowControl/>
              <w:spacing w:before="0" w:after="30" w:line="240" w:lineRule="auto"/>
            </w:pPr>
            <w:r>
              <w:rPr>
                <w:rPr>
                  <w:rPr>
                    <w:rPr>
                      <w:rFonts w:ascii="Arial" w:hAnsi="Arial" w:eastAsia="Arial" w:cs="Arial"/>
                      <w:b w:val="0"/>
                      <w:i w:val="0"/>
                      <w:color w:val="1F1F1F"/>
                      <w:sz w:val="20"/>
                    </w:rPr>
                  </w:rPr>
                </w:rPr>
              </w:rPr>
              <w:t>[сумма / amount]; [включена в итог / payable additionally]</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Pr>
                  <w:rPr>
                    <w:rPr>
                      <w:rPr>
                        <w:rPr>
                          <w:rPr>
                            <w:rPr>
                              <w:rPr>
                                <w:rFonts w:ascii="Arial" w:hAnsi="Arial" w:eastAsia="Arial" w:cs="Arial"/>
                                <w:b/>
                                <w:i w:val="0"/>
                                <w:color w:val="1F1F1F"/>
                                <w:sz w:val="20"/>
                              </w:rPr>
                            </w:rPr>
                          </w:rPr>
                        </w:rPr>
                      </w:rPr>
                    </w:rPr>
                  </w:rPr>
                </w:rPr>
              </w:rPr>
              <w:t>Комиссия платёжного партнёра и конвертация</w:t>
              <w:br/>
              <w:t>Payment partner and conversion fee</w:t>
            </w:r>
          </w:p>
        </w:tc>
        <w:tc>
          <w:tcPr>
            <w:tcW w:w="5089" w:type="dxa"/>
            <w:tcMar>
              <w:top w:w="90" w:type="dxa"/>
              <w:left w:w="120" w:type="dxa"/>
              <w:bottom w:w="90" w:type="dxa"/>
              <w:right w:w="120" w:type="dxa"/>
            </w:tcMar>
            <w:vAlign w:val="top"/>
          </w:tcPr>
          <w:p w14:paraId="03C0D968">
            <w:pPr>
              <w:widowControl/>
              <w:spacing w:before="0" w:after="30" w:line="240" w:lineRule="auto"/>
            </w:pPr>
            <w:r>
              <w:rPr>
                <w:rPr>
                  <w:rPr>
                    <w:rPr>
                      <w:rPr>
                        <w:rFonts w:ascii="Arial" w:hAnsi="Arial" w:eastAsia="Arial" w:cs="Arial"/>
                        <w:b w:val="0"/>
                        <w:i w:val="0"/>
                        <w:color w:val="1F1F1F"/>
                        <w:sz w:val="20"/>
                      </w:rPr>
                    </w:rPr>
                  </w:rPr>
                </w:rPr>
              </w:rPr>
              <w:t>[сумма / amount]; [включена в итог / payable additionally]</w:t>
            </w:r>
          </w:p>
        </w:tc>
      </w:tr>
      <w:tr w14:paraId="41C31AA7">
        <w:trPr>
          <w:cantSplit/>
          <w:jc w:val="center"/>
        </w:trPr>
        <w:tc>
          <w:tcPr>
            <w:tcW w:w="5109" w:type="dxa"/>
            <w:gridSpan w:val="2"/>
            <w:shd w:val="clear" w:color="auto" w:fill="EAF4F8"/>
            <w:tcMar>
              <w:top w:w="90" w:type="dxa"/>
              <w:left w:w="120" w:type="dxa"/>
              <w:bottom w:w="90" w:type="dxa"/>
              <w:right w:w="120" w:type="dxa"/>
            </w:tcMar>
            <w:vAlign w:val="top"/>
          </w:tcPr>
          <w:p w14:paraId="636B77FE">
            <w:pPr>
              <w:widowControl/>
              <w:spacing w:before="0" w:after="30" w:line="240" w:lineRule="auto"/>
            </w:pPr>
            <w:r>
              <w:rPr>
                <w:rPr>
                  <w:rPr>
                    <w:rPr>
                      <w:rPr>
                        <w:rPr>
                          <w:rPr>
                            <w:rPr>
                              <w:rPr>
                                <w:rPr>
                                  <w:rPr>
                                    <w:rFonts w:ascii="Arial" w:hAnsi="Arial" w:eastAsia="Arial" w:cs="Arial"/>
                                    <w:b/>
                                    <w:i w:val="0"/>
                                    <w:color w:val="1F1F1F"/>
                                    <w:sz w:val="20"/>
                                  </w:rPr>
                                </w:rPr>
                              </w:rPr>
                            </w:rPr>
                          </w:rPr>
                        </w:rPr>
                      </w:rPr>
                    </w:rPr>
                  </w:rPr>
                </w:rPr>
              </w:rPr>
              <w:t>Остаток после исполнения</w:t>
              <w:br/>
              <w:t>Remaining balance after execution</w:t>
            </w:r>
          </w:p>
        </w:tc>
        <w:tc>
          <w:tcPr>
            <w:tcW w:w="5089" w:type="dxa"/>
            <w:tcMar>
              <w:top w:w="90" w:type="dxa"/>
              <w:left w:w="120" w:type="dxa"/>
              <w:bottom w:w="90" w:type="dxa"/>
              <w:right w:w="120" w:type="dxa"/>
            </w:tcMar>
            <w:vAlign w:val="top"/>
          </w:tcPr>
          <w:p w14:paraId="03C0D968">
            <w:pPr>
              <w:widowControl/>
              <w:spacing w:before="0" w:after="30" w:line="240" w:lineRule="auto"/>
            </w:pPr>
            <w:r>
              <w:rPr>
                <w:rPr>
                  <w:rPr>
                    <w:rPr>
                      <w:rPr>
                        <w:rPr>
                          <w:rFonts w:ascii="Arial" w:hAnsi="Arial" w:eastAsia="Arial" w:cs="Arial"/>
                          <w:b w:val="0"/>
                          <w:i w:val="0"/>
                          <w:color w:val="1F1F1F"/>
                          <w:sz w:val="20"/>
                        </w:rPr>
                      </w:rPr>
                    </w:rPr>
                  </w:rPr>
                </w:rPr>
              </w:rPr>
              <w:t>[валюта / currency] [сумма / amount] / отсутствует / none</w:t>
            </w:r>
          </w:p>
        </w:tc>
      </w:tr>
      <w:tr w14:paraId="7F1EDDCF">
        <w:trPr>
          <w:cantSplit/>
          <w:jc w:val="center"/>
        </w:trPr>
        <w:tc>
          <w:tcPr>
            <w:tcW w:w="5109" w:type="dxa"/>
            <w:gridSpan w:val="2"/>
            <w:shd w:val="clear" w:color="auto" w:fill="EAF4F8"/>
            <w:tcMar>
              <w:top w:w="90" w:type="dxa"/>
              <w:left w:w="120" w:type="dxa"/>
              <w:bottom w:w="90" w:type="dxa"/>
              <w:right w:w="120" w:type="dxa"/>
            </w:tcMar>
            <w:vAlign w:val="top"/>
          </w:tcPr>
          <w:p w14:paraId="41328C39">
            <w:pPr>
              <w:widowControl/>
              <w:spacing w:before="0" w:after="30" w:line="240" w:lineRule="auto"/>
            </w:pPr>
            <w:r>
              <w:rPr>
                <w:rFonts w:ascii="Arial" w:hAnsi="Arial" w:eastAsia="Arial" w:cs="Arial"/>
                <w:b/>
                <w:i w:val="0"/>
                <w:color w:val="1F1F1F"/>
                <w:sz w:val="20"/>
              </w:rPr>
              <w:t>Срок исполнения / Execution period</w:t>
            </w:r>
          </w:p>
        </w:tc>
        <w:tc>
          <w:tcPr>
            <w:tcW w:w="5089" w:type="dxa"/>
            <w:tcMar>
              <w:top w:w="90" w:type="dxa"/>
              <w:left w:w="120" w:type="dxa"/>
              <w:bottom w:w="90" w:type="dxa"/>
              <w:right w:w="120" w:type="dxa"/>
            </w:tcMar>
            <w:vAlign w:val="top"/>
          </w:tcPr>
          <w:p w14:paraId="162E2040">
            <w:pPr>
              <w:widowControl/>
              <w:spacing w:before="0" w:after="30" w:line="240" w:lineRule="auto"/>
            </w:pPr>
            <w:r>
              <w:rPr>
                <w:rFonts w:ascii="Arial" w:hAnsi="Arial" w:eastAsia="Arial" w:cs="Arial"/>
                <w:b w:val="0"/>
                <w:i w:val="0"/>
                <w:color w:val="1F1F1F"/>
                <w:sz w:val="20"/>
              </w:rPr>
              <w:t>[●] рабочих дней после выполнения п. 2.2 Договора</w:t>
            </w:r>
          </w:p>
        </w:tc>
      </w:tr>
      <w:tr w14:paraId="05AB45A6">
        <w:trPr>
          <w:jc w:val="center"/>
        </w:trPr>
        <w:tc>
          <w:tcPr>
            <w:tcW w:w="5109" w:type="dxa"/>
            <w:gridSpan w:val="2"/>
          </w:tcPr>
          <w:p w14:paraId="539291FE">
            <w:r>
              <w:t>Контакт для подтверждения / Confirmation contact</w:t>
            </w:r>
          </w:p>
        </w:tc>
        <w:tc>
          <w:tcPr>
            <w:tcW w:w="5089" w:type="dxa"/>
          </w:tcPr>
          <w:p w14:paraId="1F55F438">
            <w:r>
              <w:t>[email / telephone / agreed messenger]</w:t>
            </w:r>
          </w:p>
        </w:tc>
      </w:tr>
      <w:tr w14:paraId="7C4FB50E">
        <w:trPr>
          <w:cantSplit/>
          <w:jc w:val="center"/>
        </w:trPr>
        <w:tc>
          <w:tcPr>
            <w:tcW w:w="5109" w:type="dxa"/>
            <w:gridSpan w:val="2"/>
            <w:shd w:val="clear" w:color="auto" w:fill="EAF4F8"/>
            <w:tcMar>
              <w:top w:w="90" w:type="dxa"/>
              <w:left w:w="120" w:type="dxa"/>
              <w:bottom w:w="90" w:type="dxa"/>
              <w:right w:w="120" w:type="dxa"/>
            </w:tcMar>
            <w:vAlign w:val="top"/>
          </w:tcPr>
          <w:p w14:paraId="0C24B539">
            <w:pPr>
              <w:widowControl/>
              <w:spacing w:before="0" w:after="30" w:line="240" w:lineRule="auto"/>
            </w:pPr>
            <w:r>
              <w:rPr>
                <w:rFonts w:ascii="Arial" w:hAnsi="Arial" w:eastAsia="Arial" w:cs="Arial"/>
                <w:b/>
                <w:i w:val="0"/>
                <w:color w:val="0E6D95"/>
                <w:sz w:val="20"/>
              </w:rPr>
              <w:t>АГЕНТ / AGENT</w:t>
            </w:r>
          </w:p>
        </w:tc>
        <w:tc>
          <w:tcPr>
            <w:tcW w:w="5089" w:type="dxa"/>
            <w:shd w:val="clear" w:color="auto" w:fill="EAF4F8"/>
            <w:tcMar>
              <w:top w:w="90" w:type="dxa"/>
              <w:left w:w="120" w:type="dxa"/>
              <w:bottom w:w="90" w:type="dxa"/>
              <w:right w:w="120" w:type="dxa"/>
            </w:tcMar>
            <w:vAlign w:val="top"/>
          </w:tcPr>
          <w:p w14:paraId="386AD56A">
            <w:pPr>
              <w:widowControl/>
              <w:spacing w:before="0" w:after="30" w:line="240" w:lineRule="auto"/>
            </w:pPr>
            <w:r>
              <w:rPr>
                <w:rFonts w:ascii="Arial" w:hAnsi="Arial" w:eastAsia="Arial" w:cs="Arial"/>
                <w:b/>
                <w:i w:val="0"/>
                <w:color w:val="0E6D95"/>
                <w:sz w:val="20"/>
              </w:rPr>
              <w:t>КЛИЕНТ / CLIENT</w:t>
            </w:r>
          </w:p>
        </w:tc>
      </w:tr>
      <w:tr w14:paraId="429F5968">
        <w:trPr>
          <w:cantSplit/>
          <w:jc w:val="center"/>
        </w:trPr>
        <w:tc>
          <w:tcPr>
            <w:tcW w:w="5109" w:type="dxa"/>
            <w:gridSpan w:val="2"/>
            <w:tcMar>
              <w:top w:w="90" w:type="dxa"/>
              <w:left w:w="120" w:type="dxa"/>
              <w:bottom w:w="90" w:type="dxa"/>
              <w:right w:w="120" w:type="dxa"/>
            </w:tcMar>
            <w:vAlign w:val="top"/>
          </w:tcPr>
          <w:p w14:paraId="2DDAE234">
            <w:pPr>
              <w:widowControl/>
              <w:spacing w:before="0" w:after="30" w:line="240" w:lineRule="auto"/>
            </w:pPr>
            <w:r>
              <w:rPr>
                <w:rFonts w:ascii="Arial" w:hAnsi="Arial" w:eastAsia="Arial" w:cs="Arial"/>
                <w:b w:val="0"/>
                <w:i w:val="0"/>
                <w:color w:val="1F1F1F"/>
                <w:sz w:val="20"/>
              </w:rPr>
              <w:t>MF Corporation Company Limited</w:t>
            </w:r>
            <w:r>
              <w:rPr>
                <w:rFonts w:ascii="Arial" w:hAnsi="Arial" w:eastAsia="Arial" w:cs="Arial"/>
                <w:b w:val="0"/>
                <w:i w:val="0"/>
                <w:color w:val="1F1F1F"/>
                <w:sz w:val="20"/>
              </w:rPr>
              <w:br w:type="textWrapping"/>
            </w:r>
            <w:r>
              <w:rPr>
                <w:rFonts w:ascii="Arial" w:hAnsi="Arial" w:eastAsia="Arial" w:cs="Arial"/>
                <w:b w:val="0"/>
                <w:i w:val="0"/>
                <w:color w:val="1F1F1F"/>
                <w:sz w:val="20"/>
              </w:rPr>
              <w:t>Director Miss Katika Sakornnoi</w:t>
            </w:r>
            <w:r>
              <w:rPr>
                <w:rFonts w:ascii="Arial" w:hAnsi="Arial" w:eastAsia="Arial" w:cs="Arial"/>
                <w:b w:val="0"/>
                <w:i w:val="0"/>
                <w:color w:val="1F1F1F"/>
                <w:sz w:val="20"/>
              </w:rPr>
              <w:br w:type="textWrapping"/>
            </w:r>
            <w:r>
              <w:rPr>
                <w:rFonts w:ascii="Arial" w:hAnsi="Arial" w:eastAsia="Arial" w:cs="Arial"/>
                <w:b w:val="0"/>
                <w:i w:val="0"/>
                <w:color w:val="1F1F1F"/>
                <w:sz w:val="20"/>
              </w:rPr>
              <w:br w:type="textWrapping"/>
            </w:r>
            <w:r>
              <w:rPr>
                <w:rFonts w:ascii="Arial" w:hAnsi="Arial" w:eastAsia="Arial" w:cs="Arial"/>
                <w:b w:val="0"/>
                <w:i w:val="0"/>
                <w:color w:val="1F1F1F"/>
                <w:sz w:val="20"/>
              </w:rPr>
              <w:t>Signature: _____________________</w:t>
            </w:r>
            <w:r>
              <w:rPr>
                <w:rFonts w:ascii="Arial" w:hAnsi="Arial" w:eastAsia="Arial" w:cs="Arial"/>
                <w:b w:val="0"/>
                <w:i w:val="0"/>
                <w:color w:val="1F1F1F"/>
                <w:sz w:val="20"/>
              </w:rPr>
              <w:br w:type="textWrapping"/>
            </w:r>
            <w:r>
              <w:rPr>
                <w:rFonts w:ascii="Arial" w:hAnsi="Arial" w:eastAsia="Arial" w:cs="Arial"/>
                <w:b w:val="0"/>
                <w:i w:val="0"/>
                <w:color w:val="1F1F1F"/>
                <w:sz w:val="20"/>
              </w:rPr>
              <w:t>Date: _________________________</w:t>
            </w:r>
          </w:p>
        </w:tc>
        <w:tc>
          <w:tcPr>
            <w:tcW w:w="5089" w:type="dxa"/>
            <w:tcMar>
              <w:top w:w="90" w:type="dxa"/>
              <w:left w:w="120" w:type="dxa"/>
              <w:bottom w:w="90" w:type="dxa"/>
              <w:right w:w="120" w:type="dxa"/>
            </w:tcMar>
            <w:vAlign w:val="top"/>
          </w:tcPr>
          <w:p w14:paraId="4C58F308">
            <w:pPr>
              <w:widowControl/>
              <w:spacing w:before="0" w:after="30" w:line="240" w:lineRule="auto"/>
            </w:pPr>
            <w:r>
              <w:rPr>
                <w:rFonts w:ascii="Arial" w:hAnsi="Arial" w:eastAsia="Arial" w:cs="Arial"/>
                <w:b w:val="0"/>
                <w:i w:val="0"/>
                <w:color w:val="1F1F1F"/>
                <w:sz w:val="20"/>
              </w:rPr>
              <w:t>[Full name / legal name]</w:t>
            </w:r>
            <w:r>
              <w:rPr>
                <w:rFonts w:ascii="Arial" w:hAnsi="Arial" w:eastAsia="Arial" w:cs="Arial"/>
                <w:b w:val="0"/>
                <w:i w:val="0"/>
                <w:color w:val="1F1F1F"/>
                <w:sz w:val="20"/>
              </w:rPr>
              <w:br w:type="textWrapping"/>
            </w:r>
            <w:r>
              <w:rPr>
                <w:rFonts w:ascii="Arial" w:hAnsi="Arial" w:eastAsia="Arial" w:cs="Arial"/>
                <w:b w:val="0"/>
                <w:i w:val="0"/>
                <w:color w:val="1F1F1F"/>
                <w:sz w:val="20"/>
              </w:rPr>
              <w:t>[Authorised signatory, if applicable]</w:t>
            </w:r>
            <w:r>
              <w:rPr>
                <w:rFonts w:ascii="Arial" w:hAnsi="Arial" w:eastAsia="Arial" w:cs="Arial"/>
                <w:b w:val="0"/>
                <w:i w:val="0"/>
                <w:color w:val="1F1F1F"/>
                <w:sz w:val="20"/>
              </w:rPr>
              <w:br w:type="textWrapping"/>
            </w:r>
            <w:r>
              <w:rPr>
                <w:rFonts w:ascii="Arial" w:hAnsi="Arial" w:eastAsia="Arial" w:cs="Arial"/>
                <w:b w:val="0"/>
                <w:i w:val="0"/>
                <w:color w:val="1F1F1F"/>
                <w:sz w:val="20"/>
              </w:rPr>
              <w:br w:type="textWrapping"/>
            </w:r>
            <w:r>
              <w:rPr>
                <w:rFonts w:ascii="Arial" w:hAnsi="Arial" w:eastAsia="Arial" w:cs="Arial"/>
                <w:b w:val="0"/>
                <w:i w:val="0"/>
                <w:color w:val="1F1F1F"/>
                <w:sz w:val="20"/>
              </w:rPr>
              <w:t>Signature: _____________________</w:t>
            </w:r>
            <w:r>
              <w:rPr>
                <w:rFonts w:ascii="Arial" w:hAnsi="Arial" w:eastAsia="Arial" w:cs="Arial"/>
                <w:b w:val="0"/>
                <w:i w:val="0"/>
                <w:color w:val="1F1F1F"/>
                <w:sz w:val="20"/>
              </w:rPr>
              <w:br w:type="textWrapping"/>
            </w:r>
            <w:r>
              <w:rPr>
                <w:rFonts w:ascii="Arial" w:hAnsi="Arial" w:eastAsia="Arial" w:cs="Arial"/>
                <w:b w:val="0"/>
                <w:i w:val="0"/>
                <w:color w:val="1F1F1F"/>
                <w:sz w:val="20"/>
              </w:rPr>
              <w:t>Date: _________________________</w:t>
            </w:r>
          </w:p>
        </w:tc>
      </w:tr>
    </w:tbl>
    <w:p w14:paraId="610DAB75">
      <w:pPr>
        <w:pageBreakBefore/>
      </w:pPr>
    </w:p>
    <w:p w14:paraId="62E8BAD0">
      <w:pPr>
        <w:keepNext/>
        <w:spacing w:before="0" w:after="20" w:line="240" w:lineRule="auto"/>
        <w:jc w:val="center"/>
      </w:pPr>
      <w:r>
        <w:rPr>
          <w:rFonts w:ascii="Arial" w:hAnsi="Arial" w:eastAsia="Arial"/>
          <w:b/>
          <w:i w:val="0"/>
          <w:color w:val="007FAE"/>
          <w:sz w:val="22"/>
        </w:rPr>
        <w:t>ПРИЛОЖЕНИЕ 2 — PAYMENT DETAILS / PAYMENT ROUTE</w:t>
      </w:r>
    </w:p>
    <w:p w14:paraId="5E5D1423">
      <w:pPr>
        <w:keepNext/>
        <w:spacing w:before="0" w:after="100" w:line="240" w:lineRule="auto"/>
        <w:jc w:val="center"/>
      </w:pPr>
      <w:r>
        <w:rPr>
          <w:rFonts w:ascii="Arial" w:hAnsi="Arial" w:eastAsia="Arial"/>
          <w:b/>
          <w:i w:val="0"/>
          <w:color w:val="007FAE"/>
          <w:sz w:val="18"/>
        </w:rPr>
        <w:t>PAYMENT DETAILS / PAYMENT ROUTE FOR A SPECIFIC TRANSACTION</w:t>
      </w:r>
    </w:p>
    <w:tbl>
      <w:tblPr>
        <w:tblStyle w:val="9"/>
        <w:tblW w:w="10198" w:type="dxa"/>
        <w:jc w:val="center"/>
        <w:tblLayout w:type="fixed"/>
        <w:tblCellMar>
          <w:top w:w="0" w:type="dxa"/>
          <w:left w:w="10" w:type="dxa"/>
          <w:bottom w:w="0" w:type="dxa"/>
          <w:right w:w="10" w:type="dxa"/>
        </w:tblCellMar>
      </w:tblPr>
      <w:tblGrid>
        <w:gridCol w:w="20"/>
        <w:gridCol w:w="5089"/>
        <w:gridCol w:w="5089"/>
      </w:tblGrid>
      <w:tr w14:paraId="333E68B6">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374A67ED">
            <w:pPr>
              <w:spacing w:before="0" w:after="30" w:line="240" w:lineRule="auto"/>
            </w:pPr>
            <w:r>
              <w:rPr>
                <w:rPr>
                  <w:rFonts w:ascii="Arial" w:hAnsi="Arial" w:eastAsia="Arial"/>
                  <w:b w:val="0"/>
                  <w:i w:val="0"/>
                  <w:color w:val="000000"/>
                  <w:sz w:val="18"/>
                </w:rPr>
              </w:rPr>
              <w:t>Настоящее Приложение заполняется или прикладывается к конкретным Invoice и Payment Instruction. Клиент совершает оплату только по реквизитам, указанным в конкретном Invoice или Payment Instruction с номером, датой и сроком действия реквизитов. Изменение реквизитов применяется только к той операции, для которой оно прямо оформлено, и не изменяет ранее принятые Payment Instructions.</w:t>
            </w:r>
          </w:p>
        </w:tc>
        <w:tc>
          <w:tcPr>
            <w:tcW w:w="5089" w:type="dxa"/>
            <w:tcBorders>
              <w:top w:val="nil"/>
              <w:left w:val="nil"/>
              <w:bottom w:val="nil"/>
              <w:right w:val="nil"/>
            </w:tcBorders>
            <w:tcMar>
              <w:top w:w="75" w:type="dxa"/>
              <w:left w:w="100" w:type="dxa"/>
              <w:bottom w:w="75" w:type="dxa"/>
              <w:right w:w="100" w:type="dxa"/>
            </w:tcMar>
            <w:vAlign w:val="top"/>
          </w:tcPr>
          <w:p w14:paraId="578478E9">
            <w:pPr>
              <w:spacing w:before="0" w:after="30" w:line="240" w:lineRule="auto"/>
            </w:pPr>
            <w:r>
              <w:rPr>
                <w:rPr>
                  <w:rFonts w:ascii="Arial" w:hAnsi="Arial" w:eastAsia="Arial"/>
                  <w:b w:val="0"/>
                  <w:i w:val="0"/>
                  <w:color w:val="000000"/>
                  <w:sz w:val="18"/>
                </w:rPr>
              </w:rPr>
              <w:t>This Appendix is completed or attached for a specific Invoice and Payment Instruction. The Client shall make payment only using the payment details stated in the relevant Invoice or Payment Instruction bearing its number, date and validity period. A change of payment details applies only to the transaction expressly identified in that document and does not amend previously accepted Payment Instructions.</w:t>
            </w:r>
          </w:p>
        </w:tc>
      </w:tr>
      <w:tr w14:paraId="69B8B052">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7EC74C30">
            <w:pPr>
              <w:spacing w:before="100" w:after="30" w:line="240" w:lineRule="auto"/>
            </w:pPr>
            <w:r>
              <w:rPr>
                <w:rFonts w:ascii="Arial" w:hAnsi="Arial" w:eastAsia="Arial"/>
                <w:b/>
                <w:i w:val="0"/>
                <w:color w:val="007FAE"/>
                <w:sz w:val="19"/>
              </w:rPr>
              <w:t>Перед выставлением Invoice Агент проверяет, что выбранный способ оплаты доступен для конкретной операции. Если получатель платежа отличается от MF Corporation Company Limited, Invoice или Payment Instruction должны прямо подтверждать, что оплата такому получателю засчитывается как оплата Агенту.</w:t>
            </w:r>
          </w:p>
        </w:tc>
        <w:tc>
          <w:tcPr>
            <w:tcW w:w="5089" w:type="dxa"/>
            <w:tcBorders>
              <w:top w:val="nil"/>
              <w:left w:val="nil"/>
              <w:bottom w:val="nil"/>
              <w:right w:val="nil"/>
            </w:tcBorders>
            <w:tcMar>
              <w:top w:w="75" w:type="dxa"/>
              <w:left w:w="100" w:type="dxa"/>
              <w:bottom w:w="75" w:type="dxa"/>
              <w:right w:w="100" w:type="dxa"/>
            </w:tcMar>
            <w:vAlign w:val="top"/>
          </w:tcPr>
          <w:p w14:paraId="180131BC">
            <w:pPr>
              <w:spacing w:before="100" w:after="30" w:line="240" w:lineRule="auto"/>
            </w:pPr>
            <w:r>
              <w:rPr>
                <w:rFonts w:ascii="Arial" w:hAnsi="Arial" w:eastAsia="Arial"/>
                <w:b/>
                <w:i w:val="0"/>
                <w:color w:val="007FAE"/>
                <w:sz w:val="19"/>
              </w:rPr>
              <w:t>Before issuing an Invoice, the Agent verifies that the selected payment method is available for the specific transaction. If the pay-in recipient differs from MF Corporation Company Limited, the Invoice or Payment Instruction must expressly confirm that payment to that recipient is credited as payment to the Agent.</w:t>
            </w:r>
          </w:p>
        </w:tc>
      </w:tr>
      <w:tr w14:paraId="0413A574">
        <w:trPr>
          <w:gridBefore w:val="1"/>
          <w:wBefore w:w="20" w:type="dxa"/>
          <w:jc w:val="center"/>
        </w:trPr>
        <w:tc>
          <w:tcPr>
            <w:tcW w:w="5089" w:type="dxa"/>
            <w:tcBorders>
              <w:top w:val="nil"/>
              <w:left w:val="nil"/>
              <w:bottom w:val="nil"/>
              <w:right w:val="single" w:color="D9E7ED" w:sz="6" w:space="0"/>
            </w:tcBorders>
            <w:tcMar>
              <w:top w:w="75" w:type="dxa"/>
              <w:left w:w="100" w:type="dxa"/>
              <w:bottom w:w="75" w:type="dxa"/>
              <w:right w:w="100" w:type="dxa"/>
            </w:tcMar>
            <w:vAlign w:val="top"/>
          </w:tcPr>
          <w:p w14:paraId="5B367092">
            <w:pPr>
              <w:spacing w:before="0" w:after="30" w:line="240" w:lineRule="auto"/>
            </w:pPr>
            <w:r>
              <w:rPr>
                <w:rFonts w:ascii="Arial" w:hAnsi="Arial" w:eastAsia="Arial"/>
                <w:b w:val="0"/>
                <w:i w:val="0"/>
                <w:color w:val="000000"/>
                <w:sz w:val="18"/>
              </w:rPr>
              <w:t>Не переносите реквизиты, QR-код, адрес кошелька или сведения о наличном платеже из предыдущей сделки. Для каждого платежа используются только реквизиты и срок действия из актуального Invoice или Payment Instruction.</w:t>
            </w:r>
          </w:p>
        </w:tc>
        <w:tc>
          <w:tcPr>
            <w:tcW w:w="5089" w:type="dxa"/>
            <w:tcBorders>
              <w:top w:val="nil"/>
              <w:left w:val="nil"/>
              <w:bottom w:val="nil"/>
              <w:right w:val="nil"/>
            </w:tcBorders>
            <w:tcMar>
              <w:top w:w="75" w:type="dxa"/>
              <w:left w:w="100" w:type="dxa"/>
              <w:bottom w:w="75" w:type="dxa"/>
              <w:right w:w="100" w:type="dxa"/>
            </w:tcMar>
            <w:vAlign w:val="top"/>
          </w:tcPr>
          <w:p w14:paraId="3C6B210B">
            <w:pPr>
              <w:spacing w:before="0" w:after="30" w:line="240" w:lineRule="auto"/>
            </w:pPr>
            <w:r>
              <w:rPr>
                <w:rFonts w:ascii="Arial" w:hAnsi="Arial" w:eastAsia="Arial"/>
                <w:b w:val="0"/>
                <w:i w:val="0"/>
                <w:color w:val="000000"/>
                <w:sz w:val="18"/>
              </w:rPr>
              <w:t>Do not copy bank details, a QR code, a wallet address or cash-payment instructions from a prior transaction. For each payment, use only the details and validity period stated in the current Invoice or Payment Instruction.</w:t>
            </w:r>
          </w:p>
        </w:tc>
      </w:tr>
      <w:tr w14:paraId="6A92B95D">
        <w:trPr>
          <w:cantSplit/>
          <w:jc w:val="center"/>
        </w:trPr>
        <w:tc>
          <w:tcPr>
            <w:tcW w:w="5109" w:type="dxa"/>
            <w:gridSpan w:val="2"/>
            <w:shd w:val="clear" w:color="auto" w:fill="0E6D95"/>
            <w:tcMar>
              <w:top w:w="90" w:type="dxa"/>
              <w:left w:w="120" w:type="dxa"/>
              <w:bottom w:w="90" w:type="dxa"/>
              <w:right w:w="120" w:type="dxa"/>
            </w:tcMar>
            <w:vAlign w:val="top"/>
          </w:tcPr>
          <w:p w14:paraId="1078B435">
            <w:pPr>
              <w:widowControl/>
              <w:spacing w:before="0" w:after="30" w:line="240" w:lineRule="auto"/>
            </w:pPr>
            <w:r>
              <w:rPr>
                <w:rFonts w:ascii="Arial" w:hAnsi="Arial" w:eastAsia="Arial" w:cs="Arial"/>
                <w:b/>
                <w:i w:val="0"/>
                <w:color w:val="FFFFFF"/>
                <w:sz w:val="20"/>
              </w:rPr>
              <w:t>ПОЛЕ / FIELD</w:t>
            </w:r>
          </w:p>
        </w:tc>
        <w:tc>
          <w:tcPr>
            <w:tcW w:w="5089" w:type="dxa"/>
            <w:shd w:val="clear" w:color="auto" w:fill="0E6D95"/>
            <w:tcMar>
              <w:top w:w="90" w:type="dxa"/>
              <w:left w:w="120" w:type="dxa"/>
              <w:bottom w:w="90" w:type="dxa"/>
              <w:right w:w="120" w:type="dxa"/>
            </w:tcMar>
            <w:vAlign w:val="top"/>
          </w:tcPr>
          <w:p w14:paraId="2777DFE6">
            <w:pPr>
              <w:widowControl/>
              <w:spacing w:before="0" w:after="30" w:line="240" w:lineRule="auto"/>
            </w:pPr>
            <w:r>
              <w:rPr>
                <w:rFonts w:ascii="Arial" w:hAnsi="Arial" w:eastAsia="Arial" w:cs="Arial"/>
                <w:b/>
                <w:i w:val="0"/>
                <w:color w:val="FFFFFF"/>
                <w:sz w:val="20"/>
              </w:rPr>
              <w:t>ДАННЫЕ / DETAILS</w:t>
            </w:r>
          </w:p>
        </w:tc>
      </w:tr>
      <w:tr w14:paraId="7CCC2EF9">
        <w:trPr>
          <w:cantSplit/>
          <w:jc w:val="center"/>
        </w:trPr>
        <w:tc>
          <w:tcPr>
            <w:tcW w:w="5109" w:type="dxa"/>
            <w:gridSpan w:val="2"/>
            <w:shd w:val="clear" w:color="auto" w:fill="EAF4F8"/>
            <w:tcMar>
              <w:top w:w="90" w:type="dxa"/>
              <w:left w:w="120" w:type="dxa"/>
              <w:bottom w:w="90" w:type="dxa"/>
              <w:right w:w="120" w:type="dxa"/>
            </w:tcMar>
            <w:vAlign w:val="top"/>
          </w:tcPr>
          <w:p w14:paraId="3B440F31">
            <w:pPr>
              <w:widowControl/>
              <w:spacing w:before="0" w:after="30" w:line="240" w:lineRule="auto"/>
            </w:pPr>
            <w:r>
              <w:rPr>
                <w:rFonts w:ascii="Arial" w:hAnsi="Arial" w:eastAsia="Arial" w:cs="Arial"/>
                <w:b/>
                <w:i w:val="0"/>
                <w:color w:val="1F1F1F"/>
                <w:sz w:val="20"/>
              </w:rPr>
              <w:t>Способ pay-in / Pay-in method</w:t>
            </w:r>
          </w:p>
        </w:tc>
        <w:tc>
          <w:tcPr>
            <w:tcW w:w="5089" w:type="dxa"/>
            <w:tcMar>
              <w:top w:w="90" w:type="dxa"/>
              <w:left w:w="120" w:type="dxa"/>
              <w:bottom w:w="90" w:type="dxa"/>
              <w:right w:w="120" w:type="dxa"/>
            </w:tcMar>
            <w:vAlign w:val="top"/>
          </w:tcPr>
          <w:p w14:paraId="6E3FE189">
            <w:pPr>
              <w:widowControl/>
              <w:spacing w:before="0" w:after="30" w:line="240" w:lineRule="auto"/>
            </w:pPr>
            <w:r>
              <w:rPr>
                <w:rFonts w:ascii="Arial" w:hAnsi="Arial" w:eastAsia="Arial" w:cs="Arial"/>
                <w:b w:val="0"/>
                <w:i w:val="0"/>
                <w:color w:val="1F1F1F"/>
                <w:sz w:val="20"/>
              </w:rPr>
              <w:t>[Банковский перевод / СБП / USDT / наличные — если применимо]</w:t>
            </w:r>
          </w:p>
        </w:tc>
      </w:tr>
      <w:tr w14:paraId="4444CDA1">
        <w:trPr>
          <w:cantSplit/>
          <w:jc w:val="center"/>
        </w:trPr>
        <w:tc>
          <w:tcPr>
            <w:tcW w:w="5109" w:type="dxa"/>
            <w:gridSpan w:val="2"/>
            <w:shd w:val="clear" w:color="auto" w:fill="EAF4F8"/>
            <w:tcMar>
              <w:top w:w="90" w:type="dxa"/>
              <w:left w:w="120" w:type="dxa"/>
              <w:bottom w:w="90" w:type="dxa"/>
              <w:right w:w="120" w:type="dxa"/>
            </w:tcMar>
            <w:vAlign w:val="top"/>
          </w:tcPr>
          <w:p w14:paraId="455E9121">
            <w:pPr>
              <w:widowControl/>
              <w:spacing w:before="0" w:after="30" w:line="240" w:lineRule="auto"/>
            </w:pPr>
            <w:r>
              <w:rPr>
                <w:rFonts w:ascii="Arial" w:hAnsi="Arial" w:eastAsia="Arial" w:cs="Arial"/>
                <w:b/>
                <w:i w:val="0"/>
                <w:color w:val="1F1F1F"/>
                <w:sz w:val="20"/>
              </w:rPr>
              <w:t>Валюта / Currency</w:t>
            </w:r>
          </w:p>
        </w:tc>
        <w:tc>
          <w:tcPr>
            <w:tcW w:w="5089" w:type="dxa"/>
            <w:tcMar>
              <w:top w:w="90" w:type="dxa"/>
              <w:left w:w="120" w:type="dxa"/>
              <w:bottom w:w="90" w:type="dxa"/>
              <w:right w:w="120" w:type="dxa"/>
            </w:tcMar>
            <w:vAlign w:val="top"/>
          </w:tcPr>
          <w:p w14:paraId="2161DBFF">
            <w:pPr>
              <w:widowControl/>
              <w:spacing w:before="0" w:after="30" w:line="240" w:lineRule="auto"/>
            </w:pPr>
            <w:r>
              <w:rPr>
                <w:rFonts w:ascii="Arial" w:hAnsi="Arial" w:eastAsia="Arial" w:cs="Arial"/>
                <w:b w:val="0"/>
                <w:i w:val="0"/>
                <w:color w:val="1F1F1F"/>
                <w:sz w:val="20"/>
              </w:rPr>
              <w:t>[●]</w:t>
            </w:r>
          </w:p>
        </w:tc>
      </w:tr>
      <w:tr w14:paraId="45109751">
        <w:trPr>
          <w:cantSplit/>
          <w:jc w:val="center"/>
        </w:trPr>
        <w:tc>
          <w:tcPr>
            <w:tcW w:w="5109" w:type="dxa"/>
            <w:gridSpan w:val="2"/>
            <w:shd w:val="clear" w:color="auto" w:fill="EAF4F8"/>
            <w:tcMar>
              <w:top w:w="90" w:type="dxa"/>
              <w:left w:w="120" w:type="dxa"/>
              <w:bottom w:w="90" w:type="dxa"/>
              <w:right w:w="120" w:type="dxa"/>
            </w:tcMar>
            <w:vAlign w:val="top"/>
          </w:tcPr>
          <w:p w14:paraId="15DBA82A">
            <w:pPr>
              <w:widowControl/>
              <w:spacing w:before="0" w:after="30" w:line="240" w:lineRule="auto"/>
            </w:pPr>
            <w:r>
              <w:rPr>
                <w:rFonts w:ascii="Arial" w:hAnsi="Arial" w:eastAsia="Arial" w:cs="Arial"/>
                <w:b/>
                <w:i w:val="0"/>
                <w:color w:val="1F1F1F"/>
                <w:sz w:val="20"/>
              </w:rPr>
              <w:t>Получатель платежа / Pay-in recipient</w:t>
            </w:r>
          </w:p>
        </w:tc>
        <w:tc>
          <w:tcPr>
            <w:tcW w:w="5089" w:type="dxa"/>
            <w:tcMar>
              <w:top w:w="90" w:type="dxa"/>
              <w:left w:w="120" w:type="dxa"/>
              <w:bottom w:w="90" w:type="dxa"/>
              <w:right w:w="120" w:type="dxa"/>
            </w:tcMar>
            <w:vAlign w:val="top"/>
          </w:tcPr>
          <w:p w14:paraId="3E018485">
            <w:pPr>
              <w:widowControl/>
              <w:spacing w:before="0" w:after="30" w:line="240" w:lineRule="auto"/>
            </w:pPr>
            <w:r>
              <w:rPr>
                <w:rFonts w:ascii="Arial" w:hAnsi="Arial" w:eastAsia="Arial" w:cs="Arial"/>
                <w:b w:val="0"/>
                <w:i w:val="0"/>
                <w:color w:val="1F1F1F"/>
                <w:sz w:val="20"/>
              </w:rPr>
              <w:t>[MF Corporation Company Limited либо полное наименование третьего получателя]</w:t>
            </w:r>
          </w:p>
        </w:tc>
      </w:tr>
      <w:tr w14:paraId="7BB0864B">
        <w:trPr>
          <w:cantSplit/>
          <w:jc w:val="center"/>
        </w:trPr>
        <w:tc>
          <w:tcPr>
            <w:tcW w:w="5109" w:type="dxa"/>
            <w:gridSpan w:val="2"/>
            <w:shd w:val="clear" w:color="auto" w:fill="EAF4F8"/>
            <w:tcMar>
              <w:top w:w="90" w:type="dxa"/>
              <w:left w:w="120" w:type="dxa"/>
              <w:bottom w:w="90" w:type="dxa"/>
              <w:right w:w="120" w:type="dxa"/>
            </w:tcMar>
            <w:vAlign w:val="top"/>
          </w:tcPr>
          <w:p w14:paraId="5933C2CC">
            <w:pPr>
              <w:widowControl/>
              <w:spacing w:before="0" w:after="30" w:line="240" w:lineRule="auto"/>
            </w:pPr>
            <w:r>
              <w:rPr>
                <w:rFonts w:ascii="Arial" w:hAnsi="Arial" w:eastAsia="Arial" w:cs="Arial"/>
                <w:b/>
                <w:i w:val="0"/>
                <w:color w:val="1F1F1F"/>
                <w:sz w:val="20"/>
              </w:rPr>
              <w:t>Роль получателя / Recipient role</w:t>
            </w:r>
          </w:p>
        </w:tc>
        <w:tc>
          <w:tcPr>
            <w:tcW w:w="5089" w:type="dxa"/>
            <w:tcMar>
              <w:top w:w="90" w:type="dxa"/>
              <w:left w:w="120" w:type="dxa"/>
              <w:bottom w:w="90" w:type="dxa"/>
              <w:right w:w="120" w:type="dxa"/>
            </w:tcMar>
            <w:vAlign w:val="top"/>
          </w:tcPr>
          <w:p w14:paraId="652A42F9">
            <w:pPr>
              <w:widowControl/>
              <w:spacing w:before="0" w:after="30" w:line="240" w:lineRule="auto"/>
            </w:pPr>
            <w:r>
              <w:rPr>
                <w:rFonts w:ascii="Arial" w:hAnsi="Arial" w:eastAsia="Arial" w:cs="Arial"/>
                <w:b w:val="0"/>
                <w:i w:val="0"/>
                <w:color w:val="1F1F1F"/>
                <w:sz w:val="20"/>
              </w:rPr>
              <w:t>[получатель MF / уполномоченный платёжный партнёр / иное]</w:t>
            </w:r>
          </w:p>
        </w:tc>
      </w:tr>
      <w:tr w14:paraId="1D267563">
        <w:trPr>
          <w:cantSplit/>
          <w:jc w:val="center"/>
        </w:trPr>
        <w:tc>
          <w:tcPr>
            <w:tcW w:w="5109" w:type="dxa"/>
            <w:gridSpan w:val="2"/>
            <w:shd w:val="clear" w:color="auto" w:fill="EAF4F8"/>
            <w:tcMar>
              <w:top w:w="90" w:type="dxa"/>
              <w:left w:w="120" w:type="dxa"/>
              <w:bottom w:w="90" w:type="dxa"/>
              <w:right w:w="120" w:type="dxa"/>
            </w:tcMar>
            <w:vAlign w:val="top"/>
          </w:tcPr>
          <w:p w14:paraId="21283623">
            <w:pPr>
              <w:widowControl/>
              <w:spacing w:before="0" w:after="30" w:line="240" w:lineRule="auto"/>
            </w:pPr>
            <w:r>
              <w:rPr>
                <w:rFonts w:ascii="Arial" w:hAnsi="Arial" w:eastAsia="Arial" w:cs="Arial"/>
                <w:b/>
                <w:i w:val="0"/>
                <w:color w:val="1F1F1F"/>
                <w:sz w:val="20"/>
              </w:rPr>
              <w:t>Реквизиты / Payment details</w:t>
            </w:r>
          </w:p>
        </w:tc>
        <w:tc>
          <w:tcPr>
            <w:tcW w:w="5089" w:type="dxa"/>
            <w:tcMar>
              <w:top w:w="90" w:type="dxa"/>
              <w:left w:w="120" w:type="dxa"/>
              <w:bottom w:w="90" w:type="dxa"/>
              <w:right w:w="120" w:type="dxa"/>
            </w:tcMar>
            <w:vAlign w:val="top"/>
          </w:tcPr>
          <w:p w14:paraId="217360A6">
            <w:pPr>
              <w:widowControl/>
              <w:spacing w:before="0" w:after="30" w:line="240" w:lineRule="auto"/>
            </w:pPr>
            <w:r>
              <w:rPr>
                <w:rFonts w:ascii="Arial" w:hAnsi="Arial" w:eastAsia="Arial" w:cs="Arial"/>
                <w:b w:val="0"/>
                <w:i w:val="0"/>
                <w:color w:val="1F1F1F"/>
                <w:sz w:val="20"/>
              </w:rPr>
              <w:t>[счёт и банк / СБП-идентификатор / сеть и адрес кошелька / порядок наличного платежа]</w:t>
            </w:r>
          </w:p>
        </w:tc>
      </w:tr>
      <w:tr w14:paraId="29F29701">
        <w:trPr>
          <w:cantSplit/>
          <w:jc w:val="center"/>
        </w:trPr>
        <w:tc>
          <w:tcPr>
            <w:tcW w:w="5109" w:type="dxa"/>
            <w:gridSpan w:val="2"/>
            <w:shd w:val="clear" w:color="auto" w:fill="EAF4F8"/>
            <w:tcMar>
              <w:top w:w="90" w:type="dxa"/>
              <w:left w:w="120" w:type="dxa"/>
              <w:bottom w:w="90" w:type="dxa"/>
              <w:right w:w="120" w:type="dxa"/>
            </w:tcMar>
            <w:vAlign w:val="top"/>
          </w:tcPr>
          <w:p w14:paraId="22D1A2D6">
            <w:pPr>
              <w:widowControl/>
              <w:spacing w:before="0" w:after="30" w:line="240" w:lineRule="auto"/>
            </w:pPr>
            <w:r>
              <w:rPr>
                <w:rFonts w:ascii="Arial" w:hAnsi="Arial" w:eastAsia="Arial" w:cs="Arial"/>
                <w:b/>
                <w:i w:val="0"/>
                <w:color w:val="1F1F1F"/>
                <w:sz w:val="20"/>
              </w:rPr>
              <w:t>Invoice / Instruction No.</w:t>
            </w:r>
          </w:p>
        </w:tc>
        <w:tc>
          <w:tcPr>
            <w:tcW w:w="5089" w:type="dxa"/>
            <w:tcMar>
              <w:top w:w="90" w:type="dxa"/>
              <w:left w:w="120" w:type="dxa"/>
              <w:bottom w:w="90" w:type="dxa"/>
              <w:right w:w="120" w:type="dxa"/>
            </w:tcMar>
            <w:vAlign w:val="top"/>
          </w:tcPr>
          <w:p w14:paraId="105DB583">
            <w:pPr>
              <w:widowControl/>
              <w:spacing w:before="0" w:after="30" w:line="240" w:lineRule="auto"/>
            </w:pPr>
            <w:r>
              <w:rPr>
                <w:rFonts w:ascii="Arial" w:hAnsi="Arial" w:eastAsia="Arial" w:cs="Arial"/>
                <w:b w:val="0"/>
                <w:i w:val="0"/>
                <w:color w:val="1F1F1F"/>
                <w:sz w:val="20"/>
              </w:rPr>
              <w:t>[●]</w:t>
            </w:r>
          </w:p>
        </w:tc>
      </w:tr>
      <w:tr w14:paraId="7EB32034">
        <w:trPr>
          <w:cantSplit/>
          <w:jc w:val="center"/>
        </w:trPr>
        <w:tc>
          <w:tcPr>
            <w:tcW w:w="5109" w:type="dxa"/>
            <w:gridSpan w:val="2"/>
            <w:shd w:val="clear" w:color="auto" w:fill="EAF4F8"/>
            <w:tcMar>
              <w:top w:w="90" w:type="dxa"/>
              <w:left w:w="120" w:type="dxa"/>
              <w:bottom w:w="90" w:type="dxa"/>
              <w:right w:w="120" w:type="dxa"/>
            </w:tcMar>
            <w:vAlign w:val="top"/>
          </w:tcPr>
          <w:p w14:paraId="05B53453">
            <w:pPr>
              <w:widowControl/>
              <w:spacing w:before="0" w:after="30" w:line="240" w:lineRule="auto"/>
            </w:pPr>
            <w:r>
              <w:rPr>
                <w:rFonts w:ascii="Arial" w:hAnsi="Arial" w:eastAsia="Arial" w:cs="Arial"/>
                <w:b/>
                <w:i w:val="0"/>
                <w:color w:val="1F1F1F"/>
                <w:sz w:val="20"/>
              </w:rPr>
              <w:t>Срок действия реквизитов / Details valid until</w:t>
            </w:r>
          </w:p>
        </w:tc>
        <w:tc>
          <w:tcPr>
            <w:tcW w:w="5089" w:type="dxa"/>
            <w:tcMar>
              <w:top w:w="90" w:type="dxa"/>
              <w:left w:w="120" w:type="dxa"/>
              <w:bottom w:w="90" w:type="dxa"/>
              <w:right w:w="120" w:type="dxa"/>
            </w:tcMar>
            <w:vAlign w:val="top"/>
          </w:tcPr>
          <w:p w14:paraId="5ED146DB">
            <w:pPr>
              <w:widowControl/>
              <w:spacing w:before="0" w:after="30" w:line="240" w:lineRule="auto"/>
            </w:pPr>
            <w:r>
              <w:rPr>
                <w:rFonts w:ascii="Arial" w:hAnsi="Arial" w:eastAsia="Arial" w:cs="Arial"/>
                <w:b w:val="0"/>
                <w:i w:val="0"/>
                <w:color w:val="1F1F1F"/>
                <w:sz w:val="20"/>
              </w:rPr>
              <w:t>[дата и время / date and time]</w:t>
            </w:r>
          </w:p>
        </w:tc>
      </w:tr>
      <w:tr w14:paraId="5CB1AEC2">
        <w:trPr>
          <w:cantSplit/>
          <w:jc w:val="center"/>
        </w:trPr>
        <w:tc>
          <w:tcPr>
            <w:tcW w:w="5109" w:type="dxa"/>
            <w:gridSpan w:val="2"/>
            <w:shd w:val="clear" w:color="auto" w:fill="EAF4F8"/>
            <w:tcMar>
              <w:top w:w="90" w:type="dxa"/>
              <w:left w:w="120" w:type="dxa"/>
              <w:bottom w:w="90" w:type="dxa"/>
              <w:right w:w="120" w:type="dxa"/>
            </w:tcMar>
            <w:vAlign w:val="top"/>
          </w:tcPr>
          <w:p w14:paraId="229C2A1D">
            <w:pPr>
              <w:widowControl/>
              <w:spacing w:before="0" w:after="30" w:line="240" w:lineRule="auto"/>
            </w:pPr>
            <w:r>
              <w:rPr>
                <w:rFonts w:ascii="Arial" w:hAnsi="Arial" w:eastAsia="Arial" w:cs="Arial"/>
                <w:b/>
                <w:i w:val="0"/>
                <w:color w:val="1F1F1F"/>
                <w:sz w:val="20"/>
              </w:rPr>
              <w:t>Назначение платежа / Payment reference</w:t>
            </w:r>
          </w:p>
        </w:tc>
        <w:tc>
          <w:tcPr>
            <w:tcW w:w="5089" w:type="dxa"/>
            <w:tcMar>
              <w:top w:w="90" w:type="dxa"/>
              <w:left w:w="120" w:type="dxa"/>
              <w:bottom w:w="90" w:type="dxa"/>
              <w:right w:w="120" w:type="dxa"/>
            </w:tcMar>
            <w:vAlign w:val="top"/>
          </w:tcPr>
          <w:p w14:paraId="2DC7F1EB">
            <w:pPr>
              <w:widowControl/>
              <w:spacing w:before="0" w:after="30" w:line="240" w:lineRule="auto"/>
            </w:pPr>
            <w:r>
              <w:rPr>
                <w:rFonts w:ascii="Arial" w:hAnsi="Arial" w:eastAsia="Arial" w:cs="Arial"/>
                <w:b w:val="0"/>
                <w:i w:val="0"/>
                <w:color w:val="1F1F1F"/>
                <w:sz w:val="20"/>
              </w:rPr>
              <w:t>[●]</w:t>
            </w:r>
          </w:p>
        </w:tc>
      </w:tr>
      <w:tr w14:paraId="68B24B38">
        <w:trPr>
          <w:jc w:val="center"/>
        </w:trPr>
        <w:tc>
          <w:tcPr>
            <w:tcW w:w="5109" w:type="dxa"/>
            <w:gridSpan w:val="2"/>
          </w:tcPr>
          <w:p w14:paraId="7674B5D2">
            <w:r>
              <w:t>Подтверждение оплаты / Required payment evidence</w:t>
            </w:r>
          </w:p>
        </w:tc>
        <w:tc>
          <w:tcPr>
            <w:tcW w:w="5089" w:type="dxa"/>
          </w:tcPr>
          <w:p w14:paraId="76BADF38">
            <w:r>
              <w:t>[платёжное поручение / TXID / кассовый документ]</w:t>
            </w:r>
          </w:p>
        </w:tc>
      </w:tr>
      <w:tr w14:paraId="68B24B38">
        <w:trPr>
          <w:jc w:val="center"/>
        </w:trPr>
        <w:tc>
          <w:tcPr>
            <w:tcW w:w="5109" w:type="dxa"/>
            <w:gridSpan w:val="2"/>
          </w:tcPr>
          <w:p w14:paraId="7674B5D2">
            <w:r>
              <w:t>Наличные</w:t>
              <w:br/>
              <w:t>Cash payment</w:t>
            </w:r>
          </w:p>
        </w:tc>
        <w:tc>
          <w:tcPr>
            <w:tcW w:w="5089" w:type="dxa"/>
          </w:tcPr>
          <w:p w14:paraId="76BADF38">
            <w:r>
              <w:t>Место, валюта, сумма, дата, уполномоченный сотрудник; кассовый документ / квитанция.</w:t>
              <w:br/>
              <w:t>Place, currency, amount, date, authorised representative; cash receipt.</w:t>
            </w:r>
          </w:p>
        </w:tc>
      </w:tr>
    </w:tbl>
    <w:sectPr>
      <w:headerReference r:id="rId7" w:type="first"/>
      <w:headerReference r:id="rId5" w:type="default"/>
      <w:footerReference r:id="rId8" w:type="default"/>
      <w:headerReference r:id="rId6" w:type="even"/>
      <w:footerReference r:id="rId9" w:type="even"/>
      <w:pgSz w:w="11906" w:h="16838"/>
      <w:pgMar w:top="979" w:right="864" w:bottom="936" w:left="864"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embedRegular r:id="rId1" w:fontKey="{2759A34B-A0F9-F7DD-1CAE-686A59126F91}"/>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Malgun Gothic">
    <w:altName w:val="Apple SD Gothic Neo"/>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20"/>
        <w:tab w:val="left" w:pos="4640"/>
        <w:tab w:val="center" w:pos="4677"/>
        <w:tab w:val="center" w:pos="5233"/>
        <w:tab w:val="right" w:pos="9355"/>
      </w:tabs>
      <w:spacing w:before="0" w:after="0" w:line="240" w:lineRule="auto"/>
      <w:ind w:left="0" w:right="0" w:firstLine="0"/>
      <w:jc w:val="center"/>
      <w:rPr>
        <w:rFonts w:ascii="Calibri" w:hAnsi="Calibri" w:eastAsia="Calibri" w:cs="Calibri"/>
        <w:b w:val="0"/>
        <w:bCs w:val="0"/>
        <w:i w:val="0"/>
        <w:iCs w:val="0"/>
        <w:smallCaps w:val="0"/>
        <w:strike w:val="0"/>
        <w:color w:val="EF8657"/>
        <w:sz w:val="22"/>
        <w:szCs w:val="22"/>
        <w:u w:val="none"/>
        <w:shd w:val="clear" w:fill="auto"/>
        <w:vertAlign w:val="baseline"/>
      </w:rPr>
    </w:pPr>
    <w:r>
      <w:rPr>
        <w:rFonts w:ascii="Arial" w:hAnsi="Arial" w:eastAsia="Arial" w:cs="Calibri"/>
        <w:b w:val="0"/>
        <w:bCs w:val="0"/>
        <w:i w:val="0"/>
        <w:iCs w:val="0"/>
        <w:smallCaps w:val="0"/>
        <w:strike w:val="0"/>
        <w:color w:val="1F1F1F"/>
        <w:sz w:val="17"/>
        <w:szCs w:val="22"/>
        <w:u w:val="none"/>
        <w:shd w:val="clear" w:fill="auto"/>
        <w:vertAlign w:val="baseline"/>
        <w:rtl w:val="0"/>
      </w:rPr>
      <w:tab/>
    </w:r>
    <w:r>
      <w:rPr>
        <w:rFonts w:ascii="Arial" w:hAnsi="Arial" w:eastAsia="Arial" w:cs="Calibri"/>
        <w:b w:val="0"/>
        <w:bCs w:val="0"/>
        <w:i w:val="0"/>
        <w:iCs w:val="0"/>
        <w:smallCaps w:val="0"/>
        <w:strike w:val="0"/>
        <w:color w:val="1F1F1F"/>
        <w:sz w:val="17"/>
        <w:szCs w:val="22"/>
        <w:u w:val="none"/>
        <w:shd w:val="clear" w:fill="auto"/>
        <w:vertAlign w:val="baseline"/>
        <w:rtl w:val="0"/>
      </w:rPr>
      <w:tab/>
    </w:r>
    <w:r>
      <w:rPr>
        <w:rFonts w:ascii="Arial" w:hAnsi="Arial" w:eastAsia="Arial" w:cs="Calibri"/>
        <w:b w:val="0"/>
        <w:bCs w:val="0"/>
        <w:i w:val="0"/>
        <w:iCs w:val="0"/>
        <w:smallCaps w:val="0"/>
        <w:strike w:val="0"/>
        <w:color w:val="1F1F1F"/>
        <w:sz w:val="17"/>
        <w:szCs w:val="22"/>
        <w:u w:val="none"/>
        <w:shd w:val="clear" w:fill="auto"/>
        <w:vertAlign w:val="baseline"/>
        <w:rtl w:val="0"/>
      </w:rPr>
      <w:tab/>
    </w:r>
    <w:r>
      <w:rPr>
        <w:rFonts w:ascii="Arial" w:hAnsi="Arial" w:eastAsia="Arial"/>
        <w:color w:val="1F1F1F"/>
        <w:sz w:val="17"/>
      </w:rPr>
      <w:drawing>
        <wp:anchor distT="0" distB="0" distL="0" distR="0" simplePos="0" relativeHeight="251659264" behindDoc="1" locked="0" layoutInCell="1" allowOverlap="1">
          <wp:simplePos x="0" y="0"/>
          <wp:positionH relativeFrom="column">
            <wp:posOffset>1473200</wp:posOffset>
          </wp:positionH>
          <wp:positionV relativeFrom="paragraph">
            <wp:posOffset>97790</wp:posOffset>
          </wp:positionV>
          <wp:extent cx="419100" cy="34417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
                  <a:srcRect/>
                  <a:stretch>
                    <a:fillRect/>
                  </a:stretch>
                </pic:blipFill>
                <pic:spPr>
                  <a:xfrm>
                    <a:off x="0" y="0"/>
                    <a:ext cx="419100" cy="343952"/>
                  </a:xfrm>
                  <a:prstGeom prst="rect">
                    <a:avLst/>
                  </a:prstGeom>
                </pic:spPr>
              </pic:pic>
            </a:graphicData>
          </a:graphic>
        </wp:anchor>
      </w:drawing>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023"/>
        <w:tab w:val="center" w:pos="4677"/>
        <w:tab w:val="right" w:pos="9355"/>
      </w:tabs>
      <w:spacing w:before="0" w:after="0" w:line="240" w:lineRule="auto"/>
      <w:ind w:left="0" w:right="0" w:firstLine="0"/>
      <w:jc w:val="center"/>
      <w:rPr>
        <w:rFonts w:ascii="Malgun Gothic" w:hAnsi="Malgun Gothic" w:eastAsia="Malgun Gothic" w:cs="Malgun Gothic"/>
        <w:b/>
        <w:bCs/>
        <w:i w:val="0"/>
        <w:iCs w:val="0"/>
        <w:smallCaps w:val="0"/>
        <w:strike w:val="0"/>
        <w:color w:val="417587"/>
        <w:sz w:val="20"/>
        <w:szCs w:val="20"/>
        <w:u w:val="none"/>
        <w:shd w:val="clear" w:fill="auto"/>
        <w:vertAlign w:val="baseline"/>
      </w:rPr>
    </w:pPr>
    <w:r>
      <w:rPr>
        <w:rFonts w:ascii="Arial" w:hAnsi="Arial" w:eastAsia="Arial" w:cs="Malgun Gothic"/>
        <w:b/>
        <w:bCs/>
        <w:i w:val="0"/>
        <w:iCs w:val="0"/>
        <w:smallCaps w:val="0"/>
        <w:strike w:val="0"/>
        <w:color w:val="1F1F1F"/>
        <w:sz w:val="17"/>
        <w:szCs w:val="20"/>
        <w:u w:val="none"/>
        <w:shd w:val="clear" w:fill="auto"/>
        <w:vertAlign w:val="baseline"/>
        <w:rtl w:val="0"/>
      </w:rPr>
      <w:t>RELIABLE PARTNER. SUCCESSFUL BUSINESS</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023"/>
        <w:tab w:val="center" w:pos="4677"/>
        <w:tab w:val="right" w:pos="9355"/>
      </w:tabs>
      <w:spacing w:before="0" w:after="0" w:line="240" w:lineRule="auto"/>
      <w:ind w:left="0" w:right="0" w:firstLine="0"/>
      <w:jc w:val="left"/>
      <w:rPr>
        <w:rFonts w:ascii="Arial" w:hAnsi="Arial" w:eastAsia="Arial" w:cs="Arial"/>
        <w:b w:val="0"/>
        <w:bCs w:val="0"/>
        <w:i w:val="0"/>
        <w:iCs w:val="0"/>
        <w:smallCaps w:val="0"/>
        <w:strike w:val="0"/>
        <w:color w:val="046876"/>
        <w:sz w:val="18"/>
        <w:szCs w:val="18"/>
        <w:u w:val="none"/>
        <w:shd w:val="clear" w:fill="auto"/>
        <w:vertAlign w:val="baseline"/>
      </w:rPr>
    </w:pPr>
    <w:r>
      <w:rPr>
        <w:rFonts w:ascii="Arial" w:hAnsi="Arial" w:eastAsia="Arial" w:cs="Arial"/>
        <w:b w:val="0"/>
        <w:bCs w:val="0"/>
        <w:i w:val="0"/>
        <w:iCs w:val="0"/>
        <w:smallCaps w:val="0"/>
        <w:strike w:val="0"/>
        <w:color w:val="1F1F1F"/>
        <w:sz w:val="17"/>
        <w:szCs w:val="18"/>
        <w:u w:val="none"/>
        <w:shd w:val="clear" w:fill="auto"/>
        <w:vertAlign w:val="baseline"/>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220"/>
        <w:tab w:val="left" w:pos="8860"/>
        <w:tab w:val="right" w:pos="9355"/>
        <w:tab w:val="right" w:pos="10466"/>
      </w:tabs>
      <w:spacing w:before="0" w:after="0" w:line="240" w:lineRule="auto"/>
      <w:ind w:left="0" w:right="0" w:firstLine="0"/>
      <w:jc w:val="right"/>
      <w:rPr>
        <w:rFonts w:ascii="Arial" w:hAnsi="Arial" w:eastAsia="Arial" w:cs="Arial"/>
        <w:b/>
        <w:bCs/>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1F1F1F"/>
        <w:sz w:val="17"/>
        <w:szCs w:val="20"/>
        <w:u w:val="none"/>
        <w:shd w:val="clear" w:fill="auto"/>
        <w:vertAlign w:val="baseline"/>
        <w:rtl w:val="0"/>
      </w:rPr>
      <w:drawing>
        <wp:anchor distT="0" distB="0" distL="114300" distR="114300" simplePos="0" relativeHeight="251660288" behindDoc="0" locked="0" layoutInCell="1" allowOverlap="1">
          <wp:simplePos x="0" y="0"/>
          <wp:positionH relativeFrom="column">
            <wp:posOffset>5080</wp:posOffset>
          </wp:positionH>
          <wp:positionV relativeFrom="paragraph">
            <wp:posOffset>-3175</wp:posOffset>
          </wp:positionV>
          <wp:extent cx="2038350" cy="867410"/>
          <wp:effectExtent l="0" t="0" r="19050" b="21590"/>
          <wp:wrapTopAndBottom/>
          <wp:docPr id="2" name="Изображение 2"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лого"/>
                  <pic:cNvPicPr>
                    <a:picLocks noChangeAspect="1"/>
                  </pic:cNvPicPr>
                </pic:nvPicPr>
                <pic:blipFill>
                  <a:blip r:embed="rId1"/>
                  <a:stretch>
                    <a:fillRect/>
                  </a:stretch>
                </pic:blipFill>
                <pic:spPr>
                  <a:xfrm>
                    <a:off x="0" y="0"/>
                    <a:ext cx="2038350" cy="867410"/>
                  </a:xfrm>
                  <a:prstGeom prst="rect">
                    <a:avLst/>
                  </a:prstGeom>
                </pic:spPr>
              </pic:pic>
            </a:graphicData>
          </a:graphic>
        </wp:anchor>
      </w:drawing>
    </w:r>
    <w:r>
      <w:rPr>
        <w:rFonts w:ascii="Arial" w:hAnsi="Arial" w:eastAsia="Arial" w:cs="Arial"/>
        <w:b/>
        <w:bCs/>
        <w:i w:val="0"/>
        <w:iCs w:val="0"/>
        <w:smallCaps w:val="0"/>
        <w:strike w:val="0"/>
        <w:color w:val="1F1F1F"/>
        <w:sz w:val="20"/>
        <w:szCs w:val="32"/>
        <w:u w:val="none"/>
        <w:shd w:val="clear" w:fill="auto"/>
        <w:vertAlign w:val="baseline"/>
        <w:rtl w:val="0"/>
      </w:rPr>
      <w:t>MF Corporation Co. Ltd</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480"/>
        <w:tab w:val="left" w:pos="7590"/>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17"/>
        <w:szCs w:val="20"/>
        <w:u w:val="none"/>
        <w:shd w:val="clear" w:fill="auto"/>
        <w:vertAlign w:val="baseline"/>
        <w:rtl w:val="0"/>
      </w:rPr>
      <w:t>9/31, Mu 5, Choeng Thale,</w:t>
    </w:r>
    <w:r>
      <w:rPr>
        <w:rFonts w:ascii="Arial" w:hAnsi="Arial" w:eastAsia="Arial" w:cs="Arial"/>
        <w:color w:val="1F1F1F"/>
        <w:sz w:val="17"/>
        <w:szCs w:val="20"/>
        <w:rtl w:val="0"/>
      </w:rPr>
      <w:t xml:space="preserve"> </w:t>
    </w:r>
    <w:r>
      <w:rPr>
        <w:rFonts w:ascii="Arial" w:hAnsi="Arial" w:eastAsia="Arial" w:cs="Arial"/>
        <w:b w:val="0"/>
        <w:bCs w:val="0"/>
        <w:i w:val="0"/>
        <w:iCs w:val="0"/>
        <w:smallCaps w:val="0"/>
        <w:strike w:val="0"/>
        <w:color w:val="1F1F1F"/>
        <w:sz w:val="17"/>
        <w:szCs w:val="20"/>
        <w:u w:val="none"/>
        <w:shd w:val="clear" w:fill="auto"/>
        <w:vertAlign w:val="baseline"/>
        <w:rtl w:val="0"/>
      </w:rPr>
      <w:t xml:space="preserve">Thalang District, </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480"/>
        <w:tab w:val="left" w:pos="7590"/>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17"/>
        <w:szCs w:val="20"/>
        <w:u w:val="none"/>
        <w:shd w:val="clear" w:fill="auto"/>
        <w:vertAlign w:val="baseline"/>
        <w:rtl w:val="0"/>
      </w:rPr>
      <w:t>Phuket, 83110,Thailand</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17"/>
        <w:szCs w:val="20"/>
        <w:u w:val="none"/>
        <w:shd w:val="clear" w:fill="auto"/>
        <w:vertAlign w:val="baseline"/>
        <w:rtl w:val="0"/>
      </w:rPr>
      <w:t>Tel: +66 991971701</w:t>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1F1F1F"/>
        <w:sz w:val="16"/>
        <w:szCs w:val="18"/>
        <w:u w:val="none"/>
        <w:shd w:val="clear" w:fill="auto"/>
        <w:vertAlign w:val="baseline"/>
        <w:rtl w:val="0"/>
      </w:rPr>
      <w:t xml:space="preserve">E-mail: </w:t>
    </w:r>
    <w:r>
      <w:rPr>
        <w:sz w:val="18"/>
        <w:szCs w:val="21"/>
      </w:rPr>
      <w:fldChar w:fldCharType="begin"/>
    </w:r>
    <w:r>
      <w:rPr>
        <w:sz w:val="18"/>
        <w:szCs w:val="21"/>
      </w:rPr>
      <w:instrText xml:space="preserve"> HYPERLINK "mailto:mfcorpthai@gmail.com" \h </w:instrText>
    </w:r>
    <w:r>
      <w:rPr>
        <w:sz w:val="18"/>
        <w:szCs w:val="21"/>
      </w:rPr>
      <w:fldChar w:fldCharType="separate"/>
    </w:r>
    <w:r>
      <w:rPr>
        <w:rFonts w:ascii="Arial" w:hAnsi="Arial" w:eastAsia="Arial" w:cs="Arial"/>
        <w:b w:val="0"/>
        <w:bCs w:val="0"/>
        <w:i w:val="0"/>
        <w:iCs w:val="0"/>
        <w:smallCaps w:val="0"/>
        <w:strike w:val="0"/>
        <w:color w:val="000000"/>
        <w:sz w:val="18"/>
        <w:szCs w:val="18"/>
        <w:u w:val="single"/>
        <w:shd w:val="clear" w:fill="auto"/>
        <w:vertAlign w:val="baseline"/>
        <w:rtl w:val="0"/>
      </w:rPr>
      <w:t>mfcorpthai@gmail.com</w:t>
    </w:r>
    <w:r>
      <w:rPr>
        <w:rFonts w:ascii="Arial" w:hAnsi="Arial" w:eastAsia="Arial" w:cs="Arial"/>
        <w:b w:val="0"/>
        <w:bCs w:val="0"/>
        <w:i w:val="0"/>
        <w:iCs w:val="0"/>
        <w:smallCaps w:val="0"/>
        <w:strike w:val="0"/>
        <w:color w:val="000000"/>
        <w:sz w:val="18"/>
        <w:szCs w:val="18"/>
        <w:u w:val="single"/>
        <w:shd w:val="clear" w:fill="auto"/>
        <w:vertAlign w:val="baseline"/>
        <w:rtl w:val="0"/>
      </w:rPr>
      <w:fldChar w:fldCharType="end"/>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0" w:after="0" w:line="240" w:lineRule="auto"/>
      <w:ind w:left="0" w:right="0" w:firstLine="0"/>
      <w:jc w:val="right"/>
      <w:rPr>
        <w:rFonts w:ascii="Arial" w:hAnsi="Arial" w:eastAsia="Arial" w:cs="Arial"/>
        <w:b w:val="0"/>
        <w:bCs w:val="0"/>
        <w:i w:val="0"/>
        <w:iCs w:val="0"/>
        <w:smallCaps w:val="0"/>
        <w:strike w:val="0"/>
        <w:color w:val="417587"/>
        <w:sz w:val="18"/>
        <w:szCs w:val="18"/>
        <w:u w:val="none"/>
        <w:shd w:val="clear" w:fill="auto"/>
        <w:vertAlign w:val="baseline"/>
      </w:rPr>
    </w:pPr>
    <w:r>
      <w:rPr>
        <w:rFonts w:ascii="Arial" w:hAnsi="Arial" w:eastAsia="Arial" w:cs="Arial"/>
        <w:b w:val="0"/>
        <w:bCs w:val="0"/>
        <w:i w:val="0"/>
        <w:iCs w:val="0"/>
        <w:smallCaps w:val="0"/>
        <w:strike w:val="0"/>
        <w:color w:val="1F1F1F"/>
        <w:sz w:val="17"/>
        <w:szCs w:val="18"/>
        <w:u w:val="none"/>
        <w:shd w:val="clear" w:fill="auto"/>
        <w:vertAlign w:val="baseline"/>
        <w:rtl w:val="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v:shape id="WordPictureWatermark2" o:spid="_x0000_s4098"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2.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v:shape id="WordPictureWatermark1" o:spid="_x0000_s4097"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2.png"/>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5"/>
  </w:compat>
  <w:rsids>
    <w:rsidRoot w:val="00000000"/>
    <w:rsid w:val="7702C1AC"/>
    <w:rsid w:val="DDF3A1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before="0" w:after="40" w:line="240" w:lineRule="auto"/>
    </w:pPr>
    <w:rPr>
      <w:rFonts w:ascii="Arial" w:hAnsi="Arial" w:eastAsia="Calibri" w:cs="Calibri"/>
      <w:color w:val="1F1F1F"/>
      <w:sz w:val="20"/>
      <w:szCs w:val="22"/>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itle"/>
    <w:basedOn w:val="1"/>
    <w:next w:val="1"/>
    <w:uiPriority w:val="0"/>
    <w:pPr>
      <w:keepNext/>
      <w:keepLines/>
      <w:pageBreakBefore w:val="0"/>
      <w:spacing w:before="480" w:after="120"/>
    </w:pPr>
    <w:rPr>
      <w:b/>
      <w:bCs/>
      <w:sz w:val="72"/>
      <w:szCs w:val="72"/>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HBqPgBmyyUyPyeoPJE7ZRx1w==">CgMxLjA4AHIhMVJETTVzX3h5anh1NGsyUWRYVklyNGtTMW44aExrNkhr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TotalTime>1</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2026-07-29T02:03:00Z</dcterms:created>
  <dc:creator>MF Corporation Company Limited</dc:creator>
  <cp:keywords>leasehold, THB, RUB, payment, template</cp:keywords>
  <cp:lastModifiedBy>WPS_1781160455</cp:lastModifiedBy>
  <dcterms:modified xsi:type="dcterms:W3CDTF">2026-07-28T20:26:52Z</dcterms:modified>
  <dc:subject>Reusable rental payment arrangement agency agreement</dc:subject>
  <dc:title>MF Rental Payment Agreement — Template RU/EN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1049-12.1.26015.26015</vt:lpwstr>
  </property>
  <property fmtid="{D5CDD505-2E9C-101B-9397-08002B2CF9AE}" pid="3" name="ICV">
    <vt:lpwstr>10B55CDB581FB56D189C686A074A1D1F_42</vt:lpwstr>
  </property>
</Properties>
</file>