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3A28"/>
          <w:sz w:val="80"/>
        </w:rPr>
        <w:t>DA21</w:t>
      </w:r>
    </w:p>
    <w:p>
      <w:pPr>
        <w:jc w:val="center"/>
      </w:pPr>
      <w:r>
        <w:rPr>
          <w:i/>
          <w:color w:val="C8A440"/>
          <w:sz w:val="28"/>
        </w:rPr>
        <w:t>Complexe d’Animation Touristique Intégré « de la ferme à l’assiette »</w:t>
      </w:r>
    </w:p>
    <w:p>
      <w:pPr>
        <w:jc w:val="center"/>
      </w:pPr>
      <w:r>
        <w:rPr>
          <w:sz w:val="22"/>
        </w:rPr>
        <w:t>Douar Labdadz, Commune de Tamazouzite — Province d’Al Haouz — 25 min de Marrakech</w:t>
        <w:br/>
        <w:t>DA21 SARL AU — Gérant fondateur : Karim ZOUBDANE</w:t>
      </w:r>
    </w:p>
    <w:p>
      <w:pPr>
        <w:spacing w:before="200"/>
        <w:jc w:val="center"/>
      </w:pPr>
      <w:r>
        <w:rPr>
          <w:b/>
          <w:color w:val="1B3A28"/>
          <w:sz w:val="26"/>
        </w:rPr>
        <w:t>BUSINESS PLAN — DOSSIER DE FINANCEMENT GO SIYAHA</w:t>
      </w:r>
    </w:p>
    <w:p>
      <w:pPr>
        <w:jc w:val="center"/>
      </w:pPr>
      <w:r>
        <w:rPr>
          <w:b/>
          <w:color w:val="C8A440"/>
          <w:sz w:val="22"/>
        </w:rPr>
        <w:t>Version actualisée — scénario 15 e-bikes</w:t>
      </w:r>
    </w:p>
    <w:p/>
    <w:p>
      <w:pPr>
        <w:spacing w:before="280" w:after="80"/>
        <w:pBdr>
          <w:bottom w:val="single" w:sz="6" w:space="2" w:color="C8A440"/>
        </w:pBdr>
      </w:pPr>
      <w:r>
        <w:rPr>
          <w:b/>
          <w:color w:val="1B3A28"/>
          <w:sz w:val="28"/>
        </w:rPr>
        <w:t>Note de mise à jour &amp; prompt d’actualisation du BP existant</w:t>
      </w:r>
    </w:p>
    <w:p>
      <w:pPr>
        <w:spacing w:after="120"/>
        <w:jc w:val="both"/>
      </w:pPr>
      <w:r>
        <w:rPr>
          <w:i w:val="0"/>
          <w:sz w:val="21"/>
        </w:rPr>
        <w:t>Ce document fournit (1) un prompt prêt à coller pour actualiser le BP graphique existant (version 10 e-bikes) sans en modifier les textes, la structure ni les couleurs, et (2) la version intégrale et exhaustive du BP recalée sur le dossier Excel VF et le DAP (scénario 15 e-bikes, investissement 983 486 DH, montage conforme GO SIYAHA : fonds propres 15 % / CMT 50 % / prime 35 %).</w:t>
      </w:r>
    </w:p>
    <w:p>
      <w:pPr>
        <w:spacing w:before="160" w:after="40"/>
      </w:pPr>
      <w:r>
        <w:rPr>
          <w:b/>
          <w:color w:val="152E1F"/>
          <w:sz w:val="23"/>
        </w:rPr>
        <w:t>Prompt à utiliser (copier-coller)</w:t>
      </w:r>
    </w:p>
    <w:tbl>
      <w:tblPr>
        <w:tblStyle w:val="TableGrid"/>
        <w:tblW w:type="auto" w:w="0"/>
        <w:jc w:val="center"/>
        <w:tblLook w:firstColumn="1" w:firstRow="1" w:lastColumn="0" w:lastRow="0" w:noHBand="0" w:noVBand="1" w:val="04A0"/>
      </w:tblPr>
      <w:tblGrid>
        <w:gridCol w:w="10200"/>
      </w:tblGrid>
      <w:tr>
        <w:tc>
          <w:tcPr>
            <w:tcW w:type="dxa" w:w="10200"/>
            <w:shd w:val="clear" w:fill="F5F0E8"/>
          </w:tcPr>
          <w:p>
            <w:r/>
            <w:r>
              <w:rPr>
                <w:i/>
                <w:color w:val="152E1F"/>
                <w:sz w:val="20"/>
              </w:rPr>
              <w:t>« Mets à jour le business plan DA21 ci-joint en ne changeant QUE les chiffres, sans toucher à la mise en page, à la structure des sections, aux couleurs, ni aux textes — sauf lorsqu’une phrase cite un chiffre modifié (ex. « 10 vélos », un montant d’investissement, un montant de CA ou de financement) : dans ce cas, mets le texte en cohérence avec le nouveau chiffre, et rien de plus. Applique strictement le tableau de correspondance ancien → nouveau ci-dessous. Corrige aussi deux coquilles : le nom du gérant est « Karim ZOUBDANE » (et non ZOUDANE), et la forme juridique est « DA21 SARL AU » (société à associé unique). Conserve à l’identique tout le reste. »</w:t>
            </w:r>
          </w:p>
        </w:tc>
      </w:tr>
    </w:tbl>
    <w:p/>
    <w:p>
      <w:pPr>
        <w:spacing w:before="160" w:after="40"/>
      </w:pPr>
      <w:r>
        <w:rPr>
          <w:b/>
          <w:color w:val="152E1F"/>
          <w:sz w:val="23"/>
        </w:rPr>
        <w:t>Tableau de correspondance — ancien (10 e-bikes) → nouveau (15 e-bikes)</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fill="1B3A28"/>
          </w:tcPr>
          <w:p>
            <w:pPr>
              <w:spacing w:after="20" w:before="20"/>
            </w:pPr>
            <w:r/>
            <w:r>
              <w:rPr>
                <w:b/>
                <w:color w:val="FFFFFF"/>
                <w:sz w:val="19"/>
              </w:rPr>
              <w:t>Élément</w:t>
            </w:r>
          </w:p>
        </w:tc>
        <w:tc>
          <w:tcPr>
            <w:tcW w:type="dxa" w:w="3005"/>
            <w:shd w:val="clear" w:fill="1B3A28"/>
          </w:tcPr>
          <w:p>
            <w:pPr>
              <w:spacing w:after="20" w:before="20"/>
              <w:jc w:val="center"/>
            </w:pPr>
            <w:r/>
            <w:r>
              <w:rPr>
                <w:b/>
                <w:color w:val="FFFFFF"/>
                <w:sz w:val="19"/>
              </w:rPr>
              <w:t>Ancien BP (10 vélos)</w:t>
            </w:r>
          </w:p>
        </w:tc>
        <w:tc>
          <w:tcPr>
            <w:tcW w:type="dxa" w:w="3685"/>
            <w:shd w:val="clear" w:fill="1B3A28"/>
          </w:tcPr>
          <w:p>
            <w:pPr>
              <w:spacing w:after="20" w:before="20"/>
              <w:jc w:val="center"/>
            </w:pPr>
            <w:r/>
            <w:r>
              <w:rPr>
                <w:b/>
                <w:color w:val="FFFFFF"/>
                <w:sz w:val="19"/>
              </w:rPr>
              <w:t>Nouveau BP (15 vélos)</w:t>
            </w:r>
          </w:p>
        </w:tc>
      </w:tr>
      <w:tr>
        <w:tc>
          <w:tcPr>
            <w:tcW w:type="dxa" w:w="2835"/>
          </w:tcPr>
          <w:p>
            <w:pPr>
              <w:spacing w:after="20" w:before="20"/>
            </w:pPr>
            <w:r/>
            <w:r>
              <w:rPr>
                <w:b/>
                <w:sz w:val="19"/>
              </w:rPr>
              <w:t>Nombre d’e-bikes</w:t>
            </w:r>
          </w:p>
        </w:tc>
        <w:tc>
          <w:tcPr>
            <w:tcW w:type="dxa" w:w="3005"/>
          </w:tcPr>
          <w:p>
            <w:pPr>
              <w:spacing w:after="20" w:before="20"/>
              <w:jc w:val="center"/>
            </w:pPr>
            <w:r/>
            <w:r>
              <w:rPr>
                <w:b w:val="0"/>
                <w:sz w:val="19"/>
              </w:rPr>
              <w:t>10</w:t>
            </w:r>
          </w:p>
        </w:tc>
        <w:tc>
          <w:tcPr>
            <w:tcW w:type="dxa" w:w="3685"/>
          </w:tcPr>
          <w:p>
            <w:pPr>
              <w:spacing w:after="20" w:before="20"/>
              <w:jc w:val="center"/>
            </w:pPr>
            <w:r/>
            <w:r>
              <w:rPr>
                <w:b w:val="0"/>
                <w:sz w:val="19"/>
              </w:rPr>
              <w:t>15</w:t>
            </w:r>
          </w:p>
        </w:tc>
      </w:tr>
      <w:tr>
        <w:tc>
          <w:tcPr>
            <w:tcW w:type="dxa" w:w="2835"/>
          </w:tcPr>
          <w:p>
            <w:pPr>
              <w:spacing w:after="20" w:before="20"/>
            </w:pPr>
            <w:r/>
            <w:r>
              <w:rPr>
                <w:b/>
                <w:sz w:val="19"/>
              </w:rPr>
              <w:t>Investissement total</w:t>
            </w:r>
          </w:p>
        </w:tc>
        <w:tc>
          <w:tcPr>
            <w:tcW w:type="dxa" w:w="3005"/>
          </w:tcPr>
          <w:p>
            <w:pPr>
              <w:spacing w:after="20" w:before="20"/>
              <w:jc w:val="center"/>
            </w:pPr>
            <w:r/>
            <w:r>
              <w:rPr>
                <w:b w:val="0"/>
                <w:sz w:val="19"/>
              </w:rPr>
              <w:t>1 025 000 DH (1 075 000 en p.3)</w:t>
            </w:r>
          </w:p>
        </w:tc>
        <w:tc>
          <w:tcPr>
            <w:tcW w:type="dxa" w:w="3685"/>
          </w:tcPr>
          <w:p>
            <w:pPr>
              <w:spacing w:after="20" w:before="20"/>
              <w:jc w:val="center"/>
            </w:pPr>
            <w:r/>
            <w:r>
              <w:rPr>
                <w:b w:val="0"/>
                <w:sz w:val="19"/>
              </w:rPr>
              <w:t>983 486 DH</w:t>
            </w:r>
          </w:p>
        </w:tc>
      </w:tr>
      <w:tr>
        <w:tc>
          <w:tcPr>
            <w:tcW w:type="dxa" w:w="2835"/>
          </w:tcPr>
          <w:p>
            <w:pPr>
              <w:spacing w:after="20" w:before="20"/>
            </w:pPr>
            <w:r/>
            <w:r>
              <w:rPr>
                <w:b/>
                <w:sz w:val="19"/>
              </w:rPr>
              <w:t>Apport / fonds propres</w:t>
            </w:r>
          </w:p>
        </w:tc>
        <w:tc>
          <w:tcPr>
            <w:tcW w:type="dxa" w:w="3005"/>
          </w:tcPr>
          <w:p>
            <w:pPr>
              <w:spacing w:after="20" w:before="20"/>
              <w:jc w:val="center"/>
            </w:pPr>
            <w:r/>
            <w:r>
              <w:rPr>
                <w:b w:val="0"/>
                <w:sz w:val="19"/>
              </w:rPr>
              <w:t>104 400 DH (10,2 %)</w:t>
            </w:r>
          </w:p>
        </w:tc>
        <w:tc>
          <w:tcPr>
            <w:tcW w:type="dxa" w:w="3685"/>
          </w:tcPr>
          <w:p>
            <w:pPr>
              <w:spacing w:after="20" w:before="20"/>
              <w:jc w:val="center"/>
            </w:pPr>
            <w:r/>
            <w:r>
              <w:rPr>
                <w:b w:val="0"/>
                <w:sz w:val="19"/>
              </w:rPr>
              <w:t>147 523 DH (15,0 %) — capital 20 000 + CCA 127 523</w:t>
            </w:r>
          </w:p>
        </w:tc>
      </w:tr>
      <w:tr>
        <w:tc>
          <w:tcPr>
            <w:tcW w:type="dxa" w:w="2835"/>
          </w:tcPr>
          <w:p>
            <w:pPr>
              <w:spacing w:after="20" w:before="20"/>
            </w:pPr>
            <w:r/>
            <w:r>
              <w:rPr>
                <w:b/>
                <w:sz w:val="19"/>
              </w:rPr>
              <w:t>CMT bancaire</w:t>
            </w:r>
          </w:p>
        </w:tc>
        <w:tc>
          <w:tcPr>
            <w:tcW w:type="dxa" w:w="3005"/>
          </w:tcPr>
          <w:p>
            <w:pPr>
              <w:spacing w:after="20" w:before="20"/>
              <w:jc w:val="center"/>
            </w:pPr>
            <w:r/>
            <w:r>
              <w:rPr>
                <w:b w:val="0"/>
                <w:sz w:val="19"/>
              </w:rPr>
              <w:t>597 550 DH (58,3 %)</w:t>
            </w:r>
          </w:p>
        </w:tc>
        <w:tc>
          <w:tcPr>
            <w:tcW w:type="dxa" w:w="3685"/>
          </w:tcPr>
          <w:p>
            <w:pPr>
              <w:spacing w:after="20" w:before="20"/>
              <w:jc w:val="center"/>
            </w:pPr>
            <w:r/>
            <w:r>
              <w:rPr>
                <w:b w:val="0"/>
                <w:sz w:val="19"/>
              </w:rPr>
              <w:t>491 743 DH (50,0 %)</w:t>
            </w:r>
          </w:p>
        </w:tc>
      </w:tr>
      <w:tr>
        <w:tc>
          <w:tcPr>
            <w:tcW w:type="dxa" w:w="2835"/>
          </w:tcPr>
          <w:p>
            <w:pPr>
              <w:spacing w:after="20" w:before="20"/>
            </w:pPr>
            <w:r/>
            <w:r>
              <w:rPr>
                <w:b/>
                <w:sz w:val="19"/>
              </w:rPr>
              <w:t>Prime GO SIYAHA</w:t>
            </w:r>
          </w:p>
        </w:tc>
        <w:tc>
          <w:tcPr>
            <w:tcW w:type="dxa" w:w="3005"/>
          </w:tcPr>
          <w:p>
            <w:pPr>
              <w:spacing w:after="20" w:before="20"/>
              <w:jc w:val="center"/>
            </w:pPr>
            <w:r/>
            <w:r>
              <w:rPr>
                <w:b w:val="0"/>
                <w:sz w:val="19"/>
              </w:rPr>
              <w:t>323 050 DH</w:t>
            </w:r>
          </w:p>
        </w:tc>
        <w:tc>
          <w:tcPr>
            <w:tcW w:type="dxa" w:w="3685"/>
          </w:tcPr>
          <w:p>
            <w:pPr>
              <w:spacing w:after="20" w:before="20"/>
              <w:jc w:val="center"/>
            </w:pPr>
            <w:r/>
            <w:r>
              <w:rPr>
                <w:b w:val="0"/>
                <w:sz w:val="19"/>
              </w:rPr>
              <w:t>344 220 DH (35 %)</w:t>
            </w:r>
          </w:p>
        </w:tc>
      </w:tr>
      <w:tr>
        <w:tc>
          <w:tcPr>
            <w:tcW w:type="dxa" w:w="2835"/>
          </w:tcPr>
          <w:p>
            <w:pPr>
              <w:spacing w:after="20" w:before="20"/>
            </w:pPr>
            <w:r/>
            <w:r>
              <w:rPr>
                <w:b/>
                <w:sz w:val="19"/>
              </w:rPr>
              <w:t>CA An1</w:t>
            </w:r>
          </w:p>
        </w:tc>
        <w:tc>
          <w:tcPr>
            <w:tcW w:type="dxa" w:w="3005"/>
          </w:tcPr>
          <w:p>
            <w:pPr>
              <w:spacing w:after="20" w:before="20"/>
              <w:jc w:val="center"/>
            </w:pPr>
            <w:r/>
            <w:r>
              <w:rPr>
                <w:b w:val="0"/>
                <w:sz w:val="19"/>
              </w:rPr>
              <w:t>823 250 DH</w:t>
            </w:r>
          </w:p>
        </w:tc>
        <w:tc>
          <w:tcPr>
            <w:tcW w:type="dxa" w:w="3685"/>
          </w:tcPr>
          <w:p>
            <w:pPr>
              <w:spacing w:after="20" w:before="20"/>
              <w:jc w:val="center"/>
            </w:pPr>
            <w:r/>
            <w:r>
              <w:rPr>
                <w:b w:val="0"/>
                <w:sz w:val="19"/>
              </w:rPr>
              <w:t>520 000 DH</w:t>
            </w:r>
          </w:p>
        </w:tc>
      </w:tr>
      <w:tr>
        <w:tc>
          <w:tcPr>
            <w:tcW w:type="dxa" w:w="2835"/>
          </w:tcPr>
          <w:p>
            <w:pPr>
              <w:spacing w:after="20" w:before="20"/>
            </w:pPr>
            <w:r/>
            <w:r>
              <w:rPr>
                <w:b/>
                <w:sz w:val="19"/>
              </w:rPr>
              <w:t>CA An5</w:t>
            </w:r>
          </w:p>
        </w:tc>
        <w:tc>
          <w:tcPr>
            <w:tcW w:type="dxa" w:w="3005"/>
          </w:tcPr>
          <w:p>
            <w:pPr>
              <w:spacing w:after="20" w:before="20"/>
              <w:jc w:val="center"/>
            </w:pPr>
            <w:r/>
            <w:r>
              <w:rPr>
                <w:b w:val="0"/>
                <w:sz w:val="19"/>
              </w:rPr>
              <w:t>1 806 850 DH</w:t>
            </w:r>
          </w:p>
        </w:tc>
        <w:tc>
          <w:tcPr>
            <w:tcW w:type="dxa" w:w="3685"/>
          </w:tcPr>
          <w:p>
            <w:pPr>
              <w:spacing w:after="20" w:before="20"/>
              <w:jc w:val="center"/>
            </w:pPr>
            <w:r/>
            <w:r>
              <w:rPr>
                <w:b w:val="0"/>
                <w:sz w:val="19"/>
              </w:rPr>
              <w:t>1 957 000 DH</w:t>
            </w:r>
          </w:p>
        </w:tc>
      </w:tr>
      <w:tr>
        <w:tc>
          <w:tcPr>
            <w:tcW w:type="dxa" w:w="2835"/>
          </w:tcPr>
          <w:p>
            <w:pPr>
              <w:spacing w:after="20" w:before="20"/>
            </w:pPr>
            <w:r/>
            <w:r>
              <w:rPr>
                <w:b/>
                <w:sz w:val="19"/>
              </w:rPr>
              <w:t>Résultat net An1</w:t>
            </w:r>
          </w:p>
        </w:tc>
        <w:tc>
          <w:tcPr>
            <w:tcW w:type="dxa" w:w="3005"/>
          </w:tcPr>
          <w:p>
            <w:pPr>
              <w:spacing w:after="20" w:before="20"/>
              <w:jc w:val="center"/>
            </w:pPr>
            <w:r/>
            <w:r>
              <w:rPr>
                <w:b w:val="0"/>
                <w:sz w:val="19"/>
              </w:rPr>
              <w:t>15 620 DH</w:t>
            </w:r>
          </w:p>
        </w:tc>
        <w:tc>
          <w:tcPr>
            <w:tcW w:type="dxa" w:w="3685"/>
          </w:tcPr>
          <w:p>
            <w:pPr>
              <w:spacing w:after="20" w:before="20"/>
              <w:jc w:val="center"/>
            </w:pPr>
            <w:r/>
            <w:r>
              <w:rPr>
                <w:b w:val="0"/>
                <w:sz w:val="19"/>
              </w:rPr>
              <w:t>27 000 DH</w:t>
            </w:r>
          </w:p>
        </w:tc>
      </w:tr>
      <w:tr>
        <w:tc>
          <w:tcPr>
            <w:tcW w:type="dxa" w:w="2835"/>
          </w:tcPr>
          <w:p>
            <w:pPr>
              <w:spacing w:after="20" w:before="20"/>
            </w:pPr>
            <w:r/>
            <w:r>
              <w:rPr>
                <w:b/>
                <w:sz w:val="19"/>
              </w:rPr>
              <w:t>CAF An1 / An5</w:t>
            </w:r>
          </w:p>
        </w:tc>
        <w:tc>
          <w:tcPr>
            <w:tcW w:type="dxa" w:w="3005"/>
          </w:tcPr>
          <w:p>
            <w:pPr>
              <w:spacing w:after="20" w:before="20"/>
              <w:jc w:val="center"/>
            </w:pPr>
            <w:r/>
            <w:r>
              <w:rPr>
                <w:b w:val="0"/>
                <w:sz w:val="19"/>
              </w:rPr>
              <w:t>136 995 / 666 751 DH</w:t>
            </w:r>
          </w:p>
        </w:tc>
        <w:tc>
          <w:tcPr>
            <w:tcW w:type="dxa" w:w="3685"/>
          </w:tcPr>
          <w:p>
            <w:pPr>
              <w:spacing w:after="20" w:before="20"/>
              <w:jc w:val="center"/>
            </w:pPr>
            <w:r/>
            <w:r>
              <w:rPr>
                <w:b w:val="0"/>
                <w:sz w:val="19"/>
              </w:rPr>
              <w:t>106 000 / 761 000 DH</w:t>
            </w:r>
          </w:p>
        </w:tc>
      </w:tr>
      <w:tr>
        <w:tc>
          <w:tcPr>
            <w:tcW w:type="dxa" w:w="2835"/>
          </w:tcPr>
          <w:p>
            <w:pPr>
              <w:spacing w:after="20" w:before="20"/>
            </w:pPr>
            <w:r/>
            <w:r>
              <w:rPr>
                <w:b/>
                <w:sz w:val="19"/>
              </w:rPr>
              <w:t>CA e-bike An1</w:t>
            </w:r>
          </w:p>
        </w:tc>
        <w:tc>
          <w:tcPr>
            <w:tcW w:type="dxa" w:w="3005"/>
          </w:tcPr>
          <w:p>
            <w:pPr>
              <w:spacing w:after="20" w:before="20"/>
              <w:jc w:val="center"/>
            </w:pPr>
            <w:r/>
            <w:r>
              <w:rPr>
                <w:b w:val="0"/>
                <w:sz w:val="19"/>
              </w:rPr>
              <w:t>232 200 DH</w:t>
            </w:r>
          </w:p>
        </w:tc>
        <w:tc>
          <w:tcPr>
            <w:tcW w:type="dxa" w:w="3685"/>
          </w:tcPr>
          <w:p>
            <w:pPr>
              <w:spacing w:after="20" w:before="20"/>
              <w:jc w:val="center"/>
            </w:pPr>
            <w:r/>
            <w:r>
              <w:rPr>
                <w:b w:val="0"/>
                <w:sz w:val="19"/>
              </w:rPr>
              <w:t>200 000 DH</w:t>
            </w:r>
          </w:p>
        </w:tc>
      </w:tr>
      <w:tr>
        <w:tc>
          <w:tcPr>
            <w:tcW w:type="dxa" w:w="2835"/>
          </w:tcPr>
          <w:p>
            <w:pPr>
              <w:spacing w:after="20" w:before="20"/>
            </w:pPr>
            <w:r/>
            <w:r>
              <w:rPr>
                <w:b/>
                <w:sz w:val="19"/>
              </w:rPr>
              <w:t>Nom du gérant</w:t>
            </w:r>
          </w:p>
        </w:tc>
        <w:tc>
          <w:tcPr>
            <w:tcW w:type="dxa" w:w="3005"/>
          </w:tcPr>
          <w:p>
            <w:pPr>
              <w:spacing w:after="20" w:before="20"/>
              <w:jc w:val="center"/>
            </w:pPr>
            <w:r/>
            <w:r>
              <w:rPr>
                <w:b w:val="0"/>
                <w:sz w:val="19"/>
              </w:rPr>
              <w:t>Karim ZOUDANE</w:t>
            </w:r>
          </w:p>
        </w:tc>
        <w:tc>
          <w:tcPr>
            <w:tcW w:type="dxa" w:w="3685"/>
          </w:tcPr>
          <w:p>
            <w:pPr>
              <w:spacing w:after="20" w:before="20"/>
              <w:jc w:val="center"/>
            </w:pPr>
            <w:r/>
            <w:r>
              <w:rPr>
                <w:b w:val="0"/>
                <w:sz w:val="19"/>
              </w:rPr>
              <w:t>Karim ZOUBDANE</w:t>
            </w:r>
          </w:p>
        </w:tc>
      </w:tr>
      <w:tr>
        <w:tc>
          <w:tcPr>
            <w:tcW w:type="dxa" w:w="2835"/>
          </w:tcPr>
          <w:p>
            <w:pPr>
              <w:spacing w:after="20" w:before="20"/>
            </w:pPr>
            <w:r/>
            <w:r>
              <w:rPr>
                <w:b/>
                <w:sz w:val="19"/>
              </w:rPr>
              <w:t>Forme juridique</w:t>
            </w:r>
          </w:p>
        </w:tc>
        <w:tc>
          <w:tcPr>
            <w:tcW w:type="dxa" w:w="3005"/>
          </w:tcPr>
          <w:p>
            <w:pPr>
              <w:spacing w:after="20" w:before="20"/>
              <w:jc w:val="center"/>
            </w:pPr>
            <w:r/>
            <w:r>
              <w:rPr>
                <w:b w:val="0"/>
                <w:sz w:val="19"/>
              </w:rPr>
              <w:t>DA21 S.A.R.L</w:t>
            </w:r>
          </w:p>
        </w:tc>
        <w:tc>
          <w:tcPr>
            <w:tcW w:type="dxa" w:w="3685"/>
          </w:tcPr>
          <w:p>
            <w:pPr>
              <w:spacing w:after="20" w:before="20"/>
              <w:jc w:val="center"/>
            </w:pPr>
            <w:r/>
            <w:r>
              <w:rPr>
                <w:b w:val="0"/>
                <w:sz w:val="19"/>
              </w:rPr>
              <w:t>DA21 SARL AU</w:t>
            </w:r>
          </w:p>
        </w:tc>
      </w:tr>
    </w:tbl>
    <w:p>
      <w:pPr>
        <w:spacing w:after="40"/>
      </w:pPr>
    </w:p>
    <w:p>
      <w:pPr>
        <w:spacing w:after="40"/>
        <w:jc w:val="both"/>
      </w:pPr>
      <w:r>
        <w:rPr>
          <w:i/>
          <w:sz w:val="19"/>
        </w:rPr>
        <w:t>Note : tous les autres blocs de texte (concept, positionnement, segments, concurrence, marketing, risques, conclusion) restent valables tels quels ; ils ne sont pas modifiés.</w:t>
      </w:r>
    </w:p>
    <w:p>
      <w:pPr>
        <w:spacing w:before="280" w:after="80"/>
        <w:pBdr>
          <w:bottom w:val="single" w:sz="6" w:space="2" w:color="C8A440"/>
        </w:pBdr>
      </w:pPr>
      <w:r>
        <w:rPr>
          <w:b/>
          <w:color w:val="1B3A28"/>
          <w:sz w:val="28"/>
        </w:rPr>
        <w:t>Sommaire</w:t>
      </w:r>
    </w:p>
    <w:p>
      <w:pPr>
        <w:spacing w:after="20"/>
      </w:pPr>
      <w:r>
        <w:rPr>
          <w:sz w:val="21"/>
        </w:rPr>
        <w:t>1.  En bref — synthèse chiffrée</w:t>
      </w:r>
    </w:p>
    <w:p>
      <w:pPr>
        <w:spacing w:after="20"/>
      </w:pPr>
      <w:r>
        <w:rPr>
          <w:sz w:val="21"/>
        </w:rPr>
        <w:t>2.  Les promoteurs</w:t>
      </w:r>
    </w:p>
    <w:p>
      <w:pPr>
        <w:spacing w:after="20"/>
      </w:pPr>
      <w:r>
        <w:rPr>
          <w:sz w:val="21"/>
        </w:rPr>
        <w:t>3.  Présentation du projet</w:t>
      </w:r>
    </w:p>
    <w:p>
      <w:pPr>
        <w:spacing w:after="20"/>
      </w:pPr>
      <w:r>
        <w:rPr>
          <w:sz w:val="21"/>
        </w:rPr>
        <w:t>4.  Calendrier de réalisation</w:t>
      </w:r>
    </w:p>
    <w:p>
      <w:pPr>
        <w:spacing w:after="20"/>
      </w:pPr>
      <w:r>
        <w:rPr>
          <w:sz w:val="21"/>
        </w:rPr>
        <w:t>5.  Positionnement stratégique</w:t>
      </w:r>
    </w:p>
    <w:p>
      <w:pPr>
        <w:spacing w:after="20"/>
      </w:pPr>
      <w:r>
        <w:rPr>
          <w:sz w:val="21"/>
        </w:rPr>
        <w:t>6.  Étude de marché &amp; segmentation</w:t>
      </w:r>
    </w:p>
    <w:p>
      <w:pPr>
        <w:spacing w:after="20"/>
      </w:pPr>
      <w:r>
        <w:rPr>
          <w:sz w:val="21"/>
        </w:rPr>
        <w:t>7.  Alignement stratégique / éligibilité</w:t>
      </w:r>
    </w:p>
    <w:p>
      <w:pPr>
        <w:spacing w:after="20"/>
      </w:pPr>
      <w:r>
        <w:rPr>
          <w:sz w:val="21"/>
        </w:rPr>
        <w:t>8.  Analyse concurrentielle</w:t>
      </w:r>
    </w:p>
    <w:p>
      <w:pPr>
        <w:spacing w:after="20"/>
      </w:pPr>
      <w:r>
        <w:rPr>
          <w:sz w:val="21"/>
        </w:rPr>
        <w:t>9.  Stratégie marketing &amp; distribution</w:t>
      </w:r>
    </w:p>
    <w:p>
      <w:pPr>
        <w:spacing w:after="20"/>
      </w:pPr>
      <w:r>
        <w:rPr>
          <w:sz w:val="21"/>
        </w:rPr>
        <w:t>10.  Organisation &amp; ressources humaines</w:t>
      </w:r>
    </w:p>
    <w:p>
      <w:pPr>
        <w:spacing w:after="20"/>
      </w:pPr>
      <w:r>
        <w:rPr>
          <w:sz w:val="21"/>
        </w:rPr>
        <w:t>11.  Plan d’investissement &amp; financement</w:t>
      </w:r>
    </w:p>
    <w:p>
      <w:pPr>
        <w:spacing w:after="20"/>
      </w:pPr>
      <w:r>
        <w:rPr>
          <w:sz w:val="21"/>
        </w:rPr>
        <w:t>12.  Hypothèses commerciales &amp; prévisionnel financier</w:t>
      </w:r>
    </w:p>
    <w:p>
      <w:pPr>
        <w:spacing w:after="20"/>
      </w:pPr>
      <w:r>
        <w:rPr>
          <w:sz w:val="21"/>
        </w:rPr>
        <w:t>13.  Analyse des risques</w:t>
      </w:r>
    </w:p>
    <w:p>
      <w:pPr>
        <w:spacing w:after="20"/>
      </w:pPr>
      <w:r>
        <w:rPr>
          <w:sz w:val="21"/>
        </w:rPr>
        <w:t>14.  Synthèse &amp; conclusion</w:t>
      </w:r>
    </w:p>
    <w:p>
      <w:pPr>
        <w:spacing w:after="20"/>
      </w:pPr>
      <w:r>
        <w:rPr>
          <w:sz w:val="21"/>
        </w:rPr>
        <w:t>15.  Annexes — pièces du dossier</w:t>
      </w:r>
    </w:p>
    <w:p>
      <w:pPr>
        <w:spacing w:before="280" w:after="80"/>
        <w:pBdr>
          <w:bottom w:val="single" w:sz="6" w:space="2" w:color="C8A440"/>
        </w:pBdr>
      </w:pPr>
      <w:r>
        <w:rPr>
          <w:b/>
          <w:color w:val="1B3A28"/>
          <w:sz w:val="28"/>
        </w:rPr>
        <w:t>1.  En bref — synthèse chiffrée du projet</w:t>
      </w:r>
    </w:p>
    <w:tbl>
      <w:tblPr>
        <w:tblStyle w:val="TableGrid"/>
        <w:tblW w:type="auto" w:w="0"/>
        <w:jc w:val="center"/>
        <w:tblLook w:firstColumn="1" w:firstRow="1" w:lastColumn="0" w:lastRow="0" w:noHBand="0" w:noVBand="1" w:val="04A0"/>
      </w:tblPr>
      <w:tblGrid>
        <w:gridCol w:w="5100"/>
        <w:gridCol w:w="5100"/>
      </w:tblGrid>
      <w:tr>
        <w:tc>
          <w:tcPr>
            <w:tcW w:type="dxa" w:w="2041"/>
            <w:shd w:val="clear" w:fill="1B3A28"/>
          </w:tcPr>
          <w:p>
            <w:pPr>
              <w:spacing w:after="20" w:before="20"/>
            </w:pPr>
            <w:r/>
            <w:r>
              <w:rPr>
                <w:b/>
                <w:color w:val="FFFFFF"/>
                <w:sz w:val="19"/>
              </w:rPr>
              <w:t>Volet</w:t>
            </w:r>
          </w:p>
        </w:tc>
        <w:tc>
          <w:tcPr>
            <w:tcW w:type="dxa" w:w="7370"/>
            <w:shd w:val="clear" w:fill="1B3A28"/>
          </w:tcPr>
          <w:p>
            <w:pPr>
              <w:spacing w:after="20" w:before="20"/>
              <w:jc w:val="center"/>
            </w:pPr>
            <w:r/>
            <w:r>
              <w:rPr>
                <w:b/>
                <w:color w:val="FFFFFF"/>
                <w:sz w:val="19"/>
              </w:rPr>
              <w:t>Données clés</w:t>
            </w:r>
          </w:p>
        </w:tc>
      </w:tr>
      <w:tr>
        <w:tc>
          <w:tcPr>
            <w:tcW w:type="dxa" w:w="2041"/>
          </w:tcPr>
          <w:p>
            <w:pPr>
              <w:spacing w:after="20" w:before="20"/>
            </w:pPr>
            <w:r/>
            <w:r>
              <w:rPr>
                <w:b/>
                <w:sz w:val="19"/>
              </w:rPr>
              <w:t>Le produit</w:t>
            </w:r>
          </w:p>
        </w:tc>
        <w:tc>
          <w:tcPr>
            <w:tcW w:type="dxa" w:w="7370"/>
          </w:tcPr>
          <w:p>
            <w:pPr>
              <w:spacing w:after="20" w:before="20"/>
              <w:jc w:val="center"/>
            </w:pPr>
            <w:r/>
            <w:r>
              <w:rPr>
                <w:b w:val="0"/>
                <w:sz w:val="19"/>
              </w:rPr>
              <w:t>Complexe d’animation touristique intégré sur 1 ha d’oliveraie adulte, 3 offres : e-bike/Fatbike (15 vélos), paintball (20 joueurs), ateliers cuisine (15 places). Piscine = prestation complémentaire de détente.</w:t>
            </w:r>
          </w:p>
        </w:tc>
      </w:tr>
      <w:tr>
        <w:tc>
          <w:tcPr>
            <w:tcW w:type="dxa" w:w="2041"/>
          </w:tcPr>
          <w:p>
            <w:pPr>
              <w:spacing w:after="20" w:before="20"/>
            </w:pPr>
            <w:r/>
            <w:r>
              <w:rPr>
                <w:b/>
                <w:sz w:val="19"/>
              </w:rPr>
              <w:t>Le financement</w:t>
            </w:r>
          </w:p>
        </w:tc>
        <w:tc>
          <w:tcPr>
            <w:tcW w:type="dxa" w:w="7370"/>
          </w:tcPr>
          <w:p>
            <w:pPr>
              <w:spacing w:after="20" w:before="20"/>
              <w:jc w:val="center"/>
            </w:pPr>
            <w:r/>
            <w:r>
              <w:rPr>
                <w:b w:val="0"/>
                <w:sz w:val="19"/>
              </w:rPr>
              <w:t>Investissement global 983 486 DH. Fonds propres (capital + CCA) 147 523 DH (15 %). CMT bancaire 491 743 DH (50 %). Prime GO SIYAHA 344 220 DH (35 %).</w:t>
            </w:r>
          </w:p>
        </w:tc>
      </w:tr>
      <w:tr>
        <w:tc>
          <w:tcPr>
            <w:tcW w:type="dxa" w:w="2041"/>
          </w:tcPr>
          <w:p>
            <w:pPr>
              <w:spacing w:after="20" w:before="20"/>
            </w:pPr>
            <w:r/>
            <w:r>
              <w:rPr>
                <w:b/>
                <w:sz w:val="19"/>
              </w:rPr>
              <w:t>Le différenciateur</w:t>
            </w:r>
          </w:p>
        </w:tc>
        <w:tc>
          <w:tcPr>
            <w:tcW w:type="dxa" w:w="7370"/>
          </w:tcPr>
          <w:p>
            <w:pPr>
              <w:spacing w:after="20" w:before="20"/>
              <w:jc w:val="center"/>
            </w:pPr>
            <w:r/>
            <w:r>
              <w:rPr>
                <w:b w:val="0"/>
                <w:sz w:val="19"/>
              </w:rPr>
              <w:t>Site naturel d’oliviers adultes ; balades e-bike accessibles à travers douar et champs ; paintball nocturne UV/Blacklight ; expérience « du jardin à l’assiette ».</w:t>
            </w:r>
          </w:p>
        </w:tc>
      </w:tr>
      <w:tr>
        <w:tc>
          <w:tcPr>
            <w:tcW w:type="dxa" w:w="2041"/>
          </w:tcPr>
          <w:p>
            <w:pPr>
              <w:spacing w:after="20" w:before="20"/>
            </w:pPr>
            <w:r/>
            <w:r>
              <w:rPr>
                <w:b/>
                <w:sz w:val="19"/>
              </w:rPr>
              <w:t>Les résultats</w:t>
            </w:r>
          </w:p>
        </w:tc>
        <w:tc>
          <w:tcPr>
            <w:tcW w:type="dxa" w:w="7370"/>
          </w:tcPr>
          <w:p>
            <w:pPr>
              <w:spacing w:after="20" w:before="20"/>
              <w:jc w:val="center"/>
            </w:pPr>
            <w:r/>
            <w:r>
              <w:rPr>
                <w:b w:val="0"/>
                <w:sz w:val="19"/>
              </w:rPr>
              <w:t>CA An1 520 000 DH → An5 1 957 000 DH. Résultat net An1 27 000 DH. CAF An1 106 000 DH → An5 761 000 DH.</w:t>
            </w:r>
          </w:p>
        </w:tc>
      </w:tr>
    </w:tbl>
    <w:p>
      <w:pPr>
        <w:spacing w:after="40"/>
      </w:pPr>
    </w:p>
    <w:p>
      <w:pPr>
        <w:spacing w:after="80"/>
        <w:jc w:val="both"/>
      </w:pPr>
      <w:r>
        <w:rPr>
          <w:i/>
          <w:sz w:val="21"/>
        </w:rPr>
        <w:t>La capacité d’autofinancement couvre largement le service de la dette, renforcée en An1 par l’année de grâce en capital du CMT.</w:t>
      </w:r>
    </w:p>
    <w:p>
      <w:pPr>
        <w:spacing w:before="280" w:after="80"/>
        <w:pBdr>
          <w:bottom w:val="single" w:sz="6" w:space="2" w:color="C8A440"/>
        </w:pBdr>
      </w:pPr>
      <w:r>
        <w:rPr>
          <w:b/>
          <w:color w:val="1B3A28"/>
          <w:sz w:val="28"/>
        </w:rPr>
        <w:t>2.  Les promoteurs</w:t>
      </w:r>
    </w:p>
    <w:p>
      <w:pPr>
        <w:spacing w:before="160" w:after="40"/>
      </w:pPr>
      <w:r>
        <w:rPr>
          <w:b/>
          <w:color w:val="152E1F"/>
          <w:sz w:val="23"/>
        </w:rPr>
        <w:t>Karim ZOUBDANE — Gérant fondateur</w:t>
      </w:r>
    </w:p>
    <w:p>
      <w:pPr>
        <w:spacing w:after="80"/>
        <w:jc w:val="both"/>
      </w:pPr>
      <w:r>
        <w:rPr>
          <w:i w:val="0"/>
          <w:sz w:val="21"/>
        </w:rPr>
        <w:t>Double expertise en finance bancaire et en tourisme : structuration financière, analyse du risque, gestion, suivi opérationnel et relation avec les partenaires financiers.</w:t>
      </w:r>
    </w:p>
    <w:p>
      <w:pPr>
        <w:spacing w:before="160" w:after="40"/>
      </w:pPr>
      <w:r>
        <w:rPr>
          <w:b/>
          <w:color w:val="152E1F"/>
          <w:sz w:val="23"/>
        </w:rPr>
        <w:t>Voyages 21 — Partenaire commercial stratégique</w:t>
      </w:r>
    </w:p>
    <w:p>
      <w:pPr>
        <w:spacing w:after="80"/>
        <w:jc w:val="both"/>
      </w:pPr>
      <w:r>
        <w:rPr>
          <w:i w:val="0"/>
          <w:sz w:val="21"/>
        </w:rPr>
        <w:t>Agence active depuis 25 ans, apportant capacité de commercialisation, connaissance client et un canal naturel pour intégrer l’offre DA21 dans des programmes, circuits, groupes et formules journée.</w:t>
      </w:r>
    </w:p>
    <w:p>
      <w:pPr>
        <w:pStyle w:val="ListBullet"/>
        <w:spacing w:after="20"/>
      </w:pPr>
      <w:r>
        <w:rPr>
          <w:sz w:val="20"/>
        </w:rPr>
        <w:t>Expertise financière — Vision financière, lecture du risque, suivi bancaire, pilotage du plan de financement.</w:t>
      </w:r>
    </w:p>
    <w:p>
      <w:pPr>
        <w:pStyle w:val="ListBullet"/>
        <w:spacing w:after="20"/>
      </w:pPr>
      <w:r>
        <w:rPr>
          <w:sz w:val="20"/>
        </w:rPr>
        <w:t>Expérience touristique — Connaissance du terrain et des attentes clients, capacité à ajuster les offres.</w:t>
      </w:r>
    </w:p>
    <w:p>
      <w:pPr>
        <w:pStyle w:val="ListBullet"/>
        <w:spacing w:after="20"/>
      </w:pPr>
      <w:r>
        <w:rPr>
          <w:sz w:val="20"/>
        </w:rPr>
        <w:t>Canal commercial — Voyages 21 amorce la fréquentation et réduit la dépendance initiale aux plateformes.</w:t>
      </w:r>
    </w:p>
    <w:p>
      <w:pPr>
        <w:spacing w:before="280" w:after="80"/>
        <w:pBdr>
          <w:bottom w:val="single" w:sz="6" w:space="2" w:color="C8A440"/>
        </w:pBdr>
      </w:pPr>
      <w:r>
        <w:rPr>
          <w:b/>
          <w:color w:val="1B3A28"/>
          <w:sz w:val="28"/>
        </w:rPr>
        <w:t>3.  Présentation du projet</w:t>
      </w:r>
    </w:p>
    <w:p>
      <w:pPr>
        <w:spacing w:after="80"/>
        <w:jc w:val="both"/>
      </w:pPr>
      <w:r>
        <w:rPr>
          <w:i w:val="0"/>
          <w:sz w:val="21"/>
        </w:rPr>
        <w:t>DA21 est un complexe d’animation touristique intégré implanté à Douar Labdadz, Commune de Tamazouzite, Province d’Al Haouz, à environ 25 minutes de Marrakech, sur 1 hectare planté d’oliviers adultes : cadre naturel ombragé propice aux activités de plein air, promenades et pique-niques.</w:t>
      </w:r>
    </w:p>
    <w:tbl>
      <w:tblPr>
        <w:tblStyle w:val="TableGrid"/>
        <w:tblW w:type="auto" w:w="0"/>
        <w:jc w:val="center"/>
        <w:tblLook w:firstColumn="1" w:firstRow="1" w:lastColumn="0" w:lastRow="0" w:noHBand="0" w:noVBand="1" w:val="04A0"/>
      </w:tblPr>
      <w:tblGrid>
        <w:gridCol w:w="5100"/>
        <w:gridCol w:w="5100"/>
      </w:tblGrid>
      <w:tr>
        <w:tc>
          <w:tcPr>
            <w:tcW w:type="dxa" w:w="2041"/>
            <w:shd w:val="clear" w:fill="1B3A28"/>
          </w:tcPr>
          <w:p>
            <w:pPr>
              <w:spacing w:after="20" w:before="20"/>
            </w:pPr>
            <w:r/>
            <w:r>
              <w:rPr>
                <w:b/>
                <w:color w:val="FFFFFF"/>
                <w:sz w:val="19"/>
              </w:rPr>
              <w:t>Pôle</w:t>
            </w:r>
          </w:p>
        </w:tc>
        <w:tc>
          <w:tcPr>
            <w:tcW w:type="dxa" w:w="7370"/>
            <w:shd w:val="clear" w:fill="1B3A28"/>
          </w:tcPr>
          <w:p>
            <w:pPr>
              <w:spacing w:after="20" w:before="20"/>
              <w:jc w:val="center"/>
            </w:pPr>
            <w:r/>
            <w:r>
              <w:rPr>
                <w:b/>
                <w:color w:val="FFFFFF"/>
                <w:sz w:val="19"/>
              </w:rPr>
              <w:t>Description</w:t>
            </w:r>
          </w:p>
        </w:tc>
      </w:tr>
      <w:tr>
        <w:tc>
          <w:tcPr>
            <w:tcW w:type="dxa" w:w="2041"/>
          </w:tcPr>
          <w:p>
            <w:pPr>
              <w:spacing w:after="20" w:before="20"/>
            </w:pPr>
            <w:r/>
            <w:r>
              <w:rPr>
                <w:b/>
                <w:sz w:val="19"/>
              </w:rPr>
              <w:t>E-bike / Fatbike</w:t>
            </w:r>
          </w:p>
        </w:tc>
        <w:tc>
          <w:tcPr>
            <w:tcW w:type="dxa" w:w="7370"/>
          </w:tcPr>
          <w:p>
            <w:pPr>
              <w:spacing w:after="20" w:before="20"/>
              <w:jc w:val="center"/>
            </w:pPr>
            <w:r/>
            <w:r>
              <w:rPr>
                <w:b w:val="0"/>
                <w:sz w:val="19"/>
              </w:rPr>
              <w:t>15 e-bikes et fatbikes pour des balades accessibles à travers douar, chemins agricoles et champs (sans positionnement randonnée sportive longue).</w:t>
            </w:r>
          </w:p>
        </w:tc>
      </w:tr>
      <w:tr>
        <w:tc>
          <w:tcPr>
            <w:tcW w:type="dxa" w:w="2041"/>
          </w:tcPr>
          <w:p>
            <w:pPr>
              <w:spacing w:after="20" w:before="20"/>
            </w:pPr>
            <w:r/>
            <w:r>
              <w:rPr>
                <w:b/>
                <w:sz w:val="19"/>
              </w:rPr>
              <w:t>Paintball</w:t>
            </w:r>
          </w:p>
        </w:tc>
        <w:tc>
          <w:tcPr>
            <w:tcW w:type="dxa" w:w="7370"/>
          </w:tcPr>
          <w:p>
            <w:pPr>
              <w:spacing w:after="20" w:before="20"/>
              <w:jc w:val="center"/>
            </w:pPr>
            <w:r/>
            <w:r>
              <w:rPr>
                <w:b w:val="0"/>
                <w:sz w:val="19"/>
              </w:rPr>
              <w:t>Activité outdoor encadrée et sécurisée, adaptée aux groupes/familles/anniversaires/team-building, de jour ET nocturne avec lumières UV/Blacklight.</w:t>
            </w:r>
          </w:p>
        </w:tc>
      </w:tr>
      <w:tr>
        <w:tc>
          <w:tcPr>
            <w:tcW w:type="dxa" w:w="2041"/>
          </w:tcPr>
          <w:p>
            <w:pPr>
              <w:spacing w:after="20" w:before="20"/>
            </w:pPr>
            <w:r/>
            <w:r>
              <w:rPr>
                <w:b/>
                <w:sz w:val="19"/>
              </w:rPr>
              <w:t>Ateliers cuisine</w:t>
            </w:r>
          </w:p>
        </w:tc>
        <w:tc>
          <w:tcPr>
            <w:tcW w:type="dxa" w:w="7370"/>
          </w:tcPr>
          <w:p>
            <w:pPr>
              <w:spacing w:after="20" w:before="20"/>
              <w:jc w:val="center"/>
            </w:pPr>
            <w:r/>
            <w:r>
              <w:rPr>
                <w:b w:val="0"/>
                <w:sz w:val="19"/>
              </w:rPr>
              <w:t>Expérience culinaire marocaine liée au terroir et aux produits locaux, dans l’esprit « du jardin à l’assiette ».</w:t>
            </w:r>
          </w:p>
        </w:tc>
      </w:tr>
      <w:tr>
        <w:tc>
          <w:tcPr>
            <w:tcW w:type="dxa" w:w="2041"/>
          </w:tcPr>
          <w:p>
            <w:pPr>
              <w:spacing w:after="20" w:before="20"/>
            </w:pPr>
            <w:r/>
            <w:r>
              <w:rPr>
                <w:b/>
                <w:sz w:val="19"/>
              </w:rPr>
              <w:t>Piscine</w:t>
            </w:r>
          </w:p>
        </w:tc>
        <w:tc>
          <w:tcPr>
            <w:tcW w:type="dxa" w:w="7370"/>
          </w:tcPr>
          <w:p>
            <w:pPr>
              <w:spacing w:after="20" w:before="20"/>
              <w:jc w:val="center"/>
            </w:pPr>
            <w:r/>
            <w:r>
              <w:rPr>
                <w:b w:val="0"/>
                <w:sz w:val="19"/>
              </w:rPr>
              <w:t>Prestation complémentaire de détente après activité : levier d’attractivité estivale et argument commercial.</w:t>
            </w:r>
          </w:p>
        </w:tc>
      </w:tr>
    </w:tbl>
    <w:p>
      <w:pPr>
        <w:spacing w:after="40"/>
      </w:pPr>
    </w:p>
    <w:p>
      <w:pPr>
        <w:spacing w:after="80"/>
        <w:jc w:val="both"/>
      </w:pPr>
      <w:r>
        <w:rPr>
          <w:i w:val="0"/>
          <w:sz w:val="21"/>
        </w:rPr>
        <w:t>Éléments supports : accueil mutualisé ; infrastructures communes légères (sanitaires, vestiaires, allées, signalétique) ; forage du puits et énergie solaire technique ; cadre agricole valorisé par les oliviers.</w:t>
      </w:r>
    </w:p>
    <w:p>
      <w:pPr>
        <w:spacing w:before="280" w:after="80"/>
        <w:pBdr>
          <w:bottom w:val="single" w:sz="6" w:space="2" w:color="C8A440"/>
        </w:pBdr>
      </w:pPr>
      <w:r>
        <w:rPr>
          <w:b/>
          <w:color w:val="1B3A28"/>
          <w:sz w:val="28"/>
        </w:rPr>
        <w:t>4.  Calendrier de réalisation</w:t>
      </w:r>
    </w:p>
    <w:tbl>
      <w:tblPr>
        <w:tblStyle w:val="TableGrid"/>
        <w:tblW w:type="auto" w:w="0"/>
        <w:jc w:val="center"/>
        <w:tblLook w:firstColumn="1" w:firstRow="1" w:lastColumn="0" w:lastRow="0" w:noHBand="0" w:noVBand="1" w:val="04A0"/>
      </w:tblPr>
      <w:tblGrid>
        <w:gridCol w:w="3400"/>
        <w:gridCol w:w="3400"/>
        <w:gridCol w:w="3400"/>
      </w:tblGrid>
      <w:tr>
        <w:tc>
          <w:tcPr>
            <w:tcW w:type="dxa" w:w="907"/>
            <w:shd w:val="clear" w:fill="1B3A28"/>
          </w:tcPr>
          <w:p>
            <w:pPr>
              <w:spacing w:after="20" w:before="20"/>
            </w:pPr>
            <w:r/>
            <w:r>
              <w:rPr>
                <w:b/>
                <w:color w:val="FFFFFF"/>
                <w:sz w:val="19"/>
              </w:rPr>
              <w:t>Étape</w:t>
            </w:r>
          </w:p>
        </w:tc>
        <w:tc>
          <w:tcPr>
            <w:tcW w:type="dxa" w:w="1474"/>
            <w:shd w:val="clear" w:fill="1B3A28"/>
          </w:tcPr>
          <w:p>
            <w:pPr>
              <w:spacing w:after="20" w:before="20"/>
              <w:jc w:val="center"/>
            </w:pPr>
            <w:r/>
            <w:r>
              <w:rPr>
                <w:b/>
                <w:color w:val="FFFFFF"/>
                <w:sz w:val="19"/>
              </w:rPr>
              <w:t>Période</w:t>
            </w:r>
          </w:p>
        </w:tc>
        <w:tc>
          <w:tcPr>
            <w:tcW w:type="dxa" w:w="6803"/>
            <w:shd w:val="clear" w:fill="1B3A28"/>
          </w:tcPr>
          <w:p>
            <w:pPr>
              <w:spacing w:after="20" w:before="20"/>
              <w:jc w:val="center"/>
            </w:pPr>
            <w:r/>
            <w:r>
              <w:rPr>
                <w:b/>
                <w:color w:val="FFFFFF"/>
                <w:sz w:val="19"/>
              </w:rPr>
              <w:t>Actions principales</w:t>
            </w:r>
          </w:p>
        </w:tc>
      </w:tr>
      <w:tr>
        <w:tc>
          <w:tcPr>
            <w:tcW w:type="dxa" w:w="907"/>
          </w:tcPr>
          <w:p>
            <w:pPr>
              <w:spacing w:after="20" w:before="20"/>
            </w:pPr>
            <w:r/>
            <w:r>
              <w:rPr>
                <w:b/>
                <w:sz w:val="19"/>
              </w:rPr>
              <w:t>1</w:t>
            </w:r>
          </w:p>
        </w:tc>
        <w:tc>
          <w:tcPr>
            <w:tcW w:type="dxa" w:w="1474"/>
          </w:tcPr>
          <w:p>
            <w:pPr>
              <w:spacing w:after="20" w:before="20"/>
              <w:jc w:val="center"/>
            </w:pPr>
            <w:r/>
            <w:r>
              <w:rPr>
                <w:b w:val="0"/>
                <w:sz w:val="19"/>
              </w:rPr>
              <w:t>Mois 1</w:t>
            </w:r>
          </w:p>
        </w:tc>
        <w:tc>
          <w:tcPr>
            <w:tcW w:type="dxa" w:w="6803"/>
          </w:tcPr>
          <w:p>
            <w:pPr>
              <w:spacing w:after="20" w:before="20"/>
              <w:jc w:val="center"/>
            </w:pPr>
            <w:r/>
            <w:r>
              <w:rPr>
                <w:b w:val="0"/>
                <w:sz w:val="19"/>
              </w:rPr>
              <w:t>Constitution/finalisation société, documents juridiques, disponibilité du terrain, cadrage administratif.</w:t>
            </w:r>
          </w:p>
        </w:tc>
      </w:tr>
      <w:tr>
        <w:tc>
          <w:tcPr>
            <w:tcW w:type="dxa" w:w="907"/>
          </w:tcPr>
          <w:p>
            <w:pPr>
              <w:spacing w:after="20" w:before="20"/>
            </w:pPr>
            <w:r/>
            <w:r>
              <w:rPr>
                <w:b/>
                <w:sz w:val="19"/>
              </w:rPr>
              <w:t>2</w:t>
            </w:r>
          </w:p>
        </w:tc>
        <w:tc>
          <w:tcPr>
            <w:tcW w:type="dxa" w:w="1474"/>
          </w:tcPr>
          <w:p>
            <w:pPr>
              <w:spacing w:after="20" w:before="20"/>
              <w:jc w:val="center"/>
            </w:pPr>
            <w:r/>
            <w:r>
              <w:rPr>
                <w:b w:val="0"/>
                <w:sz w:val="19"/>
              </w:rPr>
              <w:t>Mois 1 à 3</w:t>
            </w:r>
          </w:p>
        </w:tc>
        <w:tc>
          <w:tcPr>
            <w:tcW w:type="dxa" w:w="6803"/>
          </w:tcPr>
          <w:p>
            <w:pPr>
              <w:spacing w:after="20" w:before="20"/>
              <w:jc w:val="center"/>
            </w:pPr>
            <w:r/>
            <w:r>
              <w:rPr>
                <w:b w:val="0"/>
                <w:sz w:val="19"/>
              </w:rPr>
              <w:t>Plans d’aménagement, dépôt des demandes auprès des administrations, suivi commune/province.</w:t>
            </w:r>
          </w:p>
        </w:tc>
      </w:tr>
      <w:tr>
        <w:tc>
          <w:tcPr>
            <w:tcW w:type="dxa" w:w="907"/>
          </w:tcPr>
          <w:p>
            <w:pPr>
              <w:spacing w:after="20" w:before="20"/>
            </w:pPr>
            <w:r/>
            <w:r>
              <w:rPr>
                <w:b/>
                <w:sz w:val="19"/>
              </w:rPr>
              <w:t>3</w:t>
            </w:r>
          </w:p>
        </w:tc>
        <w:tc>
          <w:tcPr>
            <w:tcW w:type="dxa" w:w="1474"/>
          </w:tcPr>
          <w:p>
            <w:pPr>
              <w:spacing w:after="20" w:before="20"/>
              <w:jc w:val="center"/>
            </w:pPr>
            <w:r/>
            <w:r>
              <w:rPr>
                <w:b w:val="0"/>
                <w:sz w:val="19"/>
              </w:rPr>
              <w:t>Mois 3 à 5</w:t>
            </w:r>
          </w:p>
        </w:tc>
        <w:tc>
          <w:tcPr>
            <w:tcW w:type="dxa" w:w="6803"/>
          </w:tcPr>
          <w:p>
            <w:pPr>
              <w:spacing w:after="20" w:before="20"/>
              <w:jc w:val="center"/>
            </w:pPr>
            <w:r/>
            <w:r>
              <w:rPr>
                <w:b w:val="0"/>
                <w:sz w:val="19"/>
              </w:rPr>
              <w:t>Accord GO SIYAHA, accord bancaire, lancement des commandes (e-bike, paintball, cuisine, piscine).</w:t>
            </w:r>
          </w:p>
        </w:tc>
      </w:tr>
      <w:tr>
        <w:tc>
          <w:tcPr>
            <w:tcW w:type="dxa" w:w="907"/>
          </w:tcPr>
          <w:p>
            <w:pPr>
              <w:spacing w:after="20" w:before="20"/>
            </w:pPr>
            <w:r/>
            <w:r>
              <w:rPr>
                <w:b/>
                <w:sz w:val="19"/>
              </w:rPr>
              <w:t>4</w:t>
            </w:r>
          </w:p>
        </w:tc>
        <w:tc>
          <w:tcPr>
            <w:tcW w:type="dxa" w:w="1474"/>
          </w:tcPr>
          <w:p>
            <w:pPr>
              <w:spacing w:after="20" w:before="20"/>
              <w:jc w:val="center"/>
            </w:pPr>
            <w:r/>
            <w:r>
              <w:rPr>
                <w:b w:val="0"/>
                <w:sz w:val="19"/>
              </w:rPr>
              <w:t>Mois 5 à 8</w:t>
            </w:r>
          </w:p>
        </w:tc>
        <w:tc>
          <w:tcPr>
            <w:tcW w:type="dxa" w:w="6803"/>
          </w:tcPr>
          <w:p>
            <w:pPr>
              <w:spacing w:after="20" w:before="20"/>
              <w:jc w:val="center"/>
            </w:pPr>
            <w:r/>
            <w:r>
              <w:rPr>
                <w:b w:val="0"/>
                <w:sz w:val="19"/>
              </w:rPr>
              <w:t>Accueil, sanitaires, allées, puits, solaire technique, piscine, terrain paintball, espace cuisine.</w:t>
            </w:r>
          </w:p>
        </w:tc>
      </w:tr>
      <w:tr>
        <w:tc>
          <w:tcPr>
            <w:tcW w:type="dxa" w:w="907"/>
          </w:tcPr>
          <w:p>
            <w:pPr>
              <w:spacing w:after="20" w:before="20"/>
            </w:pPr>
            <w:r/>
            <w:r>
              <w:rPr>
                <w:b/>
                <w:sz w:val="19"/>
              </w:rPr>
              <w:t>5</w:t>
            </w:r>
          </w:p>
        </w:tc>
        <w:tc>
          <w:tcPr>
            <w:tcW w:type="dxa" w:w="1474"/>
          </w:tcPr>
          <w:p>
            <w:pPr>
              <w:spacing w:after="20" w:before="20"/>
              <w:jc w:val="center"/>
            </w:pPr>
            <w:r/>
            <w:r>
              <w:rPr>
                <w:b w:val="0"/>
                <w:sz w:val="19"/>
              </w:rPr>
              <w:t>Mois 8 à 10</w:t>
            </w:r>
          </w:p>
        </w:tc>
        <w:tc>
          <w:tcPr>
            <w:tcW w:type="dxa" w:w="6803"/>
          </w:tcPr>
          <w:p>
            <w:pPr>
              <w:spacing w:after="20" w:before="20"/>
              <w:jc w:val="center"/>
            </w:pPr>
            <w:r/>
            <w:r>
              <w:rPr>
                <w:b w:val="0"/>
                <w:sz w:val="19"/>
              </w:rPr>
              <w:t>Réception matériels, installation, tests sécurité, parcours e-bike, cuisine, piscine, paintball.</w:t>
            </w:r>
          </w:p>
        </w:tc>
      </w:tr>
      <w:tr>
        <w:tc>
          <w:tcPr>
            <w:tcW w:type="dxa" w:w="907"/>
          </w:tcPr>
          <w:p>
            <w:pPr>
              <w:spacing w:after="20" w:before="20"/>
            </w:pPr>
            <w:r/>
            <w:r>
              <w:rPr>
                <w:b/>
                <w:sz w:val="19"/>
              </w:rPr>
              <w:t>6</w:t>
            </w:r>
          </w:p>
        </w:tc>
        <w:tc>
          <w:tcPr>
            <w:tcW w:type="dxa" w:w="1474"/>
          </w:tcPr>
          <w:p>
            <w:pPr>
              <w:spacing w:after="20" w:before="20"/>
              <w:jc w:val="center"/>
            </w:pPr>
            <w:r/>
            <w:r>
              <w:rPr>
                <w:b w:val="0"/>
                <w:sz w:val="19"/>
              </w:rPr>
              <w:t>Mois 10 à 12</w:t>
            </w:r>
          </w:p>
        </w:tc>
        <w:tc>
          <w:tcPr>
            <w:tcW w:type="dxa" w:w="6803"/>
          </w:tcPr>
          <w:p>
            <w:pPr>
              <w:spacing w:after="20" w:before="20"/>
              <w:jc w:val="center"/>
            </w:pPr>
            <w:r/>
            <w:r>
              <w:rPr>
                <w:b w:val="0"/>
                <w:sz w:val="19"/>
              </w:rPr>
              <w:t>Formation équipe, photos, Google Maps, communication, partenariats, premières réservations.</w:t>
            </w:r>
          </w:p>
        </w:tc>
      </w:tr>
    </w:tbl>
    <w:p>
      <w:pPr>
        <w:spacing w:after="40"/>
      </w:pPr>
    </w:p>
    <w:p>
      <w:pPr>
        <w:spacing w:before="280" w:after="80"/>
        <w:pBdr>
          <w:bottom w:val="single" w:sz="6" w:space="2" w:color="C8A440"/>
        </w:pBdr>
      </w:pPr>
      <w:r>
        <w:rPr>
          <w:b/>
          <w:color w:val="1B3A28"/>
          <w:sz w:val="28"/>
        </w:rPr>
        <w:t>5.  Positionnement stratégique</w:t>
      </w:r>
    </w:p>
    <w:p>
      <w:pPr>
        <w:spacing w:after="80"/>
        <w:jc w:val="both"/>
      </w:pPr>
      <w:r>
        <w:rPr>
          <w:i w:val="0"/>
          <w:sz w:val="21"/>
        </w:rPr>
        <w:t>DA21 se positionne comme un site d’animation touristique intégré, à taille maîtrisée, combinant nature, loisirs, gastronomie, détente et terroir dans un environnement agricole existant.</w:t>
      </w:r>
    </w:p>
    <w:p>
      <w:pPr>
        <w:spacing w:before="280" w:after="80"/>
        <w:pBdr>
          <w:bottom w:val="single" w:sz="6" w:space="2" w:color="C8A440"/>
        </w:pBdr>
      </w:pPr>
      <w:r>
        <w:rPr>
          <w:b/>
          <w:color w:val="1B3A28"/>
          <w:sz w:val="28"/>
        </w:rPr>
        <w:t>6.  Étude de marché &amp; segmentation clientèle</w:t>
      </w: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1B3A28"/>
          </w:tcPr>
          <w:p>
            <w:pPr>
              <w:spacing w:after="20" w:before="20"/>
            </w:pPr>
            <w:r/>
            <w:r>
              <w:rPr>
                <w:b/>
                <w:color w:val="FFFFFF"/>
                <w:sz w:val="19"/>
              </w:rPr>
              <w:t>Segment</w:t>
            </w:r>
          </w:p>
        </w:tc>
        <w:tc>
          <w:tcPr>
            <w:tcW w:type="dxa" w:w="3685"/>
            <w:shd w:val="clear" w:fill="1B3A28"/>
          </w:tcPr>
          <w:p>
            <w:pPr>
              <w:spacing w:after="20" w:before="20"/>
              <w:jc w:val="center"/>
            </w:pPr>
            <w:r/>
            <w:r>
              <w:rPr>
                <w:b/>
                <w:color w:val="FFFFFF"/>
                <w:sz w:val="19"/>
              </w:rPr>
              <w:t>Besoin identifié</w:t>
            </w:r>
          </w:p>
        </w:tc>
        <w:tc>
          <w:tcPr>
            <w:tcW w:type="dxa" w:w="3685"/>
            <w:shd w:val="clear" w:fill="1B3A28"/>
          </w:tcPr>
          <w:p>
            <w:pPr>
              <w:spacing w:after="20" w:before="20"/>
              <w:jc w:val="center"/>
            </w:pPr>
            <w:r/>
            <w:r>
              <w:rPr>
                <w:b/>
                <w:color w:val="FFFFFF"/>
                <w:sz w:val="19"/>
              </w:rPr>
              <w:t>Activités adaptées</w:t>
            </w:r>
          </w:p>
        </w:tc>
      </w:tr>
      <w:tr>
        <w:tc>
          <w:tcPr>
            <w:tcW w:type="dxa" w:w="2041"/>
          </w:tcPr>
          <w:p>
            <w:pPr>
              <w:spacing w:after="20" w:before="20"/>
            </w:pPr>
            <w:r/>
            <w:r>
              <w:rPr>
                <w:b/>
                <w:sz w:val="19"/>
              </w:rPr>
              <w:t>Familles &amp; résidents marocains</w:t>
            </w:r>
          </w:p>
        </w:tc>
        <w:tc>
          <w:tcPr>
            <w:tcW w:type="dxa" w:w="3685"/>
          </w:tcPr>
          <w:p>
            <w:pPr>
              <w:spacing w:after="20" w:before="20"/>
              <w:jc w:val="center"/>
            </w:pPr>
            <w:r/>
            <w:r>
              <w:rPr>
                <w:b w:val="0"/>
                <w:sz w:val="19"/>
              </w:rPr>
              <w:t>Sortie nature proche de Marrakech, activité enfants, détente, repas.</w:t>
            </w:r>
          </w:p>
        </w:tc>
        <w:tc>
          <w:tcPr>
            <w:tcW w:type="dxa" w:w="3685"/>
          </w:tcPr>
          <w:p>
            <w:pPr>
              <w:spacing w:after="20" w:before="20"/>
              <w:jc w:val="center"/>
            </w:pPr>
            <w:r/>
            <w:r>
              <w:rPr>
                <w:b w:val="0"/>
                <w:sz w:val="19"/>
              </w:rPr>
              <w:t>Paintball, e-bike, ateliers cuisine + piscine détente.</w:t>
            </w:r>
          </w:p>
        </w:tc>
      </w:tr>
      <w:tr>
        <w:tc>
          <w:tcPr>
            <w:tcW w:type="dxa" w:w="2041"/>
          </w:tcPr>
          <w:p>
            <w:pPr>
              <w:spacing w:after="20" w:before="20"/>
            </w:pPr>
            <w:r/>
            <w:r>
              <w:rPr>
                <w:b/>
                <w:sz w:val="19"/>
              </w:rPr>
              <w:t>Touristes internationaux</w:t>
            </w:r>
          </w:p>
        </w:tc>
        <w:tc>
          <w:tcPr>
            <w:tcW w:type="dxa" w:w="3685"/>
          </w:tcPr>
          <w:p>
            <w:pPr>
              <w:spacing w:after="20" w:before="20"/>
              <w:jc w:val="center"/>
            </w:pPr>
            <w:r/>
            <w:r>
              <w:rPr>
                <w:b w:val="0"/>
                <w:sz w:val="19"/>
              </w:rPr>
              <w:t>Expérience authentique, terroir, nature, activité courte.</w:t>
            </w:r>
          </w:p>
        </w:tc>
        <w:tc>
          <w:tcPr>
            <w:tcW w:type="dxa" w:w="3685"/>
          </w:tcPr>
          <w:p>
            <w:pPr>
              <w:spacing w:after="20" w:before="20"/>
              <w:jc w:val="center"/>
            </w:pPr>
            <w:r/>
            <w:r>
              <w:rPr>
                <w:b w:val="0"/>
                <w:sz w:val="19"/>
              </w:rPr>
              <w:t>Ateliers cuisine, e-bike, terroir, paintball nocturne UV.</w:t>
            </w:r>
          </w:p>
        </w:tc>
      </w:tr>
      <w:tr>
        <w:tc>
          <w:tcPr>
            <w:tcW w:type="dxa" w:w="2041"/>
          </w:tcPr>
          <w:p>
            <w:pPr>
              <w:spacing w:after="20" w:before="20"/>
            </w:pPr>
            <w:r/>
            <w:r>
              <w:rPr>
                <w:b/>
                <w:sz w:val="19"/>
              </w:rPr>
              <w:t>Groupes scolaires / pédagogiques</w:t>
            </w:r>
          </w:p>
        </w:tc>
        <w:tc>
          <w:tcPr>
            <w:tcW w:type="dxa" w:w="3685"/>
          </w:tcPr>
          <w:p>
            <w:pPr>
              <w:spacing w:after="20" w:before="20"/>
              <w:jc w:val="center"/>
            </w:pPr>
            <w:r/>
            <w:r>
              <w:rPr>
                <w:b w:val="0"/>
                <w:sz w:val="19"/>
              </w:rPr>
              <w:t>Sortie encadrée, nature, alimentation, agriculture.</w:t>
            </w:r>
          </w:p>
        </w:tc>
        <w:tc>
          <w:tcPr>
            <w:tcW w:type="dxa" w:w="3685"/>
          </w:tcPr>
          <w:p>
            <w:pPr>
              <w:spacing w:after="20" w:before="20"/>
              <w:jc w:val="center"/>
            </w:pPr>
            <w:r/>
            <w:r>
              <w:rPr>
                <w:b w:val="0"/>
                <w:sz w:val="19"/>
              </w:rPr>
              <w:t>Jardin à l’assiette, ateliers cuisine, promenade, piscine.</w:t>
            </w:r>
          </w:p>
        </w:tc>
      </w:tr>
      <w:tr>
        <w:tc>
          <w:tcPr>
            <w:tcW w:type="dxa" w:w="2041"/>
          </w:tcPr>
          <w:p>
            <w:pPr>
              <w:spacing w:after="20" w:before="20"/>
            </w:pPr>
            <w:r/>
            <w:r>
              <w:rPr>
                <w:b/>
                <w:sz w:val="19"/>
              </w:rPr>
              <w:t>Groupes privés &amp; entreprises</w:t>
            </w:r>
          </w:p>
        </w:tc>
        <w:tc>
          <w:tcPr>
            <w:tcW w:type="dxa" w:w="3685"/>
          </w:tcPr>
          <w:p>
            <w:pPr>
              <w:spacing w:after="20" w:before="20"/>
              <w:jc w:val="center"/>
            </w:pPr>
            <w:r/>
            <w:r>
              <w:rPr>
                <w:b w:val="0"/>
                <w:sz w:val="19"/>
              </w:rPr>
              <w:t>Team-building, journée détente, privatisation partielle.</w:t>
            </w:r>
          </w:p>
        </w:tc>
        <w:tc>
          <w:tcPr>
            <w:tcW w:type="dxa" w:w="3685"/>
          </w:tcPr>
          <w:p>
            <w:pPr>
              <w:spacing w:after="20" w:before="20"/>
              <w:jc w:val="center"/>
            </w:pPr>
            <w:r/>
            <w:r>
              <w:rPr>
                <w:b w:val="0"/>
                <w:sz w:val="19"/>
              </w:rPr>
              <w:t>Paintball, e-bike, cuisine + piscine, formules journée.</w:t>
            </w:r>
          </w:p>
        </w:tc>
      </w:tr>
      <w:tr>
        <w:tc>
          <w:tcPr>
            <w:tcW w:type="dxa" w:w="2041"/>
          </w:tcPr>
          <w:p>
            <w:pPr>
              <w:spacing w:after="20" w:before="20"/>
            </w:pPr>
            <w:r/>
            <w:r>
              <w:rPr>
                <w:b/>
                <w:sz w:val="19"/>
              </w:rPr>
              <w:t>Maisons d’hôtes &amp; proximité</w:t>
            </w:r>
          </w:p>
        </w:tc>
        <w:tc>
          <w:tcPr>
            <w:tcW w:type="dxa" w:w="3685"/>
          </w:tcPr>
          <w:p>
            <w:pPr>
              <w:spacing w:after="20" w:before="20"/>
              <w:jc w:val="center"/>
            </w:pPr>
            <w:r/>
            <w:r>
              <w:rPr>
                <w:b w:val="0"/>
                <w:sz w:val="19"/>
              </w:rPr>
              <w:t>Activité complémentaire pour clients logés dans la zone.</w:t>
            </w:r>
          </w:p>
        </w:tc>
        <w:tc>
          <w:tcPr>
            <w:tcW w:type="dxa" w:w="3685"/>
          </w:tcPr>
          <w:p>
            <w:pPr>
              <w:spacing w:after="20" w:before="20"/>
              <w:jc w:val="center"/>
            </w:pPr>
            <w:r/>
            <w:r>
              <w:rPr>
                <w:b w:val="0"/>
                <w:sz w:val="19"/>
              </w:rPr>
              <w:t>E-bike, ateliers cuisine, demi-journée, piscine détente.</w:t>
            </w:r>
          </w:p>
        </w:tc>
      </w:tr>
    </w:tbl>
    <w:p>
      <w:pPr>
        <w:spacing w:after="40"/>
      </w:pPr>
    </w:p>
    <w:p>
      <w:pPr>
        <w:spacing w:after="80"/>
        <w:jc w:val="both"/>
      </w:pPr>
      <w:r>
        <w:rPr>
          <w:i w:val="0"/>
          <w:sz w:val="21"/>
        </w:rPr>
        <w:t>Développement commercial cible : e-bike et paintball ouverts aux enfants dès 11 ans (cadre encadré), formules anniversaires à forte valeur ajoutée, EVG/EVJF et team-building (activité + repas + détente).</w:t>
      </w:r>
    </w:p>
    <w:p>
      <w:pPr>
        <w:spacing w:before="280" w:after="80"/>
        <w:pBdr>
          <w:bottom w:val="single" w:sz="6" w:space="2" w:color="C8A440"/>
        </w:pBdr>
      </w:pPr>
      <w:r>
        <w:rPr>
          <w:b/>
          <w:color w:val="1B3A28"/>
          <w:sz w:val="28"/>
        </w:rPr>
        <w:t>7.  Alignement stratégique / éligibilité</w:t>
      </w:r>
    </w:p>
    <w:p>
      <w:pPr>
        <w:spacing w:after="80"/>
        <w:jc w:val="both"/>
      </w:pPr>
      <w:r>
        <w:rPr>
          <w:i w:val="0"/>
          <w:sz w:val="21"/>
        </w:rPr>
        <w:t>Animation touristique, nature &amp; découverte, gastronomie &amp; terroir, tourisme durable et diversification des clientèles : DA21 s’inscrit pleinement dans la logique d’animation touristique intégrée et locale soutenue par GO SIYAHA.</w:t>
      </w:r>
    </w:p>
    <w:p>
      <w:pPr>
        <w:spacing w:before="280" w:after="80"/>
        <w:pBdr>
          <w:bottom w:val="single" w:sz="6" w:space="2" w:color="C8A440"/>
        </w:pBdr>
      </w:pPr>
      <w:r>
        <w:rPr>
          <w:b/>
          <w:color w:val="1B3A28"/>
          <w:sz w:val="28"/>
        </w:rPr>
        <w:t>8.  Analyse concurrentielle</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val="clear" w:fill="1B3A28"/>
          </w:tcPr>
          <w:p>
            <w:pPr>
              <w:spacing w:after="20" w:before="20"/>
            </w:pPr>
            <w:r/>
            <w:r>
              <w:rPr>
                <w:b/>
                <w:color w:val="FFFFFF"/>
                <w:sz w:val="19"/>
              </w:rPr>
              <w:t>Activité</w:t>
            </w:r>
          </w:p>
        </w:tc>
        <w:tc>
          <w:tcPr>
            <w:tcW w:type="dxa" w:w="3798"/>
            <w:shd w:val="clear" w:fill="1B3A28"/>
          </w:tcPr>
          <w:p>
            <w:pPr>
              <w:spacing w:after="20" w:before="20"/>
              <w:jc w:val="center"/>
            </w:pPr>
            <w:r/>
            <w:r>
              <w:rPr>
                <w:b/>
                <w:color w:val="FFFFFF"/>
                <w:sz w:val="19"/>
              </w:rPr>
              <w:t>Concurrence observée</w:t>
            </w:r>
          </w:p>
        </w:tc>
        <w:tc>
          <w:tcPr>
            <w:tcW w:type="dxa" w:w="3798"/>
            <w:shd w:val="clear" w:fill="1B3A28"/>
          </w:tcPr>
          <w:p>
            <w:pPr>
              <w:spacing w:after="20" w:before="20"/>
              <w:jc w:val="center"/>
            </w:pPr>
            <w:r/>
            <w:r>
              <w:rPr>
                <w:b/>
                <w:color w:val="FFFFFF"/>
                <w:sz w:val="19"/>
              </w:rPr>
              <w:t>Positionnement DA21</w:t>
            </w:r>
          </w:p>
        </w:tc>
      </w:tr>
      <w:tr>
        <w:tc>
          <w:tcPr>
            <w:tcW w:type="dxa" w:w="1814"/>
          </w:tcPr>
          <w:p>
            <w:pPr>
              <w:spacing w:after="20" w:before="20"/>
            </w:pPr>
            <w:r/>
            <w:r>
              <w:rPr>
                <w:b/>
                <w:sz w:val="19"/>
              </w:rPr>
              <w:t>E-bike / Fatbike</w:t>
            </w:r>
          </w:p>
        </w:tc>
        <w:tc>
          <w:tcPr>
            <w:tcW w:type="dxa" w:w="3798"/>
          </w:tcPr>
          <w:p>
            <w:pPr>
              <w:spacing w:after="20" w:before="20"/>
              <w:jc w:val="center"/>
            </w:pPr>
            <w:r/>
            <w:r>
              <w:rPr>
                <w:b w:val="0"/>
                <w:sz w:val="19"/>
              </w:rPr>
              <w:t>Offres VTT/e-bike en ville, haute montagne ou circuits sportifs.</w:t>
            </w:r>
          </w:p>
        </w:tc>
        <w:tc>
          <w:tcPr>
            <w:tcW w:type="dxa" w:w="3798"/>
          </w:tcPr>
          <w:p>
            <w:pPr>
              <w:spacing w:after="20" w:before="20"/>
              <w:jc w:val="center"/>
            </w:pPr>
            <w:r/>
            <w:r>
              <w:rPr>
                <w:b w:val="0"/>
                <w:sz w:val="19"/>
              </w:rPr>
              <w:t>Balades accessibles à travers douar, champs et oliveraie, familles et enfants dès 11 ans, parc de 15 vélos.</w:t>
            </w:r>
          </w:p>
        </w:tc>
      </w:tr>
      <w:tr>
        <w:tc>
          <w:tcPr>
            <w:tcW w:type="dxa" w:w="1814"/>
          </w:tcPr>
          <w:p>
            <w:pPr>
              <w:spacing w:after="20" w:before="20"/>
            </w:pPr>
            <w:r/>
            <w:r>
              <w:rPr>
                <w:b/>
                <w:sz w:val="19"/>
              </w:rPr>
              <w:t>Paintball</w:t>
            </w:r>
          </w:p>
        </w:tc>
        <w:tc>
          <w:tcPr>
            <w:tcW w:type="dxa" w:w="3798"/>
          </w:tcPr>
          <w:p>
            <w:pPr>
              <w:spacing w:after="20" w:before="20"/>
              <w:jc w:val="center"/>
            </w:pPr>
            <w:r/>
            <w:r>
              <w:rPr>
                <w:b w:val="0"/>
                <w:sz w:val="19"/>
              </w:rPr>
              <w:t>Activités isolées autour de Marrakech, sans offre détente/repas.</w:t>
            </w:r>
          </w:p>
        </w:tc>
        <w:tc>
          <w:tcPr>
            <w:tcW w:type="dxa" w:w="3798"/>
          </w:tcPr>
          <w:p>
            <w:pPr>
              <w:spacing w:after="20" w:before="20"/>
              <w:jc w:val="center"/>
            </w:pPr>
            <w:r/>
            <w:r>
              <w:rPr>
                <w:b w:val="0"/>
                <w:sz w:val="19"/>
              </w:rPr>
              <w:t>Jour ET nocturne UV/Blacklight, combinable e-bike/cuisine/piscine, anniversaires, EVG/EVJF, team-building.</w:t>
            </w:r>
          </w:p>
        </w:tc>
      </w:tr>
      <w:tr>
        <w:tc>
          <w:tcPr>
            <w:tcW w:type="dxa" w:w="1814"/>
          </w:tcPr>
          <w:p>
            <w:pPr>
              <w:spacing w:after="20" w:before="20"/>
            </w:pPr>
            <w:r/>
            <w:r>
              <w:rPr>
                <w:b/>
                <w:sz w:val="19"/>
              </w:rPr>
              <w:t>Ateliers cuisine</w:t>
            </w:r>
          </w:p>
        </w:tc>
        <w:tc>
          <w:tcPr>
            <w:tcW w:type="dxa" w:w="3798"/>
          </w:tcPr>
          <w:p>
            <w:pPr>
              <w:spacing w:after="20" w:before="20"/>
              <w:jc w:val="center"/>
            </w:pPr>
            <w:r/>
            <w:r>
              <w:rPr>
                <w:b w:val="0"/>
                <w:sz w:val="19"/>
              </w:rPr>
              <w:t>Ateliers en médina/riads, centrés sur la cuisine seule.</w:t>
            </w:r>
          </w:p>
        </w:tc>
        <w:tc>
          <w:tcPr>
            <w:tcW w:type="dxa" w:w="3798"/>
          </w:tcPr>
          <w:p>
            <w:pPr>
              <w:spacing w:after="20" w:before="20"/>
              <w:jc w:val="center"/>
            </w:pPr>
            <w:r/>
            <w:r>
              <w:rPr>
                <w:b w:val="0"/>
                <w:sz w:val="19"/>
              </w:rPr>
              <w:t>Atelier dans une oliveraie, relié au terroir et au « jardin à l’assiette ».</w:t>
            </w:r>
          </w:p>
        </w:tc>
      </w:tr>
    </w:tbl>
    <w:p>
      <w:pPr>
        <w:spacing w:after="40"/>
      </w:pPr>
    </w:p>
    <w:p>
      <w:pPr>
        <w:spacing w:before="280" w:after="80"/>
        <w:pBdr>
          <w:bottom w:val="single" w:sz="6" w:space="2" w:color="C8A440"/>
        </w:pBdr>
      </w:pPr>
      <w:r>
        <w:rPr>
          <w:b/>
          <w:color w:val="1B3A28"/>
          <w:sz w:val="28"/>
        </w:rPr>
        <w:t>9.  Stratégie marketing &amp; distribution</w:t>
      </w:r>
    </w:p>
    <w:tbl>
      <w:tblPr>
        <w:tblStyle w:val="TableGrid"/>
        <w:tblW w:type="auto" w:w="0"/>
        <w:jc w:val="center"/>
        <w:tblLook w:firstColumn="1" w:firstRow="1" w:lastColumn="0" w:lastRow="0" w:noHBand="0" w:noVBand="1" w:val="04A0"/>
      </w:tblPr>
      <w:tblGrid>
        <w:gridCol w:w="5100"/>
        <w:gridCol w:w="5100"/>
      </w:tblGrid>
      <w:tr>
        <w:tc>
          <w:tcPr>
            <w:tcW w:type="dxa" w:w="2551"/>
            <w:shd w:val="clear" w:fill="1B3A28"/>
          </w:tcPr>
          <w:p>
            <w:pPr>
              <w:spacing w:after="20" w:before="20"/>
            </w:pPr>
            <w:r/>
            <w:r>
              <w:rPr>
                <w:b/>
                <w:color w:val="FFFFFF"/>
                <w:sz w:val="19"/>
              </w:rPr>
              <w:t>Canal</w:t>
            </w:r>
          </w:p>
        </w:tc>
        <w:tc>
          <w:tcPr>
            <w:tcW w:type="dxa" w:w="6803"/>
            <w:shd w:val="clear" w:fill="1B3A28"/>
          </w:tcPr>
          <w:p>
            <w:pPr>
              <w:spacing w:after="20" w:before="20"/>
              <w:jc w:val="center"/>
            </w:pPr>
            <w:r/>
            <w:r>
              <w:rPr>
                <w:b/>
                <w:color w:val="FFFFFF"/>
                <w:sz w:val="19"/>
              </w:rPr>
              <w:t>Rôle dans le lancement</w:t>
            </w:r>
          </w:p>
        </w:tc>
      </w:tr>
      <w:tr>
        <w:tc>
          <w:tcPr>
            <w:tcW w:type="dxa" w:w="2551"/>
          </w:tcPr>
          <w:p>
            <w:pPr>
              <w:spacing w:after="20" w:before="20"/>
            </w:pPr>
            <w:r/>
            <w:r>
              <w:rPr>
                <w:b/>
                <w:sz w:val="19"/>
              </w:rPr>
              <w:t>Voyages 21</w:t>
            </w:r>
          </w:p>
        </w:tc>
        <w:tc>
          <w:tcPr>
            <w:tcW w:type="dxa" w:w="6803"/>
          </w:tcPr>
          <w:p>
            <w:pPr>
              <w:spacing w:after="20" w:before="20"/>
              <w:jc w:val="center"/>
            </w:pPr>
            <w:r/>
            <w:r>
              <w:rPr>
                <w:b w:val="0"/>
                <w:sz w:val="19"/>
              </w:rPr>
              <w:t>Canal prioritaire : circuits, groupes, familles, clients existants, partenaires agences.</w:t>
            </w:r>
          </w:p>
        </w:tc>
      </w:tr>
      <w:tr>
        <w:tc>
          <w:tcPr>
            <w:tcW w:type="dxa" w:w="2551"/>
          </w:tcPr>
          <w:p>
            <w:pPr>
              <w:spacing w:after="20" w:before="20"/>
            </w:pPr>
            <w:r/>
            <w:r>
              <w:rPr>
                <w:b/>
                <w:sz w:val="19"/>
              </w:rPr>
              <w:t>Google Maps / référencement local</w:t>
            </w:r>
          </w:p>
        </w:tc>
        <w:tc>
          <w:tcPr>
            <w:tcW w:type="dxa" w:w="6803"/>
          </w:tcPr>
          <w:p>
            <w:pPr>
              <w:spacing w:after="20" w:before="20"/>
              <w:jc w:val="center"/>
            </w:pPr>
            <w:r/>
            <w:r>
              <w:rPr>
                <w:b w:val="0"/>
                <w:sz w:val="19"/>
              </w:rPr>
              <w:t>Capter les recherches de proximité (activités enfants, piscine + repas, paintball, route Ourika / Al Haouz).</w:t>
            </w:r>
          </w:p>
        </w:tc>
      </w:tr>
      <w:tr>
        <w:tc>
          <w:tcPr>
            <w:tcW w:type="dxa" w:w="2551"/>
          </w:tcPr>
          <w:p>
            <w:pPr>
              <w:spacing w:after="20" w:before="20"/>
            </w:pPr>
            <w:r/>
            <w:r>
              <w:rPr>
                <w:b/>
                <w:sz w:val="19"/>
              </w:rPr>
              <w:t>Réseaux sociaux</w:t>
            </w:r>
          </w:p>
        </w:tc>
        <w:tc>
          <w:tcPr>
            <w:tcW w:type="dxa" w:w="6803"/>
          </w:tcPr>
          <w:p>
            <w:pPr>
              <w:spacing w:after="20" w:before="20"/>
              <w:jc w:val="center"/>
            </w:pPr>
            <w:r/>
            <w:r>
              <w:rPr>
                <w:b w:val="0"/>
                <w:sz w:val="19"/>
              </w:rPr>
              <w:t>Valoriser le cadre naturel, anniversaires, groupes, ateliers cuisine, piscine, expériences journée.</w:t>
            </w:r>
          </w:p>
        </w:tc>
      </w:tr>
      <w:tr>
        <w:tc>
          <w:tcPr>
            <w:tcW w:type="dxa" w:w="2551"/>
          </w:tcPr>
          <w:p>
            <w:pPr>
              <w:spacing w:after="20" w:before="20"/>
            </w:pPr>
            <w:r/>
            <w:r>
              <w:rPr>
                <w:b/>
                <w:sz w:val="19"/>
              </w:rPr>
              <w:t>Maisons d’hôtes &amp; hébergements voisins</w:t>
            </w:r>
          </w:p>
        </w:tc>
        <w:tc>
          <w:tcPr>
            <w:tcW w:type="dxa" w:w="6803"/>
          </w:tcPr>
          <w:p>
            <w:pPr>
              <w:spacing w:after="20" w:before="20"/>
              <w:jc w:val="center"/>
            </w:pPr>
            <w:r/>
            <w:r>
              <w:rPr>
                <w:b w:val="0"/>
                <w:sz w:val="19"/>
              </w:rPr>
              <w:t>Offre d’activités complémentaire aux clients logés dans la zone.</w:t>
            </w:r>
          </w:p>
        </w:tc>
      </w:tr>
    </w:tbl>
    <w:p>
      <w:pPr>
        <w:spacing w:after="40"/>
      </w:pPr>
    </w:p>
    <w:p>
      <w:pPr>
        <w:spacing w:before="280" w:after="80"/>
        <w:pBdr>
          <w:bottom w:val="single" w:sz="6" w:space="2" w:color="C8A440"/>
        </w:pBdr>
      </w:pPr>
      <w:r>
        <w:rPr>
          <w:b/>
          <w:color w:val="1B3A28"/>
          <w:sz w:val="28"/>
        </w:rPr>
        <w:t>10.  Organisation &amp; ressources humaines</w:t>
      </w:r>
    </w:p>
    <w:p>
      <w:pPr>
        <w:spacing w:after="80"/>
        <w:jc w:val="both"/>
      </w:pPr>
      <w:r>
        <w:rPr>
          <w:i w:val="0"/>
          <w:sz w:val="21"/>
        </w:rPr>
        <w:t>Le projet crée 5 emplois permanents en CDI, montant en charge progressivement avec l’activité (masse salariale 140 KDH en An1 → 288 KDH en An5).</w:t>
      </w:r>
    </w:p>
    <w:tbl>
      <w:tblPr>
        <w:tblStyle w:val="TableGrid"/>
        <w:tblW w:type="auto" w:w="0"/>
        <w:jc w:val="center"/>
        <w:tblLook w:firstColumn="1" w:firstRow="1" w:lastColumn="0" w:lastRow="0" w:noHBand="0" w:noVBand="1" w:val="04A0"/>
      </w:tblPr>
      <w:tblGrid>
        <w:gridCol w:w="3400"/>
        <w:gridCol w:w="3400"/>
        <w:gridCol w:w="3400"/>
      </w:tblGrid>
      <w:tr>
        <w:tc>
          <w:tcPr>
            <w:tcW w:type="dxa" w:w="5386"/>
            <w:shd w:val="clear" w:fill="1B3A28"/>
          </w:tcPr>
          <w:p>
            <w:pPr>
              <w:spacing w:after="20" w:before="20"/>
            </w:pPr>
            <w:r/>
            <w:r>
              <w:rPr>
                <w:b/>
                <w:color w:val="FFFFFF"/>
                <w:sz w:val="19"/>
              </w:rPr>
              <w:t>Profil / domaine</w:t>
            </w:r>
          </w:p>
        </w:tc>
        <w:tc>
          <w:tcPr>
            <w:tcW w:type="dxa" w:w="2268"/>
            <w:shd w:val="clear" w:fill="1B3A28"/>
          </w:tcPr>
          <w:p>
            <w:pPr>
              <w:spacing w:after="20" w:before="20"/>
              <w:jc w:val="center"/>
            </w:pPr>
            <w:r/>
            <w:r>
              <w:rPr>
                <w:b/>
                <w:color w:val="FFFFFF"/>
                <w:sz w:val="19"/>
              </w:rPr>
              <w:t>Emplois permanents</w:t>
            </w:r>
          </w:p>
        </w:tc>
        <w:tc>
          <w:tcPr>
            <w:tcW w:type="dxa" w:w="1701"/>
            <w:shd w:val="clear" w:fill="1B3A28"/>
          </w:tcPr>
          <w:p>
            <w:pPr>
              <w:spacing w:after="20" w:before="20"/>
              <w:jc w:val="center"/>
            </w:pPr>
            <w:r/>
            <w:r>
              <w:rPr>
                <w:b/>
                <w:color w:val="FFFFFF"/>
                <w:sz w:val="19"/>
              </w:rPr>
              <w:t>Contrat</w:t>
            </w:r>
          </w:p>
        </w:tc>
      </w:tr>
      <w:tr>
        <w:tc>
          <w:tcPr>
            <w:tcW w:type="dxa" w:w="5386"/>
          </w:tcPr>
          <w:p>
            <w:pPr>
              <w:spacing w:after="20" w:before="20"/>
            </w:pPr>
            <w:r/>
            <w:r>
              <w:rPr>
                <w:b/>
                <w:sz w:val="19"/>
              </w:rPr>
              <w:t>Cadre (Bac+3) — Responsable de site</w:t>
            </w:r>
          </w:p>
        </w:tc>
        <w:tc>
          <w:tcPr>
            <w:tcW w:type="dxa" w:w="2268"/>
          </w:tcPr>
          <w:p>
            <w:pPr>
              <w:spacing w:after="20" w:before="20"/>
              <w:jc w:val="center"/>
            </w:pPr>
            <w:r/>
            <w:r>
              <w:rPr>
                <w:b w:val="0"/>
                <w:sz w:val="19"/>
              </w:rPr>
              <w:t>1</w:t>
            </w:r>
          </w:p>
        </w:tc>
        <w:tc>
          <w:tcPr>
            <w:tcW w:type="dxa" w:w="1701"/>
          </w:tcPr>
          <w:p>
            <w:pPr>
              <w:spacing w:after="20" w:before="20"/>
              <w:jc w:val="center"/>
            </w:pPr>
            <w:r/>
            <w:r>
              <w:rPr>
                <w:b w:val="0"/>
                <w:sz w:val="19"/>
              </w:rPr>
              <w:t>CDI</w:t>
            </w:r>
          </w:p>
        </w:tc>
      </w:tr>
      <w:tr>
        <w:tc>
          <w:tcPr>
            <w:tcW w:type="dxa" w:w="5386"/>
          </w:tcPr>
          <w:p>
            <w:pPr>
              <w:spacing w:after="20" w:before="20"/>
            </w:pPr>
            <w:r/>
            <w:r>
              <w:rPr>
                <w:b/>
                <w:sz w:val="19"/>
              </w:rPr>
              <w:t>Techniciens / animateurs (paintball, e-bike, cuisine)</w:t>
            </w:r>
          </w:p>
        </w:tc>
        <w:tc>
          <w:tcPr>
            <w:tcW w:type="dxa" w:w="2268"/>
          </w:tcPr>
          <w:p>
            <w:pPr>
              <w:spacing w:after="20" w:before="20"/>
              <w:jc w:val="center"/>
            </w:pPr>
            <w:r/>
            <w:r>
              <w:rPr>
                <w:b w:val="0"/>
                <w:sz w:val="19"/>
              </w:rPr>
              <w:t>3</w:t>
            </w:r>
          </w:p>
        </w:tc>
        <w:tc>
          <w:tcPr>
            <w:tcW w:type="dxa" w:w="1701"/>
          </w:tcPr>
          <w:p>
            <w:pPr>
              <w:spacing w:after="20" w:before="20"/>
              <w:jc w:val="center"/>
            </w:pPr>
            <w:r/>
            <w:r>
              <w:rPr>
                <w:b w:val="0"/>
                <w:sz w:val="19"/>
              </w:rPr>
              <w:t>CDI</w:t>
            </w:r>
          </w:p>
        </w:tc>
      </w:tr>
      <w:tr>
        <w:tc>
          <w:tcPr>
            <w:tcW w:type="dxa" w:w="5386"/>
          </w:tcPr>
          <w:p>
            <w:pPr>
              <w:spacing w:after="20" w:before="20"/>
            </w:pPr>
            <w:r/>
            <w:r>
              <w:rPr>
                <w:b/>
                <w:sz w:val="19"/>
              </w:rPr>
              <w:t>Accueil / polyvalent</w:t>
            </w:r>
          </w:p>
        </w:tc>
        <w:tc>
          <w:tcPr>
            <w:tcW w:type="dxa" w:w="2268"/>
          </w:tcPr>
          <w:p>
            <w:pPr>
              <w:spacing w:after="20" w:before="20"/>
              <w:jc w:val="center"/>
            </w:pPr>
            <w:r/>
            <w:r>
              <w:rPr>
                <w:b w:val="0"/>
                <w:sz w:val="19"/>
              </w:rPr>
              <w:t>1</w:t>
            </w:r>
          </w:p>
        </w:tc>
        <w:tc>
          <w:tcPr>
            <w:tcW w:type="dxa" w:w="1701"/>
          </w:tcPr>
          <w:p>
            <w:pPr>
              <w:spacing w:after="20" w:before="20"/>
              <w:jc w:val="center"/>
            </w:pPr>
            <w:r/>
            <w:r>
              <w:rPr>
                <w:b w:val="0"/>
                <w:sz w:val="19"/>
              </w:rPr>
              <w:t>CDI</w:t>
            </w:r>
          </w:p>
        </w:tc>
      </w:tr>
      <w:tr>
        <w:tc>
          <w:tcPr>
            <w:tcW w:type="dxa" w:w="5386"/>
            <w:shd w:val="clear" w:fill="EFE7D6"/>
          </w:tcPr>
          <w:p>
            <w:pPr>
              <w:spacing w:after="20" w:before="20"/>
            </w:pPr>
            <w:r/>
            <w:r>
              <w:rPr>
                <w:b/>
                <w:color w:val="1B3A28"/>
                <w:sz w:val="19"/>
              </w:rPr>
              <w:t>Total emplois permanents</w:t>
            </w:r>
          </w:p>
        </w:tc>
        <w:tc>
          <w:tcPr>
            <w:tcW w:type="dxa" w:w="2268"/>
            <w:shd w:val="clear" w:fill="EFE7D6"/>
          </w:tcPr>
          <w:p>
            <w:pPr>
              <w:spacing w:after="20" w:before="20"/>
              <w:jc w:val="center"/>
            </w:pPr>
            <w:r/>
            <w:r>
              <w:rPr>
                <w:b/>
                <w:color w:val="1B3A28"/>
                <w:sz w:val="19"/>
              </w:rPr>
              <w:t>5</w:t>
            </w:r>
          </w:p>
        </w:tc>
        <w:tc>
          <w:tcPr>
            <w:tcW w:type="dxa" w:w="1701"/>
            <w:shd w:val="clear" w:fill="EFE7D6"/>
          </w:tcPr>
          <w:p>
            <w:pPr>
              <w:spacing w:after="20" w:before="20"/>
              <w:jc w:val="center"/>
            </w:pPr>
            <w:r/>
            <w:r>
              <w:rPr>
                <w:b/>
                <w:color w:val="1B3A28"/>
                <w:sz w:val="19"/>
              </w:rPr>
              <w:t>CDI</w:t>
            </w:r>
          </w:p>
        </w:tc>
      </w:tr>
    </w:tbl>
    <w:p>
      <w:pPr>
        <w:spacing w:after="40"/>
      </w:pPr>
    </w:p>
    <w:p>
      <w:pPr>
        <w:spacing w:before="280" w:after="80"/>
        <w:pBdr>
          <w:bottom w:val="single" w:sz="6" w:space="2" w:color="C8A440"/>
        </w:pBdr>
      </w:pPr>
      <w:r>
        <w:rPr>
          <w:b/>
          <w:color w:val="1B3A28"/>
          <w:sz w:val="28"/>
        </w:rPr>
        <w:t>11.  Plan d’investissement &amp; financement</w:t>
      </w:r>
    </w:p>
    <w:p>
      <w:pPr>
        <w:spacing w:before="160" w:after="40"/>
      </w:pPr>
      <w:r>
        <w:rPr>
          <w:b/>
          <w:color w:val="152E1F"/>
          <w:sz w:val="23"/>
        </w:rPr>
        <w:t>Programme d’investissement (en DH TTC)</w:t>
      </w:r>
    </w:p>
    <w:tbl>
      <w:tblPr>
        <w:tblStyle w:val="TableGrid"/>
        <w:tblW w:type="auto" w:w="0"/>
        <w:jc w:val="center"/>
        <w:tblLook w:firstColumn="1" w:firstRow="1" w:lastColumn="0" w:lastRow="0" w:noHBand="0" w:noVBand="1" w:val="04A0"/>
      </w:tblPr>
      <w:tblGrid>
        <w:gridCol w:w="3400"/>
        <w:gridCol w:w="3400"/>
        <w:gridCol w:w="3400"/>
      </w:tblGrid>
      <w:tr>
        <w:tc>
          <w:tcPr>
            <w:tcW w:type="dxa" w:w="2154"/>
            <w:shd w:val="clear" w:fill="1B3A28"/>
          </w:tcPr>
          <w:p>
            <w:pPr>
              <w:spacing w:after="20" w:before="20"/>
            </w:pPr>
            <w:r/>
            <w:r>
              <w:rPr>
                <w:b/>
                <w:color w:val="FFFFFF"/>
                <w:sz w:val="19"/>
              </w:rPr>
              <w:t>Rubrique</w:t>
            </w:r>
          </w:p>
        </w:tc>
        <w:tc>
          <w:tcPr>
            <w:tcW w:type="dxa" w:w="5386"/>
            <w:shd w:val="clear" w:fill="1B3A28"/>
          </w:tcPr>
          <w:p>
            <w:pPr>
              <w:spacing w:after="20" w:before="20"/>
              <w:jc w:val="center"/>
            </w:pPr>
            <w:r/>
            <w:r>
              <w:rPr>
                <w:b/>
                <w:color w:val="FFFFFF"/>
                <w:sz w:val="19"/>
              </w:rPr>
              <w:t>Détail</w:t>
            </w:r>
          </w:p>
        </w:tc>
        <w:tc>
          <w:tcPr>
            <w:tcW w:type="dxa" w:w="1814"/>
            <w:shd w:val="clear" w:fill="1B3A28"/>
          </w:tcPr>
          <w:p>
            <w:pPr>
              <w:spacing w:after="20" w:before="20"/>
              <w:jc w:val="center"/>
            </w:pPr>
            <w:r/>
            <w:r>
              <w:rPr>
                <w:b/>
                <w:color w:val="FFFFFF"/>
                <w:sz w:val="19"/>
              </w:rPr>
              <w:t>Montant</w:t>
            </w:r>
          </w:p>
        </w:tc>
      </w:tr>
      <w:tr>
        <w:tc>
          <w:tcPr>
            <w:tcW w:type="dxa" w:w="2154"/>
          </w:tcPr>
          <w:p>
            <w:pPr>
              <w:spacing w:after="20" w:before="20"/>
            </w:pPr>
            <w:r/>
            <w:r>
              <w:rPr>
                <w:b/>
                <w:sz w:val="19"/>
              </w:rPr>
              <w:t>Frais préliminaires</w:t>
            </w:r>
          </w:p>
        </w:tc>
        <w:tc>
          <w:tcPr>
            <w:tcW w:type="dxa" w:w="5386"/>
          </w:tcPr>
          <w:p>
            <w:pPr>
              <w:spacing w:after="20" w:before="20"/>
              <w:jc w:val="center"/>
            </w:pPr>
            <w:r/>
            <w:r>
              <w:rPr>
                <w:b w:val="0"/>
                <w:sz w:val="19"/>
              </w:rPr>
              <w:t>Constitution, études financières/BP, études &amp; autorisations</w:t>
            </w:r>
          </w:p>
        </w:tc>
        <w:tc>
          <w:tcPr>
            <w:tcW w:type="dxa" w:w="1814"/>
          </w:tcPr>
          <w:p>
            <w:pPr>
              <w:spacing w:after="20" w:before="20"/>
              <w:jc w:val="center"/>
            </w:pPr>
            <w:r/>
            <w:r>
              <w:rPr>
                <w:b w:val="0"/>
                <w:sz w:val="19"/>
              </w:rPr>
              <w:t>38 000</w:t>
            </w:r>
          </w:p>
        </w:tc>
      </w:tr>
      <w:tr>
        <w:tc>
          <w:tcPr>
            <w:tcW w:type="dxa" w:w="2154"/>
          </w:tcPr>
          <w:p>
            <w:pPr>
              <w:spacing w:after="20" w:before="20"/>
            </w:pPr>
            <w:r/>
            <w:r>
              <w:rPr>
                <w:b/>
                <w:sz w:val="19"/>
              </w:rPr>
              <w:t>Constructions</w:t>
            </w:r>
          </w:p>
        </w:tc>
        <w:tc>
          <w:tcPr>
            <w:tcW w:type="dxa" w:w="5386"/>
          </w:tcPr>
          <w:p>
            <w:pPr>
              <w:spacing w:after="20" w:before="20"/>
              <w:jc w:val="center"/>
            </w:pPr>
            <w:r/>
            <w:r>
              <w:rPr>
                <w:b w:val="0"/>
                <w:sz w:val="19"/>
              </w:rPr>
              <w:t>Accueil, vestiaires, sanitaires, terrassement</w:t>
            </w:r>
          </w:p>
        </w:tc>
        <w:tc>
          <w:tcPr>
            <w:tcW w:type="dxa" w:w="1814"/>
          </w:tcPr>
          <w:p>
            <w:pPr>
              <w:spacing w:after="20" w:before="20"/>
              <w:jc w:val="center"/>
            </w:pPr>
            <w:r/>
            <w:r>
              <w:rPr>
                <w:b w:val="0"/>
                <w:sz w:val="19"/>
              </w:rPr>
              <w:t>110 000</w:t>
            </w:r>
          </w:p>
        </w:tc>
      </w:tr>
      <w:tr>
        <w:tc>
          <w:tcPr>
            <w:tcW w:type="dxa" w:w="2154"/>
          </w:tcPr>
          <w:p>
            <w:pPr>
              <w:spacing w:after="20" w:before="20"/>
            </w:pPr>
            <w:r/>
            <w:r>
              <w:rPr>
                <w:b/>
                <w:sz w:val="19"/>
              </w:rPr>
              <w:t>Aménagement &amp; agencement</w:t>
            </w:r>
          </w:p>
        </w:tc>
        <w:tc>
          <w:tcPr>
            <w:tcW w:type="dxa" w:w="5386"/>
          </w:tcPr>
          <w:p>
            <w:pPr>
              <w:spacing w:after="20" w:before="20"/>
              <w:jc w:val="center"/>
            </w:pPr>
            <w:r/>
            <w:r>
              <w:rPr>
                <w:b w:val="0"/>
                <w:sz w:val="19"/>
              </w:rPr>
              <w:t>Tentes caïdales + climatisation + mobilier (170 000) ; jardin à l’assiette (30 000) ; allées/parking/clôtures/signalétique (60 000) ; aménagements communs (50 000) ; forage puits + hydraulique (100 000)</w:t>
            </w:r>
          </w:p>
        </w:tc>
        <w:tc>
          <w:tcPr>
            <w:tcW w:type="dxa" w:w="1814"/>
          </w:tcPr>
          <w:p>
            <w:pPr>
              <w:spacing w:after="20" w:before="20"/>
              <w:jc w:val="center"/>
            </w:pPr>
            <w:r/>
            <w:r>
              <w:rPr>
                <w:b w:val="0"/>
                <w:sz w:val="19"/>
              </w:rPr>
              <w:t>410 000</w:t>
            </w:r>
          </w:p>
        </w:tc>
      </w:tr>
      <w:tr>
        <w:tc>
          <w:tcPr>
            <w:tcW w:type="dxa" w:w="2154"/>
          </w:tcPr>
          <w:p>
            <w:pPr>
              <w:spacing w:after="20" w:before="20"/>
            </w:pPr>
            <w:r/>
            <w:r>
              <w:rPr>
                <w:b/>
                <w:sz w:val="19"/>
              </w:rPr>
              <w:t>Matériel d’équipement</w:t>
            </w:r>
          </w:p>
        </w:tc>
        <w:tc>
          <w:tcPr>
            <w:tcW w:type="dxa" w:w="5386"/>
          </w:tcPr>
          <w:p>
            <w:pPr>
              <w:spacing w:after="20" w:before="20"/>
              <w:jc w:val="center"/>
            </w:pPr>
            <w:r/>
            <w:r>
              <w:rPr>
                <w:b w:val="0"/>
                <w:sz w:val="19"/>
              </w:rPr>
              <w:t>Paintball (140 000) ; e-bike 15 vélos (142 485) ; accessoires &amp; sécurité e-bike (18 000) ; cuisine pro (45 000) ; installation solaire (70 000)</w:t>
            </w:r>
          </w:p>
        </w:tc>
        <w:tc>
          <w:tcPr>
            <w:tcW w:type="dxa" w:w="1814"/>
          </w:tcPr>
          <w:p>
            <w:pPr>
              <w:spacing w:after="20" w:before="20"/>
              <w:jc w:val="center"/>
            </w:pPr>
            <w:r/>
            <w:r>
              <w:rPr>
                <w:b w:val="0"/>
                <w:sz w:val="19"/>
              </w:rPr>
              <w:t>415 486</w:t>
            </w:r>
          </w:p>
        </w:tc>
      </w:tr>
      <w:tr>
        <w:tc>
          <w:tcPr>
            <w:tcW w:type="dxa" w:w="2154"/>
          </w:tcPr>
          <w:p>
            <w:pPr>
              <w:spacing w:after="20" w:before="20"/>
            </w:pPr>
            <w:r/>
            <w:r>
              <w:rPr>
                <w:b/>
                <w:sz w:val="19"/>
              </w:rPr>
              <w:t>Divers &amp; imprévus</w:t>
            </w:r>
          </w:p>
        </w:tc>
        <w:tc>
          <w:tcPr>
            <w:tcW w:type="dxa" w:w="5386"/>
          </w:tcPr>
          <w:p>
            <w:pPr>
              <w:spacing w:after="20" w:before="20"/>
              <w:jc w:val="center"/>
            </w:pPr>
            <w:r/>
            <w:r>
              <w:rPr>
                <w:b w:val="0"/>
                <w:sz w:val="19"/>
              </w:rPr>
              <w:t>Aléas et ajustements</w:t>
            </w:r>
          </w:p>
        </w:tc>
        <w:tc>
          <w:tcPr>
            <w:tcW w:type="dxa" w:w="1814"/>
          </w:tcPr>
          <w:p>
            <w:pPr>
              <w:spacing w:after="20" w:before="20"/>
              <w:jc w:val="center"/>
            </w:pPr>
            <w:r/>
            <w:r>
              <w:rPr>
                <w:b w:val="0"/>
                <w:sz w:val="19"/>
              </w:rPr>
              <w:t>10 000</w:t>
            </w:r>
          </w:p>
        </w:tc>
      </w:tr>
      <w:tr>
        <w:tc>
          <w:tcPr>
            <w:tcW w:type="dxa" w:w="2154"/>
            <w:shd w:val="clear" w:fill="EFE7D6"/>
          </w:tcPr>
          <w:p>
            <w:pPr>
              <w:spacing w:after="20" w:before="20"/>
            </w:pPr>
            <w:r/>
            <w:r>
              <w:rPr>
                <w:b/>
                <w:color w:val="1B3A28"/>
                <w:sz w:val="19"/>
              </w:rPr>
              <w:t>Investissement total</w:t>
            </w:r>
          </w:p>
        </w:tc>
        <w:tc>
          <w:tcPr>
            <w:tcW w:type="dxa" w:w="5386"/>
            <w:shd w:val="clear" w:fill="EFE7D6"/>
          </w:tcPr>
          <w:p>
            <w:pPr>
              <w:spacing w:after="20" w:before="20"/>
              <w:jc w:val="center"/>
            </w:pPr>
            <w:r/>
            <w:r>
              <w:rPr>
                <w:b/>
                <w:color w:val="1B3A28"/>
                <w:sz w:val="19"/>
              </w:rPr>
            </w:r>
          </w:p>
        </w:tc>
        <w:tc>
          <w:tcPr>
            <w:tcW w:type="dxa" w:w="1814"/>
            <w:shd w:val="clear" w:fill="EFE7D6"/>
          </w:tcPr>
          <w:p>
            <w:pPr>
              <w:spacing w:after="20" w:before="20"/>
              <w:jc w:val="center"/>
            </w:pPr>
            <w:r/>
            <w:r>
              <w:rPr>
                <w:b/>
                <w:color w:val="1B3A28"/>
                <w:sz w:val="19"/>
              </w:rPr>
              <w:t>983 486</w:t>
            </w:r>
          </w:p>
        </w:tc>
      </w:tr>
    </w:tbl>
    <w:p>
      <w:pPr>
        <w:spacing w:after="40"/>
      </w:pPr>
    </w:p>
    <w:p>
      <w:pPr>
        <w:spacing w:before="160" w:after="40"/>
      </w:pPr>
      <w:r>
        <w:rPr>
          <w:b/>
          <w:color w:val="152E1F"/>
          <w:sz w:val="23"/>
        </w:rPr>
        <w:t>Plan de financement</w:t>
      </w:r>
    </w:p>
    <w:tbl>
      <w:tblPr>
        <w:tblStyle w:val="TableGrid"/>
        <w:tblW w:type="auto" w:w="0"/>
        <w:jc w:val="center"/>
        <w:tblLook w:firstColumn="1" w:firstRow="1" w:lastColumn="0" w:lastRow="0" w:noHBand="0" w:noVBand="1" w:val="04A0"/>
      </w:tblPr>
      <w:tblGrid>
        <w:gridCol w:w="3400"/>
        <w:gridCol w:w="3400"/>
        <w:gridCol w:w="3400"/>
      </w:tblGrid>
      <w:tr>
        <w:tc>
          <w:tcPr>
            <w:tcW w:type="dxa" w:w="5386"/>
            <w:shd w:val="clear" w:fill="1B3A28"/>
          </w:tcPr>
          <w:p>
            <w:pPr>
              <w:spacing w:after="20" w:before="20"/>
            </w:pPr>
            <w:r/>
            <w:r>
              <w:rPr>
                <w:b/>
                <w:color w:val="FFFFFF"/>
                <w:sz w:val="19"/>
              </w:rPr>
              <w:t>Ressource</w:t>
            </w:r>
          </w:p>
        </w:tc>
        <w:tc>
          <w:tcPr>
            <w:tcW w:type="dxa" w:w="2268"/>
            <w:shd w:val="clear" w:fill="1B3A28"/>
          </w:tcPr>
          <w:p>
            <w:pPr>
              <w:spacing w:after="20" w:before="20"/>
              <w:jc w:val="center"/>
            </w:pPr>
            <w:r/>
            <w:r>
              <w:rPr>
                <w:b/>
                <w:color w:val="FFFFFF"/>
                <w:sz w:val="19"/>
              </w:rPr>
              <w:t>Montant (DH)</w:t>
            </w:r>
          </w:p>
        </w:tc>
        <w:tc>
          <w:tcPr>
            <w:tcW w:type="dxa" w:w="1701"/>
            <w:shd w:val="clear" w:fill="1B3A28"/>
          </w:tcPr>
          <w:p>
            <w:pPr>
              <w:spacing w:after="20" w:before="20"/>
              <w:jc w:val="center"/>
            </w:pPr>
            <w:r/>
            <w:r>
              <w:rPr>
                <w:b/>
                <w:color w:val="FFFFFF"/>
                <w:sz w:val="19"/>
              </w:rPr>
              <w:t>Part</w:t>
            </w:r>
          </w:p>
        </w:tc>
      </w:tr>
      <w:tr>
        <w:tc>
          <w:tcPr>
            <w:tcW w:type="dxa" w:w="5386"/>
          </w:tcPr>
          <w:p>
            <w:pPr>
              <w:spacing w:after="20" w:before="20"/>
            </w:pPr>
            <w:r/>
            <w:r>
              <w:rPr>
                <w:b/>
                <w:sz w:val="19"/>
              </w:rPr>
              <w:t>Fonds propres (capital 20 000 + comptes courants d’associés 127 523)</w:t>
            </w:r>
          </w:p>
        </w:tc>
        <w:tc>
          <w:tcPr>
            <w:tcW w:type="dxa" w:w="2268"/>
          </w:tcPr>
          <w:p>
            <w:pPr>
              <w:spacing w:after="20" w:before="20"/>
              <w:jc w:val="center"/>
            </w:pPr>
            <w:r/>
            <w:r>
              <w:rPr>
                <w:b w:val="0"/>
                <w:sz w:val="19"/>
              </w:rPr>
              <w:t>147 523</w:t>
            </w:r>
          </w:p>
        </w:tc>
        <w:tc>
          <w:tcPr>
            <w:tcW w:type="dxa" w:w="1701"/>
          </w:tcPr>
          <w:p>
            <w:pPr>
              <w:spacing w:after="20" w:before="20"/>
              <w:jc w:val="center"/>
            </w:pPr>
            <w:r/>
            <w:r>
              <w:rPr>
                <w:b w:val="0"/>
                <w:sz w:val="19"/>
              </w:rPr>
              <w:t>15,0 %</w:t>
            </w:r>
          </w:p>
        </w:tc>
      </w:tr>
      <w:tr>
        <w:tc>
          <w:tcPr>
            <w:tcW w:type="dxa" w:w="5386"/>
          </w:tcPr>
          <w:p>
            <w:pPr>
              <w:spacing w:after="20" w:before="20"/>
            </w:pPr>
            <w:r/>
            <w:r>
              <w:rPr>
                <w:b/>
                <w:sz w:val="19"/>
              </w:rPr>
              <w:t>Crédit à moyen terme (CMT)</w:t>
            </w:r>
          </w:p>
        </w:tc>
        <w:tc>
          <w:tcPr>
            <w:tcW w:type="dxa" w:w="2268"/>
          </w:tcPr>
          <w:p>
            <w:pPr>
              <w:spacing w:after="20" w:before="20"/>
              <w:jc w:val="center"/>
            </w:pPr>
            <w:r/>
            <w:r>
              <w:rPr>
                <w:b w:val="0"/>
                <w:sz w:val="19"/>
              </w:rPr>
              <w:t>491 743</w:t>
            </w:r>
          </w:p>
        </w:tc>
        <w:tc>
          <w:tcPr>
            <w:tcW w:type="dxa" w:w="1701"/>
          </w:tcPr>
          <w:p>
            <w:pPr>
              <w:spacing w:after="20" w:before="20"/>
              <w:jc w:val="center"/>
            </w:pPr>
            <w:r/>
            <w:r>
              <w:rPr>
                <w:b w:val="0"/>
                <w:sz w:val="19"/>
              </w:rPr>
              <w:t>50,0 %</w:t>
            </w:r>
          </w:p>
        </w:tc>
      </w:tr>
      <w:tr>
        <w:tc>
          <w:tcPr>
            <w:tcW w:type="dxa" w:w="5386"/>
          </w:tcPr>
          <w:p>
            <w:pPr>
              <w:spacing w:after="20" w:before="20"/>
            </w:pPr>
            <w:r/>
            <w:r>
              <w:rPr>
                <w:b/>
                <w:sz w:val="19"/>
              </w:rPr>
              <w:t>Prime GO SIYAHA</w:t>
            </w:r>
          </w:p>
        </w:tc>
        <w:tc>
          <w:tcPr>
            <w:tcW w:type="dxa" w:w="2268"/>
          </w:tcPr>
          <w:p>
            <w:pPr>
              <w:spacing w:after="20" w:before="20"/>
              <w:jc w:val="center"/>
            </w:pPr>
            <w:r/>
            <w:r>
              <w:rPr>
                <w:b w:val="0"/>
                <w:sz w:val="19"/>
              </w:rPr>
              <w:t>344 220</w:t>
            </w:r>
          </w:p>
        </w:tc>
        <w:tc>
          <w:tcPr>
            <w:tcW w:type="dxa" w:w="1701"/>
          </w:tcPr>
          <w:p>
            <w:pPr>
              <w:spacing w:after="20" w:before="20"/>
              <w:jc w:val="center"/>
            </w:pPr>
            <w:r/>
            <w:r>
              <w:rPr>
                <w:b w:val="0"/>
                <w:sz w:val="19"/>
              </w:rPr>
              <w:t>35,0 %</w:t>
            </w:r>
          </w:p>
        </w:tc>
      </w:tr>
      <w:tr>
        <w:tc>
          <w:tcPr>
            <w:tcW w:type="dxa" w:w="5386"/>
            <w:shd w:val="clear" w:fill="EFE7D6"/>
          </w:tcPr>
          <w:p>
            <w:pPr>
              <w:spacing w:after="20" w:before="20"/>
            </w:pPr>
            <w:r/>
            <w:r>
              <w:rPr>
                <w:b/>
                <w:color w:val="1B3A28"/>
                <w:sz w:val="19"/>
              </w:rPr>
              <w:t>Total financement</w:t>
            </w:r>
          </w:p>
        </w:tc>
        <w:tc>
          <w:tcPr>
            <w:tcW w:type="dxa" w:w="2268"/>
            <w:shd w:val="clear" w:fill="EFE7D6"/>
          </w:tcPr>
          <w:p>
            <w:pPr>
              <w:spacing w:after="20" w:before="20"/>
              <w:jc w:val="center"/>
            </w:pPr>
            <w:r/>
            <w:r>
              <w:rPr>
                <w:b/>
                <w:color w:val="1B3A28"/>
                <w:sz w:val="19"/>
              </w:rPr>
              <w:t>983 486</w:t>
            </w:r>
          </w:p>
        </w:tc>
        <w:tc>
          <w:tcPr>
            <w:tcW w:type="dxa" w:w="1701"/>
            <w:shd w:val="clear" w:fill="EFE7D6"/>
          </w:tcPr>
          <w:p>
            <w:pPr>
              <w:spacing w:after="20" w:before="20"/>
              <w:jc w:val="center"/>
            </w:pPr>
            <w:r/>
            <w:r>
              <w:rPr>
                <w:b/>
                <w:color w:val="1B3A28"/>
                <w:sz w:val="19"/>
              </w:rPr>
              <w:t>100 %</w:t>
            </w:r>
          </w:p>
        </w:tc>
      </w:tr>
    </w:tbl>
    <w:p>
      <w:pPr>
        <w:spacing w:after="40"/>
      </w:pPr>
    </w:p>
    <w:p>
      <w:pPr>
        <w:spacing w:after="80"/>
        <w:jc w:val="both"/>
      </w:pPr>
      <w:r>
        <w:rPr>
          <w:i/>
          <w:sz w:val="21"/>
        </w:rPr>
        <w:t>Conformité GO SIYAHA : apport en fonds propres ≥ 15 % ✔ ; CMT ≤ 50 % ✔ ; prime 35 % du programme primable ✔.</w:t>
      </w:r>
    </w:p>
    <w:p>
      <w:pPr>
        <w:spacing w:before="160" w:after="40"/>
      </w:pPr>
      <w:r>
        <w:rPr>
          <w:b/>
          <w:color w:val="152E1F"/>
          <w:sz w:val="23"/>
        </w:rPr>
        <w:t>Déblocage de la prime (20 % / 40 % / 40 %)</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val="clear" w:fill="1B3A28"/>
          </w:tcPr>
          <w:p>
            <w:pPr>
              <w:spacing w:after="20" w:before="20"/>
            </w:pPr>
            <w:r/>
            <w:r>
              <w:rPr>
                <w:b/>
                <w:color w:val="FFFFFF"/>
                <w:sz w:val="19"/>
              </w:rPr>
              <w:t>Tranche</w:t>
            </w:r>
          </w:p>
        </w:tc>
        <w:tc>
          <w:tcPr>
            <w:tcW w:type="dxa" w:w="5102"/>
            <w:shd w:val="clear" w:fill="1B3A28"/>
          </w:tcPr>
          <w:p>
            <w:pPr>
              <w:spacing w:after="20" w:before="20"/>
              <w:jc w:val="center"/>
            </w:pPr>
            <w:r/>
            <w:r>
              <w:rPr>
                <w:b/>
                <w:color w:val="FFFFFF"/>
                <w:sz w:val="19"/>
              </w:rPr>
              <w:t>Déclencheur</w:t>
            </w:r>
          </w:p>
        </w:tc>
        <w:tc>
          <w:tcPr>
            <w:tcW w:type="dxa" w:w="1984"/>
            <w:shd w:val="clear" w:fill="1B3A28"/>
          </w:tcPr>
          <w:p>
            <w:pPr>
              <w:spacing w:after="20" w:before="20"/>
              <w:jc w:val="center"/>
            </w:pPr>
            <w:r/>
            <w:r>
              <w:rPr>
                <w:b/>
                <w:color w:val="FFFFFF"/>
                <w:sz w:val="19"/>
              </w:rPr>
              <w:t>Montant (DH)</w:t>
            </w:r>
          </w:p>
        </w:tc>
      </w:tr>
      <w:tr>
        <w:tc>
          <w:tcPr>
            <w:tcW w:type="dxa" w:w="2268"/>
          </w:tcPr>
          <w:p>
            <w:pPr>
              <w:spacing w:after="20" w:before="20"/>
            </w:pPr>
            <w:r/>
            <w:r>
              <w:rPr>
                <w:b/>
                <w:sz w:val="19"/>
              </w:rPr>
              <w:t>1re tranche (20 %)</w:t>
            </w:r>
          </w:p>
        </w:tc>
        <w:tc>
          <w:tcPr>
            <w:tcW w:type="dxa" w:w="5102"/>
          </w:tcPr>
          <w:p>
            <w:pPr>
              <w:spacing w:after="20" w:before="20"/>
              <w:jc w:val="center"/>
            </w:pPr>
            <w:r/>
            <w:r>
              <w:rPr>
                <w:b w:val="0"/>
                <w:sz w:val="19"/>
              </w:rPr>
              <w:t>Démarrage / 1er constat de réalisation</w:t>
            </w:r>
          </w:p>
        </w:tc>
        <w:tc>
          <w:tcPr>
            <w:tcW w:type="dxa" w:w="1984"/>
          </w:tcPr>
          <w:p>
            <w:pPr>
              <w:spacing w:after="20" w:before="20"/>
              <w:jc w:val="center"/>
            </w:pPr>
            <w:r/>
            <w:r>
              <w:rPr>
                <w:b w:val="0"/>
                <w:sz w:val="19"/>
              </w:rPr>
              <w:t>68 844</w:t>
            </w:r>
          </w:p>
        </w:tc>
      </w:tr>
      <w:tr>
        <w:tc>
          <w:tcPr>
            <w:tcW w:type="dxa" w:w="2268"/>
          </w:tcPr>
          <w:p>
            <w:pPr>
              <w:spacing w:after="20" w:before="20"/>
            </w:pPr>
            <w:r/>
            <w:r>
              <w:rPr>
                <w:b/>
                <w:sz w:val="19"/>
              </w:rPr>
              <w:t>2e tranche (40 %)</w:t>
            </w:r>
          </w:p>
        </w:tc>
        <w:tc>
          <w:tcPr>
            <w:tcW w:type="dxa" w:w="5102"/>
          </w:tcPr>
          <w:p>
            <w:pPr>
              <w:spacing w:after="20" w:before="20"/>
              <w:jc w:val="center"/>
            </w:pPr>
            <w:r/>
            <w:r>
              <w:rPr>
                <w:b w:val="0"/>
                <w:sz w:val="19"/>
              </w:rPr>
              <w:t>Avancement intermédiaire</w:t>
            </w:r>
          </w:p>
        </w:tc>
        <w:tc>
          <w:tcPr>
            <w:tcW w:type="dxa" w:w="1984"/>
          </w:tcPr>
          <w:p>
            <w:pPr>
              <w:spacing w:after="20" w:before="20"/>
              <w:jc w:val="center"/>
            </w:pPr>
            <w:r/>
            <w:r>
              <w:rPr>
                <w:b w:val="0"/>
                <w:sz w:val="19"/>
              </w:rPr>
              <w:t>137 688</w:t>
            </w:r>
          </w:p>
        </w:tc>
      </w:tr>
      <w:tr>
        <w:tc>
          <w:tcPr>
            <w:tcW w:type="dxa" w:w="2268"/>
          </w:tcPr>
          <w:p>
            <w:pPr>
              <w:spacing w:after="20" w:before="20"/>
            </w:pPr>
            <w:r/>
            <w:r>
              <w:rPr>
                <w:b/>
                <w:sz w:val="19"/>
              </w:rPr>
              <w:t>3e tranche (40 %)</w:t>
            </w:r>
          </w:p>
        </w:tc>
        <w:tc>
          <w:tcPr>
            <w:tcW w:type="dxa" w:w="5102"/>
          </w:tcPr>
          <w:p>
            <w:pPr>
              <w:spacing w:after="20" w:before="20"/>
              <w:jc w:val="center"/>
            </w:pPr>
            <w:r/>
            <w:r>
              <w:rPr>
                <w:b w:val="0"/>
                <w:sz w:val="19"/>
              </w:rPr>
              <w:t>Achèvement / constat final</w:t>
            </w:r>
          </w:p>
        </w:tc>
        <w:tc>
          <w:tcPr>
            <w:tcW w:type="dxa" w:w="1984"/>
          </w:tcPr>
          <w:p>
            <w:pPr>
              <w:spacing w:after="20" w:before="20"/>
              <w:jc w:val="center"/>
            </w:pPr>
            <w:r/>
            <w:r>
              <w:rPr>
                <w:b w:val="0"/>
                <w:sz w:val="19"/>
              </w:rPr>
              <w:t>137 688</w:t>
            </w:r>
          </w:p>
        </w:tc>
      </w:tr>
      <w:tr>
        <w:tc>
          <w:tcPr>
            <w:tcW w:type="dxa" w:w="2268"/>
            <w:shd w:val="clear" w:fill="EFE7D6"/>
          </w:tcPr>
          <w:p>
            <w:pPr>
              <w:spacing w:after="20" w:before="20"/>
            </w:pPr>
            <w:r/>
            <w:r>
              <w:rPr>
                <w:b/>
                <w:color w:val="1B3A28"/>
                <w:sz w:val="19"/>
              </w:rPr>
              <w:t>Total prime</w:t>
            </w:r>
          </w:p>
        </w:tc>
        <w:tc>
          <w:tcPr>
            <w:tcW w:type="dxa" w:w="5102"/>
            <w:shd w:val="clear" w:fill="EFE7D6"/>
          </w:tcPr>
          <w:p>
            <w:pPr>
              <w:spacing w:after="20" w:before="20"/>
              <w:jc w:val="center"/>
            </w:pPr>
            <w:r/>
            <w:r>
              <w:rPr>
                <w:b/>
                <w:color w:val="1B3A28"/>
                <w:sz w:val="19"/>
              </w:rPr>
            </w:r>
          </w:p>
        </w:tc>
        <w:tc>
          <w:tcPr>
            <w:tcW w:type="dxa" w:w="1984"/>
            <w:shd w:val="clear" w:fill="EFE7D6"/>
          </w:tcPr>
          <w:p>
            <w:pPr>
              <w:spacing w:after="20" w:before="20"/>
              <w:jc w:val="center"/>
            </w:pPr>
            <w:r/>
            <w:r>
              <w:rPr>
                <w:b/>
                <w:color w:val="1B3A28"/>
                <w:sz w:val="19"/>
              </w:rPr>
              <w:t>344 220</w:t>
            </w:r>
          </w:p>
        </w:tc>
      </w:tr>
    </w:tbl>
    <w:p>
      <w:pPr>
        <w:spacing w:after="40"/>
      </w:pPr>
    </w:p>
    <w:p>
      <w:pPr>
        <w:spacing w:before="280" w:after="80"/>
        <w:pBdr>
          <w:bottom w:val="single" w:sz="6" w:space="2" w:color="C8A440"/>
        </w:pBdr>
      </w:pPr>
      <w:r>
        <w:rPr>
          <w:b/>
          <w:color w:val="1B3A28"/>
          <w:sz w:val="28"/>
        </w:rPr>
        <w:t>12.  Hypothèses commerciales &amp; prévisionnel financier consolidé</w:t>
      </w:r>
    </w:p>
    <w:p>
      <w:pPr>
        <w:spacing w:before="160" w:after="40"/>
      </w:pPr>
      <w:r>
        <w:rPr>
          <w:b/>
          <w:color w:val="152E1F"/>
          <w:sz w:val="23"/>
        </w:rPr>
        <w:t>Capacité &amp; taux d’occupation</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val="clear" w:fill="1B3A28"/>
          </w:tcPr>
          <w:p>
            <w:pPr>
              <w:spacing w:after="20" w:before="20"/>
            </w:pPr>
            <w:r/>
            <w:r>
              <w:rPr>
                <w:b/>
                <w:color w:val="FFFFFF"/>
                <w:sz w:val="19"/>
              </w:rPr>
              <w:t>Activité</w:t>
            </w:r>
          </w:p>
        </w:tc>
        <w:tc>
          <w:tcPr>
            <w:tcW w:type="dxa" w:w="2551"/>
            <w:shd w:val="clear" w:fill="1B3A28"/>
          </w:tcPr>
          <w:p>
            <w:pPr>
              <w:spacing w:after="20" w:before="20"/>
              <w:jc w:val="center"/>
            </w:pPr>
            <w:r/>
            <w:r>
              <w:rPr>
                <w:b/>
                <w:color w:val="FFFFFF"/>
                <w:sz w:val="19"/>
              </w:rPr>
              <w:t>Capacité</w:t>
            </w:r>
          </w:p>
        </w:tc>
        <w:tc>
          <w:tcPr>
            <w:tcW w:type="dxa" w:w="3969"/>
            <w:shd w:val="clear" w:fill="1B3A28"/>
          </w:tcPr>
          <w:p>
            <w:pPr>
              <w:spacing w:after="20" w:before="20"/>
              <w:jc w:val="center"/>
            </w:pPr>
            <w:r/>
            <w:r>
              <w:rPr>
                <w:b/>
                <w:color w:val="FFFFFF"/>
                <w:sz w:val="19"/>
              </w:rPr>
              <w:t>Taux d’occupation An1 → An5</w:t>
            </w:r>
          </w:p>
        </w:tc>
      </w:tr>
      <w:tr>
        <w:tc>
          <w:tcPr>
            <w:tcW w:type="dxa" w:w="2835"/>
          </w:tcPr>
          <w:p>
            <w:pPr>
              <w:spacing w:after="20" w:before="20"/>
            </w:pPr>
            <w:r/>
            <w:r>
              <w:rPr>
                <w:b/>
                <w:sz w:val="19"/>
              </w:rPr>
              <w:t>E-bike / Fatbike</w:t>
            </w:r>
          </w:p>
        </w:tc>
        <w:tc>
          <w:tcPr>
            <w:tcW w:type="dxa" w:w="2551"/>
          </w:tcPr>
          <w:p>
            <w:pPr>
              <w:spacing w:after="20" w:before="20"/>
              <w:jc w:val="center"/>
            </w:pPr>
            <w:r/>
            <w:r>
              <w:rPr>
                <w:b w:val="0"/>
                <w:sz w:val="19"/>
              </w:rPr>
              <w:t>15 vélos</w:t>
            </w:r>
          </w:p>
        </w:tc>
        <w:tc>
          <w:tcPr>
            <w:tcW w:type="dxa" w:w="3969"/>
          </w:tcPr>
          <w:p>
            <w:pPr>
              <w:spacing w:after="20" w:before="20"/>
              <w:jc w:val="center"/>
            </w:pPr>
            <w:r/>
            <w:r>
              <w:rPr>
                <w:b w:val="0"/>
                <w:sz w:val="19"/>
              </w:rPr>
              <w:t>18 % → 38 %</w:t>
            </w:r>
          </w:p>
        </w:tc>
      </w:tr>
      <w:tr>
        <w:tc>
          <w:tcPr>
            <w:tcW w:type="dxa" w:w="2835"/>
          </w:tcPr>
          <w:p>
            <w:pPr>
              <w:spacing w:after="20" w:before="20"/>
            </w:pPr>
            <w:r/>
            <w:r>
              <w:rPr>
                <w:b/>
                <w:sz w:val="19"/>
              </w:rPr>
              <w:t>Paintball</w:t>
            </w:r>
          </w:p>
        </w:tc>
        <w:tc>
          <w:tcPr>
            <w:tcW w:type="dxa" w:w="2551"/>
          </w:tcPr>
          <w:p>
            <w:pPr>
              <w:spacing w:after="20" w:before="20"/>
              <w:jc w:val="center"/>
            </w:pPr>
            <w:r/>
            <w:r>
              <w:rPr>
                <w:b w:val="0"/>
                <w:sz w:val="19"/>
              </w:rPr>
              <w:t>20 joueurs</w:t>
            </w:r>
          </w:p>
        </w:tc>
        <w:tc>
          <w:tcPr>
            <w:tcW w:type="dxa" w:w="3969"/>
          </w:tcPr>
          <w:p>
            <w:pPr>
              <w:spacing w:after="20" w:before="20"/>
              <w:jc w:val="center"/>
            </w:pPr>
            <w:r/>
            <w:r>
              <w:rPr>
                <w:b w:val="0"/>
                <w:sz w:val="19"/>
              </w:rPr>
              <w:t>18 % → 38 %</w:t>
            </w:r>
          </w:p>
        </w:tc>
      </w:tr>
      <w:tr>
        <w:tc>
          <w:tcPr>
            <w:tcW w:type="dxa" w:w="2835"/>
          </w:tcPr>
          <w:p>
            <w:pPr>
              <w:spacing w:after="20" w:before="20"/>
            </w:pPr>
            <w:r/>
            <w:r>
              <w:rPr>
                <w:b/>
                <w:sz w:val="19"/>
              </w:rPr>
              <w:t>Ateliers cuisine</w:t>
            </w:r>
          </w:p>
        </w:tc>
        <w:tc>
          <w:tcPr>
            <w:tcW w:type="dxa" w:w="2551"/>
          </w:tcPr>
          <w:p>
            <w:pPr>
              <w:spacing w:after="20" w:before="20"/>
              <w:jc w:val="center"/>
            </w:pPr>
            <w:r/>
            <w:r>
              <w:rPr>
                <w:b w:val="0"/>
                <w:sz w:val="19"/>
              </w:rPr>
              <w:t>15 places</w:t>
            </w:r>
          </w:p>
        </w:tc>
        <w:tc>
          <w:tcPr>
            <w:tcW w:type="dxa" w:w="3969"/>
          </w:tcPr>
          <w:p>
            <w:pPr>
              <w:spacing w:after="20" w:before="20"/>
              <w:jc w:val="center"/>
            </w:pPr>
            <w:r/>
            <w:r>
              <w:rPr>
                <w:b w:val="0"/>
                <w:sz w:val="19"/>
              </w:rPr>
              <w:t>18 % → 38 %</w:t>
            </w:r>
          </w:p>
        </w:tc>
      </w:tr>
    </w:tbl>
    <w:p>
      <w:pPr>
        <w:spacing w:after="40"/>
      </w:pPr>
    </w:p>
    <w:p>
      <w:pPr>
        <w:spacing w:before="160" w:after="40"/>
      </w:pPr>
      <w:r>
        <w:rPr>
          <w:b/>
          <w:color w:val="152E1F"/>
          <w:sz w:val="23"/>
        </w:rPr>
        <w:t>Chiffre d’affaires par activité (en KDH)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175"/>
            <w:shd w:val="clear" w:fill="1B3A28"/>
          </w:tcPr>
          <w:p>
            <w:pPr>
              <w:spacing w:after="20" w:before="20"/>
            </w:pPr>
            <w:r/>
            <w:r>
              <w:rPr>
                <w:b/>
                <w:color w:val="FFFFFF"/>
                <w:sz w:val="19"/>
              </w:rPr>
              <w:t>Activité</w:t>
            </w:r>
          </w:p>
        </w:tc>
        <w:tc>
          <w:tcPr>
            <w:tcW w:type="dxa" w:w="1247"/>
            <w:shd w:val="clear" w:fill="1B3A28"/>
          </w:tcPr>
          <w:p>
            <w:pPr>
              <w:spacing w:after="20" w:before="20"/>
              <w:jc w:val="center"/>
            </w:pPr>
            <w:r/>
            <w:r>
              <w:rPr>
                <w:b/>
                <w:color w:val="FFFFFF"/>
                <w:sz w:val="19"/>
              </w:rPr>
              <w:t>An1</w:t>
            </w:r>
          </w:p>
        </w:tc>
        <w:tc>
          <w:tcPr>
            <w:tcW w:type="dxa" w:w="1247"/>
            <w:shd w:val="clear" w:fill="1B3A28"/>
          </w:tcPr>
          <w:p>
            <w:pPr>
              <w:spacing w:after="20" w:before="20"/>
              <w:jc w:val="center"/>
            </w:pPr>
            <w:r/>
            <w:r>
              <w:rPr>
                <w:b/>
                <w:color w:val="FFFFFF"/>
                <w:sz w:val="19"/>
              </w:rPr>
              <w:t>An2</w:t>
            </w:r>
          </w:p>
        </w:tc>
        <w:tc>
          <w:tcPr>
            <w:tcW w:type="dxa" w:w="1247"/>
            <w:shd w:val="clear" w:fill="1B3A28"/>
          </w:tcPr>
          <w:p>
            <w:pPr>
              <w:spacing w:after="20" w:before="20"/>
              <w:jc w:val="center"/>
            </w:pPr>
            <w:r/>
            <w:r>
              <w:rPr>
                <w:b/>
                <w:color w:val="FFFFFF"/>
                <w:sz w:val="19"/>
              </w:rPr>
              <w:t>An3</w:t>
            </w:r>
          </w:p>
        </w:tc>
        <w:tc>
          <w:tcPr>
            <w:tcW w:type="dxa" w:w="1247"/>
            <w:shd w:val="clear" w:fill="1B3A28"/>
          </w:tcPr>
          <w:p>
            <w:pPr>
              <w:spacing w:after="20" w:before="20"/>
              <w:jc w:val="center"/>
            </w:pPr>
            <w:r/>
            <w:r>
              <w:rPr>
                <w:b/>
                <w:color w:val="FFFFFF"/>
                <w:sz w:val="19"/>
              </w:rPr>
              <w:t>An4</w:t>
            </w:r>
          </w:p>
        </w:tc>
        <w:tc>
          <w:tcPr>
            <w:tcW w:type="dxa" w:w="1247"/>
            <w:shd w:val="clear" w:fill="1B3A28"/>
          </w:tcPr>
          <w:p>
            <w:pPr>
              <w:spacing w:after="20" w:before="20"/>
              <w:jc w:val="center"/>
            </w:pPr>
            <w:r/>
            <w:r>
              <w:rPr>
                <w:b/>
                <w:color w:val="FFFFFF"/>
                <w:sz w:val="19"/>
              </w:rPr>
              <w:t>An5</w:t>
            </w:r>
          </w:p>
        </w:tc>
      </w:tr>
      <w:tr>
        <w:tc>
          <w:tcPr>
            <w:tcW w:type="dxa" w:w="3175"/>
          </w:tcPr>
          <w:p>
            <w:pPr>
              <w:spacing w:after="20" w:before="20"/>
            </w:pPr>
            <w:r/>
            <w:r>
              <w:rPr>
                <w:b/>
                <w:sz w:val="19"/>
              </w:rPr>
              <w:t>E-bike / Fatbike (≈ 38 %)</w:t>
            </w:r>
          </w:p>
        </w:tc>
        <w:tc>
          <w:tcPr>
            <w:tcW w:type="dxa" w:w="1247"/>
          </w:tcPr>
          <w:p>
            <w:pPr>
              <w:spacing w:after="20" w:before="20"/>
              <w:jc w:val="center"/>
            </w:pPr>
            <w:r/>
            <w:r>
              <w:rPr>
                <w:b w:val="0"/>
                <w:sz w:val="19"/>
              </w:rPr>
              <w:t>200</w:t>
            </w:r>
          </w:p>
        </w:tc>
        <w:tc>
          <w:tcPr>
            <w:tcW w:type="dxa" w:w="1247"/>
          </w:tcPr>
          <w:p>
            <w:pPr>
              <w:spacing w:after="20" w:before="20"/>
              <w:jc w:val="center"/>
            </w:pPr>
            <w:r/>
            <w:r>
              <w:rPr>
                <w:b w:val="0"/>
                <w:sz w:val="19"/>
              </w:rPr>
              <w:t>455</w:t>
            </w:r>
          </w:p>
        </w:tc>
        <w:tc>
          <w:tcPr>
            <w:tcW w:type="dxa" w:w="1247"/>
          </w:tcPr>
          <w:p>
            <w:pPr>
              <w:spacing w:after="20" w:before="20"/>
              <w:jc w:val="center"/>
            </w:pPr>
            <w:r/>
            <w:r>
              <w:rPr>
                <w:b w:val="0"/>
                <w:sz w:val="19"/>
              </w:rPr>
              <w:t>555</w:t>
            </w:r>
          </w:p>
        </w:tc>
        <w:tc>
          <w:tcPr>
            <w:tcW w:type="dxa" w:w="1247"/>
          </w:tcPr>
          <w:p>
            <w:pPr>
              <w:spacing w:after="20" w:before="20"/>
              <w:jc w:val="center"/>
            </w:pPr>
            <w:r/>
            <w:r>
              <w:rPr>
                <w:b w:val="0"/>
                <w:sz w:val="19"/>
              </w:rPr>
              <w:t>654</w:t>
            </w:r>
          </w:p>
        </w:tc>
        <w:tc>
          <w:tcPr>
            <w:tcW w:type="dxa" w:w="1247"/>
          </w:tcPr>
          <w:p>
            <w:pPr>
              <w:spacing w:after="20" w:before="20"/>
              <w:jc w:val="center"/>
            </w:pPr>
            <w:r/>
            <w:r>
              <w:rPr>
                <w:b w:val="0"/>
                <w:sz w:val="19"/>
              </w:rPr>
              <w:t>753</w:t>
            </w:r>
          </w:p>
        </w:tc>
      </w:tr>
      <w:tr>
        <w:tc>
          <w:tcPr>
            <w:tcW w:type="dxa" w:w="3175"/>
          </w:tcPr>
          <w:p>
            <w:pPr>
              <w:spacing w:after="20" w:before="20"/>
            </w:pPr>
            <w:r/>
            <w:r>
              <w:rPr>
                <w:b/>
                <w:sz w:val="19"/>
              </w:rPr>
              <w:t>Paintball (≈ 31 %)</w:t>
            </w:r>
          </w:p>
        </w:tc>
        <w:tc>
          <w:tcPr>
            <w:tcW w:type="dxa" w:w="1247"/>
          </w:tcPr>
          <w:p>
            <w:pPr>
              <w:spacing w:after="20" w:before="20"/>
              <w:jc w:val="center"/>
            </w:pPr>
            <w:r/>
            <w:r>
              <w:rPr>
                <w:b w:val="0"/>
                <w:sz w:val="19"/>
              </w:rPr>
              <w:t>160</w:t>
            </w:r>
          </w:p>
        </w:tc>
        <w:tc>
          <w:tcPr>
            <w:tcW w:type="dxa" w:w="1247"/>
          </w:tcPr>
          <w:p>
            <w:pPr>
              <w:spacing w:after="20" w:before="20"/>
              <w:jc w:val="center"/>
            </w:pPr>
            <w:r/>
            <w:r>
              <w:rPr>
                <w:b w:val="0"/>
                <w:sz w:val="19"/>
              </w:rPr>
              <w:t>364</w:t>
            </w:r>
          </w:p>
        </w:tc>
        <w:tc>
          <w:tcPr>
            <w:tcW w:type="dxa" w:w="1247"/>
          </w:tcPr>
          <w:p>
            <w:pPr>
              <w:spacing w:after="20" w:before="20"/>
              <w:jc w:val="center"/>
            </w:pPr>
            <w:r/>
            <w:r>
              <w:rPr>
                <w:b w:val="0"/>
                <w:sz w:val="19"/>
              </w:rPr>
              <w:t>444</w:t>
            </w:r>
          </w:p>
        </w:tc>
        <w:tc>
          <w:tcPr>
            <w:tcW w:type="dxa" w:w="1247"/>
          </w:tcPr>
          <w:p>
            <w:pPr>
              <w:spacing w:after="20" w:before="20"/>
              <w:jc w:val="center"/>
            </w:pPr>
            <w:r/>
            <w:r>
              <w:rPr>
                <w:b w:val="0"/>
                <w:sz w:val="19"/>
              </w:rPr>
              <w:t>523</w:t>
            </w:r>
          </w:p>
        </w:tc>
        <w:tc>
          <w:tcPr>
            <w:tcW w:type="dxa" w:w="1247"/>
          </w:tcPr>
          <w:p>
            <w:pPr>
              <w:spacing w:after="20" w:before="20"/>
              <w:jc w:val="center"/>
            </w:pPr>
            <w:r/>
            <w:r>
              <w:rPr>
                <w:b w:val="0"/>
                <w:sz w:val="19"/>
              </w:rPr>
              <w:t>602</w:t>
            </w:r>
          </w:p>
        </w:tc>
      </w:tr>
      <w:tr>
        <w:tc>
          <w:tcPr>
            <w:tcW w:type="dxa" w:w="3175"/>
          </w:tcPr>
          <w:p>
            <w:pPr>
              <w:spacing w:after="20" w:before="20"/>
            </w:pPr>
            <w:r/>
            <w:r>
              <w:rPr>
                <w:b/>
                <w:sz w:val="19"/>
              </w:rPr>
              <w:t>Ateliers cuisine (≈ 31 %)</w:t>
            </w:r>
          </w:p>
        </w:tc>
        <w:tc>
          <w:tcPr>
            <w:tcW w:type="dxa" w:w="1247"/>
          </w:tcPr>
          <w:p>
            <w:pPr>
              <w:spacing w:after="20" w:before="20"/>
              <w:jc w:val="center"/>
            </w:pPr>
            <w:r/>
            <w:r>
              <w:rPr>
                <w:b w:val="0"/>
                <w:sz w:val="19"/>
              </w:rPr>
              <w:t>160</w:t>
            </w:r>
          </w:p>
        </w:tc>
        <w:tc>
          <w:tcPr>
            <w:tcW w:type="dxa" w:w="1247"/>
          </w:tcPr>
          <w:p>
            <w:pPr>
              <w:spacing w:after="20" w:before="20"/>
              <w:jc w:val="center"/>
            </w:pPr>
            <w:r/>
            <w:r>
              <w:rPr>
                <w:b w:val="0"/>
                <w:sz w:val="19"/>
              </w:rPr>
              <w:t>364</w:t>
            </w:r>
          </w:p>
        </w:tc>
        <w:tc>
          <w:tcPr>
            <w:tcW w:type="dxa" w:w="1247"/>
          </w:tcPr>
          <w:p>
            <w:pPr>
              <w:spacing w:after="20" w:before="20"/>
              <w:jc w:val="center"/>
            </w:pPr>
            <w:r/>
            <w:r>
              <w:rPr>
                <w:b w:val="0"/>
                <w:sz w:val="19"/>
              </w:rPr>
              <w:t>444</w:t>
            </w:r>
          </w:p>
        </w:tc>
        <w:tc>
          <w:tcPr>
            <w:tcW w:type="dxa" w:w="1247"/>
          </w:tcPr>
          <w:p>
            <w:pPr>
              <w:spacing w:after="20" w:before="20"/>
              <w:jc w:val="center"/>
            </w:pPr>
            <w:r/>
            <w:r>
              <w:rPr>
                <w:b w:val="0"/>
                <w:sz w:val="19"/>
              </w:rPr>
              <w:t>523</w:t>
            </w:r>
          </w:p>
        </w:tc>
        <w:tc>
          <w:tcPr>
            <w:tcW w:type="dxa" w:w="1247"/>
          </w:tcPr>
          <w:p>
            <w:pPr>
              <w:spacing w:after="20" w:before="20"/>
              <w:jc w:val="center"/>
            </w:pPr>
            <w:r/>
            <w:r>
              <w:rPr>
                <w:b w:val="0"/>
                <w:sz w:val="19"/>
              </w:rPr>
              <w:t>602</w:t>
            </w:r>
          </w:p>
        </w:tc>
      </w:tr>
      <w:tr>
        <w:tc>
          <w:tcPr>
            <w:tcW w:type="dxa" w:w="3175"/>
            <w:shd w:val="clear" w:fill="EFE7D6"/>
          </w:tcPr>
          <w:p>
            <w:pPr>
              <w:spacing w:after="20" w:before="20"/>
            </w:pPr>
            <w:r/>
            <w:r>
              <w:rPr>
                <w:b/>
                <w:color w:val="1B3A28"/>
                <w:sz w:val="19"/>
              </w:rPr>
              <w:t>CA total</w:t>
            </w:r>
          </w:p>
        </w:tc>
        <w:tc>
          <w:tcPr>
            <w:tcW w:type="dxa" w:w="1247"/>
            <w:shd w:val="clear" w:fill="EFE7D6"/>
          </w:tcPr>
          <w:p>
            <w:pPr>
              <w:spacing w:after="20" w:before="20"/>
              <w:jc w:val="center"/>
            </w:pPr>
            <w:r/>
            <w:r>
              <w:rPr>
                <w:b/>
                <w:color w:val="1B3A28"/>
                <w:sz w:val="19"/>
              </w:rPr>
              <w:t>520</w:t>
            </w:r>
          </w:p>
        </w:tc>
        <w:tc>
          <w:tcPr>
            <w:tcW w:type="dxa" w:w="1247"/>
            <w:shd w:val="clear" w:fill="EFE7D6"/>
          </w:tcPr>
          <w:p>
            <w:pPr>
              <w:spacing w:after="20" w:before="20"/>
              <w:jc w:val="center"/>
            </w:pPr>
            <w:r/>
            <w:r>
              <w:rPr>
                <w:b/>
                <w:color w:val="1B3A28"/>
                <w:sz w:val="19"/>
              </w:rPr>
              <w:t>1 184</w:t>
            </w:r>
          </w:p>
        </w:tc>
        <w:tc>
          <w:tcPr>
            <w:tcW w:type="dxa" w:w="1247"/>
            <w:shd w:val="clear" w:fill="EFE7D6"/>
          </w:tcPr>
          <w:p>
            <w:pPr>
              <w:spacing w:after="20" w:before="20"/>
              <w:jc w:val="center"/>
            </w:pPr>
            <w:r/>
            <w:r>
              <w:rPr>
                <w:b/>
                <w:color w:val="1B3A28"/>
                <w:sz w:val="19"/>
              </w:rPr>
              <w:t>1 443</w:t>
            </w:r>
          </w:p>
        </w:tc>
        <w:tc>
          <w:tcPr>
            <w:tcW w:type="dxa" w:w="1247"/>
            <w:shd w:val="clear" w:fill="EFE7D6"/>
          </w:tcPr>
          <w:p>
            <w:pPr>
              <w:spacing w:after="20" w:before="20"/>
              <w:jc w:val="center"/>
            </w:pPr>
            <w:r/>
            <w:r>
              <w:rPr>
                <w:b/>
                <w:color w:val="1B3A28"/>
                <w:sz w:val="19"/>
              </w:rPr>
              <w:t>1 700</w:t>
            </w:r>
          </w:p>
        </w:tc>
        <w:tc>
          <w:tcPr>
            <w:tcW w:type="dxa" w:w="1247"/>
            <w:shd w:val="clear" w:fill="EFE7D6"/>
          </w:tcPr>
          <w:p>
            <w:pPr>
              <w:spacing w:after="20" w:before="20"/>
              <w:jc w:val="center"/>
            </w:pPr>
            <w:r/>
            <w:r>
              <w:rPr>
                <w:b/>
                <w:color w:val="1B3A28"/>
                <w:sz w:val="19"/>
              </w:rPr>
              <w:t>1 957</w:t>
            </w:r>
          </w:p>
        </w:tc>
      </w:tr>
    </w:tbl>
    <w:p>
      <w:pPr>
        <w:spacing w:after="40"/>
      </w:pPr>
    </w:p>
    <w:p>
      <w:pPr>
        <w:spacing w:before="160" w:after="40"/>
      </w:pPr>
      <w:r>
        <w:rPr>
          <w:b/>
          <w:color w:val="152E1F"/>
          <w:sz w:val="23"/>
        </w:rPr>
        <w:t>Compte de produits et charges consolidé (en KDH)</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3175"/>
            <w:shd w:val="clear" w:fill="1B3A28"/>
          </w:tcPr>
          <w:p>
            <w:pPr>
              <w:spacing w:after="20" w:before="20"/>
            </w:pPr>
            <w:r/>
            <w:r>
              <w:rPr>
                <w:b/>
                <w:color w:val="FFFFFF"/>
                <w:sz w:val="19"/>
              </w:rPr>
              <w:t>Indicateur</w:t>
            </w:r>
          </w:p>
        </w:tc>
        <w:tc>
          <w:tcPr>
            <w:tcW w:type="dxa" w:w="1247"/>
            <w:shd w:val="clear" w:fill="1B3A28"/>
          </w:tcPr>
          <w:p>
            <w:pPr>
              <w:spacing w:after="20" w:before="20"/>
              <w:jc w:val="center"/>
            </w:pPr>
            <w:r/>
            <w:r>
              <w:rPr>
                <w:b/>
                <w:color w:val="FFFFFF"/>
                <w:sz w:val="19"/>
              </w:rPr>
              <w:t>An1</w:t>
            </w:r>
          </w:p>
        </w:tc>
        <w:tc>
          <w:tcPr>
            <w:tcW w:type="dxa" w:w="1247"/>
            <w:shd w:val="clear" w:fill="1B3A28"/>
          </w:tcPr>
          <w:p>
            <w:pPr>
              <w:spacing w:after="20" w:before="20"/>
              <w:jc w:val="center"/>
            </w:pPr>
            <w:r/>
            <w:r>
              <w:rPr>
                <w:b/>
                <w:color w:val="FFFFFF"/>
                <w:sz w:val="19"/>
              </w:rPr>
              <w:t>An2</w:t>
            </w:r>
          </w:p>
        </w:tc>
        <w:tc>
          <w:tcPr>
            <w:tcW w:type="dxa" w:w="1247"/>
            <w:shd w:val="clear" w:fill="1B3A28"/>
          </w:tcPr>
          <w:p>
            <w:pPr>
              <w:spacing w:after="20" w:before="20"/>
              <w:jc w:val="center"/>
            </w:pPr>
            <w:r/>
            <w:r>
              <w:rPr>
                <w:b/>
                <w:color w:val="FFFFFF"/>
                <w:sz w:val="19"/>
              </w:rPr>
              <w:t>An3</w:t>
            </w:r>
          </w:p>
        </w:tc>
        <w:tc>
          <w:tcPr>
            <w:tcW w:type="dxa" w:w="1247"/>
            <w:shd w:val="clear" w:fill="1B3A28"/>
          </w:tcPr>
          <w:p>
            <w:pPr>
              <w:spacing w:after="20" w:before="20"/>
              <w:jc w:val="center"/>
            </w:pPr>
            <w:r/>
            <w:r>
              <w:rPr>
                <w:b/>
                <w:color w:val="FFFFFF"/>
                <w:sz w:val="19"/>
              </w:rPr>
              <w:t>An4</w:t>
            </w:r>
          </w:p>
        </w:tc>
        <w:tc>
          <w:tcPr>
            <w:tcW w:type="dxa" w:w="1247"/>
            <w:shd w:val="clear" w:fill="1B3A28"/>
          </w:tcPr>
          <w:p>
            <w:pPr>
              <w:spacing w:after="20" w:before="20"/>
              <w:jc w:val="center"/>
            </w:pPr>
            <w:r/>
            <w:r>
              <w:rPr>
                <w:b/>
                <w:color w:val="FFFFFF"/>
                <w:sz w:val="19"/>
              </w:rPr>
              <w:t>An5</w:t>
            </w:r>
          </w:p>
        </w:tc>
      </w:tr>
      <w:tr>
        <w:tc>
          <w:tcPr>
            <w:tcW w:type="dxa" w:w="3175"/>
          </w:tcPr>
          <w:p>
            <w:pPr>
              <w:spacing w:after="20" w:before="20"/>
            </w:pPr>
            <w:r/>
            <w:r>
              <w:rPr>
                <w:b/>
                <w:sz w:val="19"/>
              </w:rPr>
              <w:t>Chiffre d’affaires</w:t>
            </w:r>
          </w:p>
        </w:tc>
        <w:tc>
          <w:tcPr>
            <w:tcW w:type="dxa" w:w="1247"/>
          </w:tcPr>
          <w:p>
            <w:pPr>
              <w:spacing w:after="20" w:before="20"/>
              <w:jc w:val="center"/>
            </w:pPr>
            <w:r/>
            <w:r>
              <w:rPr>
                <w:b w:val="0"/>
                <w:sz w:val="19"/>
              </w:rPr>
              <w:t>520</w:t>
            </w:r>
          </w:p>
        </w:tc>
        <w:tc>
          <w:tcPr>
            <w:tcW w:type="dxa" w:w="1247"/>
          </w:tcPr>
          <w:p>
            <w:pPr>
              <w:spacing w:after="20" w:before="20"/>
              <w:jc w:val="center"/>
            </w:pPr>
            <w:r/>
            <w:r>
              <w:rPr>
                <w:b w:val="0"/>
                <w:sz w:val="19"/>
              </w:rPr>
              <w:t>1 184</w:t>
            </w:r>
          </w:p>
        </w:tc>
        <w:tc>
          <w:tcPr>
            <w:tcW w:type="dxa" w:w="1247"/>
          </w:tcPr>
          <w:p>
            <w:pPr>
              <w:spacing w:after="20" w:before="20"/>
              <w:jc w:val="center"/>
            </w:pPr>
            <w:r/>
            <w:r>
              <w:rPr>
                <w:b w:val="0"/>
                <w:sz w:val="19"/>
              </w:rPr>
              <w:t>1 443</w:t>
            </w:r>
          </w:p>
        </w:tc>
        <w:tc>
          <w:tcPr>
            <w:tcW w:type="dxa" w:w="1247"/>
          </w:tcPr>
          <w:p>
            <w:pPr>
              <w:spacing w:after="20" w:before="20"/>
              <w:jc w:val="center"/>
            </w:pPr>
            <w:r/>
            <w:r>
              <w:rPr>
                <w:b w:val="0"/>
                <w:sz w:val="19"/>
              </w:rPr>
              <w:t>1 700</w:t>
            </w:r>
          </w:p>
        </w:tc>
        <w:tc>
          <w:tcPr>
            <w:tcW w:type="dxa" w:w="1247"/>
          </w:tcPr>
          <w:p>
            <w:pPr>
              <w:spacing w:after="20" w:before="20"/>
              <w:jc w:val="center"/>
            </w:pPr>
            <w:r/>
            <w:r>
              <w:rPr>
                <w:b w:val="0"/>
                <w:sz w:val="19"/>
              </w:rPr>
              <w:t>1 957</w:t>
            </w:r>
          </w:p>
        </w:tc>
      </w:tr>
      <w:tr>
        <w:tc>
          <w:tcPr>
            <w:tcW w:type="dxa" w:w="3175"/>
          </w:tcPr>
          <w:p>
            <w:pPr>
              <w:spacing w:after="20" w:before="20"/>
            </w:pPr>
            <w:r/>
            <w:r>
              <w:rPr>
                <w:b/>
                <w:sz w:val="19"/>
              </w:rPr>
              <w:t>Achats / charges directes</w:t>
            </w:r>
          </w:p>
        </w:tc>
        <w:tc>
          <w:tcPr>
            <w:tcW w:type="dxa" w:w="1247"/>
          </w:tcPr>
          <w:p>
            <w:pPr>
              <w:spacing w:after="20" w:before="20"/>
              <w:jc w:val="center"/>
            </w:pPr>
            <w:r/>
            <w:r>
              <w:rPr>
                <w:b w:val="0"/>
                <w:sz w:val="19"/>
              </w:rPr>
              <w:t>131</w:t>
            </w:r>
          </w:p>
        </w:tc>
        <w:tc>
          <w:tcPr>
            <w:tcW w:type="dxa" w:w="1247"/>
          </w:tcPr>
          <w:p>
            <w:pPr>
              <w:spacing w:after="20" w:before="20"/>
              <w:jc w:val="center"/>
            </w:pPr>
            <w:r/>
            <w:r>
              <w:rPr>
                <w:b w:val="0"/>
                <w:sz w:val="19"/>
              </w:rPr>
              <w:t>298</w:t>
            </w:r>
          </w:p>
        </w:tc>
        <w:tc>
          <w:tcPr>
            <w:tcW w:type="dxa" w:w="1247"/>
          </w:tcPr>
          <w:p>
            <w:pPr>
              <w:spacing w:after="20" w:before="20"/>
              <w:jc w:val="center"/>
            </w:pPr>
            <w:r/>
            <w:r>
              <w:rPr>
                <w:b w:val="0"/>
                <w:sz w:val="19"/>
              </w:rPr>
              <w:t>364</w:t>
            </w:r>
          </w:p>
        </w:tc>
        <w:tc>
          <w:tcPr>
            <w:tcW w:type="dxa" w:w="1247"/>
          </w:tcPr>
          <w:p>
            <w:pPr>
              <w:spacing w:after="20" w:before="20"/>
              <w:jc w:val="center"/>
            </w:pPr>
            <w:r/>
            <w:r>
              <w:rPr>
                <w:b w:val="0"/>
                <w:sz w:val="19"/>
              </w:rPr>
              <w:t>428</w:t>
            </w:r>
          </w:p>
        </w:tc>
        <w:tc>
          <w:tcPr>
            <w:tcW w:type="dxa" w:w="1247"/>
          </w:tcPr>
          <w:p>
            <w:pPr>
              <w:spacing w:after="20" w:before="20"/>
              <w:jc w:val="center"/>
            </w:pPr>
            <w:r/>
            <w:r>
              <w:rPr>
                <w:b w:val="0"/>
                <w:sz w:val="19"/>
              </w:rPr>
              <w:t>493</w:t>
            </w:r>
          </w:p>
        </w:tc>
      </w:tr>
      <w:tr>
        <w:tc>
          <w:tcPr>
            <w:tcW w:type="dxa" w:w="3175"/>
          </w:tcPr>
          <w:p>
            <w:pPr>
              <w:spacing w:after="20" w:before="20"/>
            </w:pPr>
            <w:r/>
            <w:r>
              <w:rPr>
                <w:b/>
                <w:sz w:val="19"/>
              </w:rPr>
              <w:t>Autres charges externes</w:t>
            </w:r>
          </w:p>
        </w:tc>
        <w:tc>
          <w:tcPr>
            <w:tcW w:type="dxa" w:w="1247"/>
          </w:tcPr>
          <w:p>
            <w:pPr>
              <w:spacing w:after="20" w:before="20"/>
              <w:jc w:val="center"/>
            </w:pPr>
            <w:r/>
            <w:r>
              <w:rPr>
                <w:b w:val="0"/>
                <w:sz w:val="19"/>
              </w:rPr>
              <w:t>131</w:t>
            </w:r>
          </w:p>
        </w:tc>
        <w:tc>
          <w:tcPr>
            <w:tcW w:type="dxa" w:w="1247"/>
          </w:tcPr>
          <w:p>
            <w:pPr>
              <w:spacing w:after="20" w:before="20"/>
              <w:jc w:val="center"/>
            </w:pPr>
            <w:r/>
            <w:r>
              <w:rPr>
                <w:b w:val="0"/>
                <w:sz w:val="19"/>
              </w:rPr>
              <w:t>195</w:t>
            </w:r>
          </w:p>
        </w:tc>
        <w:tc>
          <w:tcPr>
            <w:tcW w:type="dxa" w:w="1247"/>
          </w:tcPr>
          <w:p>
            <w:pPr>
              <w:spacing w:after="20" w:before="20"/>
              <w:jc w:val="center"/>
            </w:pPr>
            <w:r/>
            <w:r>
              <w:rPr>
                <w:b w:val="0"/>
                <w:sz w:val="19"/>
              </w:rPr>
              <w:t>210</w:t>
            </w:r>
          </w:p>
        </w:tc>
        <w:tc>
          <w:tcPr>
            <w:tcW w:type="dxa" w:w="1247"/>
          </w:tcPr>
          <w:p>
            <w:pPr>
              <w:spacing w:after="20" w:before="20"/>
              <w:jc w:val="center"/>
            </w:pPr>
            <w:r/>
            <w:r>
              <w:rPr>
                <w:b w:val="0"/>
                <w:sz w:val="19"/>
              </w:rPr>
              <w:t>230</w:t>
            </w:r>
          </w:p>
        </w:tc>
        <w:tc>
          <w:tcPr>
            <w:tcW w:type="dxa" w:w="1247"/>
          </w:tcPr>
          <w:p>
            <w:pPr>
              <w:spacing w:after="20" w:before="20"/>
              <w:jc w:val="center"/>
            </w:pPr>
            <w:r/>
            <w:r>
              <w:rPr>
                <w:b w:val="0"/>
                <w:sz w:val="19"/>
              </w:rPr>
              <w:t>255</w:t>
            </w:r>
          </w:p>
        </w:tc>
      </w:tr>
      <w:tr>
        <w:tc>
          <w:tcPr>
            <w:tcW w:type="dxa" w:w="3175"/>
          </w:tcPr>
          <w:p>
            <w:pPr>
              <w:spacing w:after="20" w:before="20"/>
            </w:pPr>
            <w:r/>
            <w:r>
              <w:rPr>
                <w:b/>
                <w:sz w:val="19"/>
              </w:rPr>
              <w:t>Charges de personnel</w:t>
            </w:r>
          </w:p>
        </w:tc>
        <w:tc>
          <w:tcPr>
            <w:tcW w:type="dxa" w:w="1247"/>
          </w:tcPr>
          <w:p>
            <w:pPr>
              <w:spacing w:after="20" w:before="20"/>
              <w:jc w:val="center"/>
            </w:pPr>
            <w:r/>
            <w:r>
              <w:rPr>
                <w:b w:val="0"/>
                <w:sz w:val="19"/>
              </w:rPr>
              <w:t>140</w:t>
            </w:r>
          </w:p>
        </w:tc>
        <w:tc>
          <w:tcPr>
            <w:tcW w:type="dxa" w:w="1247"/>
          </w:tcPr>
          <w:p>
            <w:pPr>
              <w:spacing w:after="20" w:before="20"/>
              <w:jc w:val="center"/>
            </w:pPr>
            <w:r/>
            <w:r>
              <w:rPr>
                <w:b w:val="0"/>
                <w:sz w:val="19"/>
              </w:rPr>
              <w:t>252</w:t>
            </w:r>
          </w:p>
        </w:tc>
        <w:tc>
          <w:tcPr>
            <w:tcW w:type="dxa" w:w="1247"/>
          </w:tcPr>
          <w:p>
            <w:pPr>
              <w:spacing w:after="20" w:before="20"/>
              <w:jc w:val="center"/>
            </w:pPr>
            <w:r/>
            <w:r>
              <w:rPr>
                <w:b w:val="0"/>
                <w:sz w:val="19"/>
              </w:rPr>
              <w:t>264</w:t>
            </w:r>
          </w:p>
        </w:tc>
        <w:tc>
          <w:tcPr>
            <w:tcW w:type="dxa" w:w="1247"/>
          </w:tcPr>
          <w:p>
            <w:pPr>
              <w:spacing w:after="20" w:before="20"/>
              <w:jc w:val="center"/>
            </w:pPr>
            <w:r/>
            <w:r>
              <w:rPr>
                <w:b w:val="0"/>
                <w:sz w:val="19"/>
              </w:rPr>
              <w:t>276</w:t>
            </w:r>
          </w:p>
        </w:tc>
        <w:tc>
          <w:tcPr>
            <w:tcW w:type="dxa" w:w="1247"/>
          </w:tcPr>
          <w:p>
            <w:pPr>
              <w:spacing w:after="20" w:before="20"/>
              <w:jc w:val="center"/>
            </w:pPr>
            <w:r/>
            <w:r>
              <w:rPr>
                <w:b w:val="0"/>
                <w:sz w:val="19"/>
              </w:rPr>
              <w:t>288</w:t>
            </w:r>
          </w:p>
        </w:tc>
      </w:tr>
      <w:tr>
        <w:tc>
          <w:tcPr>
            <w:tcW w:type="dxa" w:w="3175"/>
          </w:tcPr>
          <w:p>
            <w:pPr>
              <w:spacing w:after="20" w:before="20"/>
            </w:pPr>
            <w:r/>
            <w:r>
              <w:rPr>
                <w:b/>
                <w:sz w:val="19"/>
              </w:rPr>
              <w:t>Dotations aux amortissements</w:t>
            </w:r>
          </w:p>
        </w:tc>
        <w:tc>
          <w:tcPr>
            <w:tcW w:type="dxa" w:w="1247"/>
          </w:tcPr>
          <w:p>
            <w:pPr>
              <w:spacing w:after="20" w:before="20"/>
              <w:jc w:val="center"/>
            </w:pPr>
            <w:r/>
            <w:r>
              <w:rPr>
                <w:b w:val="0"/>
                <w:sz w:val="19"/>
              </w:rPr>
              <w:t>79</w:t>
            </w:r>
          </w:p>
        </w:tc>
        <w:tc>
          <w:tcPr>
            <w:tcW w:type="dxa" w:w="1247"/>
          </w:tcPr>
          <w:p>
            <w:pPr>
              <w:spacing w:after="20" w:before="20"/>
              <w:jc w:val="center"/>
            </w:pPr>
            <w:r/>
            <w:r>
              <w:rPr>
                <w:b w:val="0"/>
                <w:sz w:val="19"/>
              </w:rPr>
              <w:t>136</w:t>
            </w:r>
          </w:p>
        </w:tc>
        <w:tc>
          <w:tcPr>
            <w:tcW w:type="dxa" w:w="1247"/>
          </w:tcPr>
          <w:p>
            <w:pPr>
              <w:spacing w:after="20" w:before="20"/>
              <w:jc w:val="center"/>
            </w:pPr>
            <w:r/>
            <w:r>
              <w:rPr>
                <w:b w:val="0"/>
                <w:sz w:val="19"/>
              </w:rPr>
              <w:t>136</w:t>
            </w:r>
          </w:p>
        </w:tc>
        <w:tc>
          <w:tcPr>
            <w:tcW w:type="dxa" w:w="1247"/>
          </w:tcPr>
          <w:p>
            <w:pPr>
              <w:spacing w:after="20" w:before="20"/>
              <w:jc w:val="center"/>
            </w:pPr>
            <w:r/>
            <w:r>
              <w:rPr>
                <w:b w:val="0"/>
                <w:sz w:val="19"/>
              </w:rPr>
              <w:t>136</w:t>
            </w:r>
          </w:p>
        </w:tc>
        <w:tc>
          <w:tcPr>
            <w:tcW w:type="dxa" w:w="1247"/>
          </w:tcPr>
          <w:p>
            <w:pPr>
              <w:spacing w:after="20" w:before="20"/>
              <w:jc w:val="center"/>
            </w:pPr>
            <w:r/>
            <w:r>
              <w:rPr>
                <w:b w:val="0"/>
                <w:sz w:val="19"/>
              </w:rPr>
              <w:t>136</w:t>
            </w:r>
          </w:p>
        </w:tc>
      </w:tr>
      <w:tr>
        <w:tc>
          <w:tcPr>
            <w:tcW w:type="dxa" w:w="3175"/>
          </w:tcPr>
          <w:p>
            <w:pPr>
              <w:spacing w:after="20" w:before="20"/>
            </w:pPr>
            <w:r/>
            <w:r>
              <w:rPr>
                <w:b/>
                <w:sz w:val="19"/>
              </w:rPr>
              <w:t>Résultat d’exploitation</w:t>
            </w:r>
          </w:p>
        </w:tc>
        <w:tc>
          <w:tcPr>
            <w:tcW w:type="dxa" w:w="1247"/>
          </w:tcPr>
          <w:p>
            <w:pPr>
              <w:spacing w:after="20" w:before="20"/>
              <w:jc w:val="center"/>
            </w:pPr>
            <w:r/>
            <w:r>
              <w:rPr>
                <w:b w:val="0"/>
                <w:sz w:val="19"/>
              </w:rPr>
              <w:t>39</w:t>
            </w:r>
          </w:p>
        </w:tc>
        <w:tc>
          <w:tcPr>
            <w:tcW w:type="dxa" w:w="1247"/>
          </w:tcPr>
          <w:p>
            <w:pPr>
              <w:spacing w:after="20" w:before="20"/>
              <w:jc w:val="center"/>
            </w:pPr>
            <w:r/>
            <w:r>
              <w:rPr>
                <w:b w:val="0"/>
                <w:sz w:val="19"/>
              </w:rPr>
              <w:t>303</w:t>
            </w:r>
          </w:p>
        </w:tc>
        <w:tc>
          <w:tcPr>
            <w:tcW w:type="dxa" w:w="1247"/>
          </w:tcPr>
          <w:p>
            <w:pPr>
              <w:spacing w:after="20" w:before="20"/>
              <w:jc w:val="center"/>
            </w:pPr>
            <w:r/>
            <w:r>
              <w:rPr>
                <w:b w:val="0"/>
                <w:sz w:val="19"/>
              </w:rPr>
              <w:t>469</w:t>
            </w:r>
          </w:p>
        </w:tc>
        <w:tc>
          <w:tcPr>
            <w:tcW w:type="dxa" w:w="1247"/>
          </w:tcPr>
          <w:p>
            <w:pPr>
              <w:spacing w:after="20" w:before="20"/>
              <w:jc w:val="center"/>
            </w:pPr>
            <w:r/>
            <w:r>
              <w:rPr>
                <w:b w:val="0"/>
                <w:sz w:val="19"/>
              </w:rPr>
              <w:t>630</w:t>
            </w:r>
          </w:p>
        </w:tc>
        <w:tc>
          <w:tcPr>
            <w:tcW w:type="dxa" w:w="1247"/>
          </w:tcPr>
          <w:p>
            <w:pPr>
              <w:spacing w:after="20" w:before="20"/>
              <w:jc w:val="center"/>
            </w:pPr>
            <w:r/>
            <w:r>
              <w:rPr>
                <w:b w:val="0"/>
                <w:sz w:val="19"/>
              </w:rPr>
              <w:t>785</w:t>
            </w:r>
          </w:p>
        </w:tc>
      </w:tr>
      <w:tr>
        <w:tc>
          <w:tcPr>
            <w:tcW w:type="dxa" w:w="3175"/>
          </w:tcPr>
          <w:p>
            <w:pPr>
              <w:spacing w:after="20" w:before="20"/>
            </w:pPr>
            <w:r/>
            <w:r>
              <w:rPr>
                <w:b/>
                <w:sz w:val="19"/>
              </w:rPr>
              <w:t>Charges financières (intérêts CMT)</w:t>
            </w:r>
          </w:p>
        </w:tc>
        <w:tc>
          <w:tcPr>
            <w:tcW w:type="dxa" w:w="1247"/>
          </w:tcPr>
          <w:p>
            <w:pPr>
              <w:spacing w:after="20" w:before="20"/>
              <w:jc w:val="center"/>
            </w:pPr>
            <w:r/>
            <w:r>
              <w:rPr>
                <w:b w:val="0"/>
                <w:sz w:val="19"/>
              </w:rPr>
              <w:t>5</w:t>
            </w:r>
          </w:p>
        </w:tc>
        <w:tc>
          <w:tcPr>
            <w:tcW w:type="dxa" w:w="1247"/>
          </w:tcPr>
          <w:p>
            <w:pPr>
              <w:spacing w:after="20" w:before="20"/>
              <w:jc w:val="center"/>
            </w:pPr>
            <w:r/>
            <w:r>
              <w:rPr>
                <w:b w:val="0"/>
                <w:sz w:val="19"/>
              </w:rPr>
              <w:t>9</w:t>
            </w:r>
          </w:p>
        </w:tc>
        <w:tc>
          <w:tcPr>
            <w:tcW w:type="dxa" w:w="1247"/>
          </w:tcPr>
          <w:p>
            <w:pPr>
              <w:spacing w:after="20" w:before="20"/>
              <w:jc w:val="center"/>
            </w:pPr>
            <w:r/>
            <w:r>
              <w:rPr>
                <w:b w:val="0"/>
                <w:sz w:val="19"/>
              </w:rPr>
              <w:t>7</w:t>
            </w:r>
          </w:p>
        </w:tc>
        <w:tc>
          <w:tcPr>
            <w:tcW w:type="dxa" w:w="1247"/>
          </w:tcPr>
          <w:p>
            <w:pPr>
              <w:spacing w:after="20" w:before="20"/>
              <w:jc w:val="center"/>
            </w:pPr>
            <w:r/>
            <w:r>
              <w:rPr>
                <w:b w:val="0"/>
                <w:sz w:val="19"/>
              </w:rPr>
              <w:t>6</w:t>
            </w:r>
          </w:p>
        </w:tc>
        <w:tc>
          <w:tcPr>
            <w:tcW w:type="dxa" w:w="1247"/>
          </w:tcPr>
          <w:p>
            <w:pPr>
              <w:spacing w:after="20" w:before="20"/>
              <w:jc w:val="center"/>
            </w:pPr>
            <w:r/>
            <w:r>
              <w:rPr>
                <w:b w:val="0"/>
                <w:sz w:val="19"/>
              </w:rPr>
              <w:t>4</w:t>
            </w:r>
          </w:p>
        </w:tc>
      </w:tr>
      <w:tr>
        <w:tc>
          <w:tcPr>
            <w:tcW w:type="dxa" w:w="3175"/>
          </w:tcPr>
          <w:p>
            <w:pPr>
              <w:spacing w:after="20" w:before="20"/>
            </w:pPr>
            <w:r/>
            <w:r>
              <w:rPr>
                <w:b/>
                <w:sz w:val="19"/>
              </w:rPr>
              <w:t>Résultat avant impôt</w:t>
            </w:r>
          </w:p>
        </w:tc>
        <w:tc>
          <w:tcPr>
            <w:tcW w:type="dxa" w:w="1247"/>
          </w:tcPr>
          <w:p>
            <w:pPr>
              <w:spacing w:after="20" w:before="20"/>
              <w:jc w:val="center"/>
            </w:pPr>
            <w:r/>
            <w:r>
              <w:rPr>
                <w:b w:val="0"/>
                <w:sz w:val="19"/>
              </w:rPr>
              <w:t>34</w:t>
            </w:r>
          </w:p>
        </w:tc>
        <w:tc>
          <w:tcPr>
            <w:tcW w:type="dxa" w:w="1247"/>
          </w:tcPr>
          <w:p>
            <w:pPr>
              <w:spacing w:after="20" w:before="20"/>
              <w:jc w:val="center"/>
            </w:pPr>
            <w:r/>
            <w:r>
              <w:rPr>
                <w:b w:val="0"/>
                <w:sz w:val="19"/>
              </w:rPr>
              <w:t>294</w:t>
            </w:r>
          </w:p>
        </w:tc>
        <w:tc>
          <w:tcPr>
            <w:tcW w:type="dxa" w:w="1247"/>
          </w:tcPr>
          <w:p>
            <w:pPr>
              <w:spacing w:after="20" w:before="20"/>
              <w:jc w:val="center"/>
            </w:pPr>
            <w:r/>
            <w:r>
              <w:rPr>
                <w:b w:val="0"/>
                <w:sz w:val="19"/>
              </w:rPr>
              <w:t>462</w:t>
            </w:r>
          </w:p>
        </w:tc>
        <w:tc>
          <w:tcPr>
            <w:tcW w:type="dxa" w:w="1247"/>
          </w:tcPr>
          <w:p>
            <w:pPr>
              <w:spacing w:after="20" w:before="20"/>
              <w:jc w:val="center"/>
            </w:pPr>
            <w:r/>
            <w:r>
              <w:rPr>
                <w:b w:val="0"/>
                <w:sz w:val="19"/>
              </w:rPr>
              <w:t>624</w:t>
            </w:r>
          </w:p>
        </w:tc>
        <w:tc>
          <w:tcPr>
            <w:tcW w:type="dxa" w:w="1247"/>
          </w:tcPr>
          <w:p>
            <w:pPr>
              <w:spacing w:after="20" w:before="20"/>
              <w:jc w:val="center"/>
            </w:pPr>
            <w:r/>
            <w:r>
              <w:rPr>
                <w:b w:val="0"/>
                <w:sz w:val="19"/>
              </w:rPr>
              <w:t>781</w:t>
            </w:r>
          </w:p>
        </w:tc>
      </w:tr>
      <w:tr>
        <w:tc>
          <w:tcPr>
            <w:tcW w:type="dxa" w:w="3175"/>
          </w:tcPr>
          <w:p>
            <w:pPr>
              <w:spacing w:after="20" w:before="20"/>
            </w:pPr>
            <w:r/>
            <w:r>
              <w:rPr>
                <w:b/>
                <w:sz w:val="19"/>
              </w:rPr>
              <w:t>IS (20 %)</w:t>
            </w:r>
          </w:p>
        </w:tc>
        <w:tc>
          <w:tcPr>
            <w:tcW w:type="dxa" w:w="1247"/>
          </w:tcPr>
          <w:p>
            <w:pPr>
              <w:spacing w:after="20" w:before="20"/>
              <w:jc w:val="center"/>
            </w:pPr>
            <w:r/>
            <w:r>
              <w:rPr>
                <w:b w:val="0"/>
                <w:sz w:val="19"/>
              </w:rPr>
              <w:t>7</w:t>
            </w:r>
          </w:p>
        </w:tc>
        <w:tc>
          <w:tcPr>
            <w:tcW w:type="dxa" w:w="1247"/>
          </w:tcPr>
          <w:p>
            <w:pPr>
              <w:spacing w:after="20" w:before="20"/>
              <w:jc w:val="center"/>
            </w:pPr>
            <w:r/>
            <w:r>
              <w:rPr>
                <w:b w:val="0"/>
                <w:sz w:val="19"/>
              </w:rPr>
              <w:t>59</w:t>
            </w:r>
          </w:p>
        </w:tc>
        <w:tc>
          <w:tcPr>
            <w:tcW w:type="dxa" w:w="1247"/>
          </w:tcPr>
          <w:p>
            <w:pPr>
              <w:spacing w:after="20" w:before="20"/>
              <w:jc w:val="center"/>
            </w:pPr>
            <w:r/>
            <w:r>
              <w:rPr>
                <w:b w:val="0"/>
                <w:sz w:val="19"/>
              </w:rPr>
              <w:t>92</w:t>
            </w:r>
          </w:p>
        </w:tc>
        <w:tc>
          <w:tcPr>
            <w:tcW w:type="dxa" w:w="1247"/>
          </w:tcPr>
          <w:p>
            <w:pPr>
              <w:spacing w:after="20" w:before="20"/>
              <w:jc w:val="center"/>
            </w:pPr>
            <w:r/>
            <w:r>
              <w:rPr>
                <w:b w:val="0"/>
                <w:sz w:val="19"/>
              </w:rPr>
              <w:t>125</w:t>
            </w:r>
          </w:p>
        </w:tc>
        <w:tc>
          <w:tcPr>
            <w:tcW w:type="dxa" w:w="1247"/>
          </w:tcPr>
          <w:p>
            <w:pPr>
              <w:spacing w:after="20" w:before="20"/>
              <w:jc w:val="center"/>
            </w:pPr>
            <w:r/>
            <w:r>
              <w:rPr>
                <w:b w:val="0"/>
                <w:sz w:val="19"/>
              </w:rPr>
              <w:t>156</w:t>
            </w:r>
          </w:p>
        </w:tc>
      </w:tr>
      <w:tr>
        <w:tc>
          <w:tcPr>
            <w:tcW w:type="dxa" w:w="3175"/>
          </w:tcPr>
          <w:p>
            <w:pPr>
              <w:spacing w:after="20" w:before="20"/>
            </w:pPr>
            <w:r/>
            <w:r>
              <w:rPr>
                <w:b/>
                <w:sz w:val="19"/>
              </w:rPr>
              <w:t>Résultat net</w:t>
            </w:r>
          </w:p>
        </w:tc>
        <w:tc>
          <w:tcPr>
            <w:tcW w:type="dxa" w:w="1247"/>
          </w:tcPr>
          <w:p>
            <w:pPr>
              <w:spacing w:after="20" w:before="20"/>
              <w:jc w:val="center"/>
            </w:pPr>
            <w:r/>
            <w:r>
              <w:rPr>
                <w:b w:val="0"/>
                <w:sz w:val="19"/>
              </w:rPr>
              <w:t>27</w:t>
            </w:r>
          </w:p>
        </w:tc>
        <w:tc>
          <w:tcPr>
            <w:tcW w:type="dxa" w:w="1247"/>
          </w:tcPr>
          <w:p>
            <w:pPr>
              <w:spacing w:after="20" w:before="20"/>
              <w:jc w:val="center"/>
            </w:pPr>
            <w:r/>
            <w:r>
              <w:rPr>
                <w:b w:val="0"/>
                <w:sz w:val="19"/>
              </w:rPr>
              <w:t>235</w:t>
            </w:r>
          </w:p>
        </w:tc>
        <w:tc>
          <w:tcPr>
            <w:tcW w:type="dxa" w:w="1247"/>
          </w:tcPr>
          <w:p>
            <w:pPr>
              <w:spacing w:after="20" w:before="20"/>
              <w:jc w:val="center"/>
            </w:pPr>
            <w:r/>
            <w:r>
              <w:rPr>
                <w:b w:val="0"/>
                <w:sz w:val="19"/>
              </w:rPr>
              <w:t>370</w:t>
            </w:r>
          </w:p>
        </w:tc>
        <w:tc>
          <w:tcPr>
            <w:tcW w:type="dxa" w:w="1247"/>
          </w:tcPr>
          <w:p>
            <w:pPr>
              <w:spacing w:after="20" w:before="20"/>
              <w:jc w:val="center"/>
            </w:pPr>
            <w:r/>
            <w:r>
              <w:rPr>
                <w:b w:val="0"/>
                <w:sz w:val="19"/>
              </w:rPr>
              <w:t>499</w:t>
            </w:r>
          </w:p>
        </w:tc>
        <w:tc>
          <w:tcPr>
            <w:tcW w:type="dxa" w:w="1247"/>
          </w:tcPr>
          <w:p>
            <w:pPr>
              <w:spacing w:after="20" w:before="20"/>
              <w:jc w:val="center"/>
            </w:pPr>
            <w:r/>
            <w:r>
              <w:rPr>
                <w:b w:val="0"/>
                <w:sz w:val="19"/>
              </w:rPr>
              <w:t>625</w:t>
            </w:r>
          </w:p>
        </w:tc>
      </w:tr>
      <w:tr>
        <w:tc>
          <w:tcPr>
            <w:tcW w:type="dxa" w:w="3175"/>
            <w:shd w:val="clear" w:fill="EFE7D6"/>
          </w:tcPr>
          <w:p>
            <w:pPr>
              <w:spacing w:after="20" w:before="20"/>
            </w:pPr>
            <w:r/>
            <w:r>
              <w:rPr>
                <w:b/>
                <w:color w:val="1B3A28"/>
                <w:sz w:val="19"/>
              </w:rPr>
              <w:t>CAF</w:t>
            </w:r>
          </w:p>
        </w:tc>
        <w:tc>
          <w:tcPr>
            <w:tcW w:type="dxa" w:w="1247"/>
            <w:shd w:val="clear" w:fill="EFE7D6"/>
          </w:tcPr>
          <w:p>
            <w:pPr>
              <w:spacing w:after="20" w:before="20"/>
              <w:jc w:val="center"/>
            </w:pPr>
            <w:r/>
            <w:r>
              <w:rPr>
                <w:b/>
                <w:color w:val="1B3A28"/>
                <w:sz w:val="19"/>
              </w:rPr>
              <w:t>106</w:t>
            </w:r>
          </w:p>
        </w:tc>
        <w:tc>
          <w:tcPr>
            <w:tcW w:type="dxa" w:w="1247"/>
            <w:shd w:val="clear" w:fill="EFE7D6"/>
          </w:tcPr>
          <w:p>
            <w:pPr>
              <w:spacing w:after="20" w:before="20"/>
              <w:jc w:val="center"/>
            </w:pPr>
            <w:r/>
            <w:r>
              <w:rPr>
                <w:b/>
                <w:color w:val="1B3A28"/>
                <w:sz w:val="19"/>
              </w:rPr>
              <w:t>371</w:t>
            </w:r>
          </w:p>
        </w:tc>
        <w:tc>
          <w:tcPr>
            <w:tcW w:type="dxa" w:w="1247"/>
            <w:shd w:val="clear" w:fill="EFE7D6"/>
          </w:tcPr>
          <w:p>
            <w:pPr>
              <w:spacing w:after="20" w:before="20"/>
              <w:jc w:val="center"/>
            </w:pPr>
            <w:r/>
            <w:r>
              <w:rPr>
                <w:b/>
                <w:color w:val="1B3A28"/>
                <w:sz w:val="19"/>
              </w:rPr>
              <w:t>506</w:t>
            </w:r>
          </w:p>
        </w:tc>
        <w:tc>
          <w:tcPr>
            <w:tcW w:type="dxa" w:w="1247"/>
            <w:shd w:val="clear" w:fill="EFE7D6"/>
          </w:tcPr>
          <w:p>
            <w:pPr>
              <w:spacing w:after="20" w:before="20"/>
              <w:jc w:val="center"/>
            </w:pPr>
            <w:r/>
            <w:r>
              <w:rPr>
                <w:b/>
                <w:color w:val="1B3A28"/>
                <w:sz w:val="19"/>
              </w:rPr>
              <w:t>635</w:t>
            </w:r>
          </w:p>
        </w:tc>
        <w:tc>
          <w:tcPr>
            <w:tcW w:type="dxa" w:w="1247"/>
            <w:shd w:val="clear" w:fill="EFE7D6"/>
          </w:tcPr>
          <w:p>
            <w:pPr>
              <w:spacing w:after="20" w:before="20"/>
              <w:jc w:val="center"/>
            </w:pPr>
            <w:r/>
            <w:r>
              <w:rPr>
                <w:b/>
                <w:color w:val="1B3A28"/>
                <w:sz w:val="19"/>
              </w:rPr>
              <w:t>761</w:t>
            </w:r>
          </w:p>
        </w:tc>
      </w:tr>
    </w:tbl>
    <w:p>
      <w:pPr>
        <w:spacing w:after="40"/>
      </w:pPr>
    </w:p>
    <w:p>
      <w:pPr>
        <w:spacing w:after="80"/>
        <w:jc w:val="both"/>
      </w:pPr>
      <w:r>
        <w:rPr>
          <w:i/>
          <w:sz w:val="21"/>
        </w:rPr>
        <w:t>La CAF couvre confortablement le service de la dette dès l’An1 (année de grâce en capital), puis dégage une marge de sécurité croissante sur toute la durée du prévisionnel.</w:t>
      </w:r>
    </w:p>
    <w:p>
      <w:pPr>
        <w:spacing w:before="280" w:after="80"/>
        <w:pBdr>
          <w:bottom w:val="single" w:sz="6" w:space="2" w:color="C8A440"/>
        </w:pBdr>
      </w:pPr>
      <w:r>
        <w:rPr>
          <w:b/>
          <w:color w:val="1B3A28"/>
          <w:sz w:val="28"/>
        </w:rPr>
        <w:t>13.  Analyse des risques &amp; mesures de maîtrise</w:t>
      </w:r>
    </w:p>
    <w:tbl>
      <w:tblPr>
        <w:tblStyle w:val="TableGrid"/>
        <w:tblW w:type="auto" w:w="0"/>
        <w:jc w:val="center"/>
        <w:tblLook w:firstColumn="1" w:firstRow="1" w:lastColumn="0" w:lastRow="0" w:noHBand="0" w:noVBand="1" w:val="04A0"/>
      </w:tblPr>
      <w:tblGrid>
        <w:gridCol w:w="5100"/>
        <w:gridCol w:w="5100"/>
      </w:tblGrid>
      <w:tr>
        <w:tc>
          <w:tcPr>
            <w:tcW w:type="dxa" w:w="3118"/>
            <w:shd w:val="clear" w:fill="1B3A28"/>
          </w:tcPr>
          <w:p>
            <w:pPr>
              <w:spacing w:after="20" w:before="20"/>
            </w:pPr>
            <w:r/>
            <w:r>
              <w:rPr>
                <w:b/>
                <w:color w:val="FFFFFF"/>
                <w:sz w:val="19"/>
              </w:rPr>
              <w:t>Risque identifié</w:t>
            </w:r>
          </w:p>
        </w:tc>
        <w:tc>
          <w:tcPr>
            <w:tcW w:type="dxa" w:w="6236"/>
            <w:shd w:val="clear" w:fill="1B3A28"/>
          </w:tcPr>
          <w:p>
            <w:pPr>
              <w:spacing w:after="20" w:before="20"/>
              <w:jc w:val="center"/>
            </w:pPr>
            <w:r/>
            <w:r>
              <w:rPr>
                <w:b/>
                <w:color w:val="FFFFFF"/>
                <w:sz w:val="19"/>
              </w:rPr>
              <w:t>Mesure de maîtrise</w:t>
            </w:r>
          </w:p>
        </w:tc>
      </w:tr>
      <w:tr>
        <w:tc>
          <w:tcPr>
            <w:tcW w:type="dxa" w:w="3118"/>
          </w:tcPr>
          <w:p>
            <w:pPr>
              <w:spacing w:after="20" w:before="20"/>
            </w:pPr>
            <w:r/>
            <w:r>
              <w:rPr>
                <w:b/>
                <w:sz w:val="19"/>
              </w:rPr>
              <w:t>Saisonnalité / chaleur estivale</w:t>
            </w:r>
          </w:p>
        </w:tc>
        <w:tc>
          <w:tcPr>
            <w:tcW w:type="dxa" w:w="6236"/>
          </w:tcPr>
          <w:p>
            <w:pPr>
              <w:spacing w:after="20" w:before="20"/>
              <w:jc w:val="center"/>
            </w:pPr>
            <w:r/>
            <w:r>
              <w:rPr>
                <w:b w:val="0"/>
                <w:sz w:val="19"/>
              </w:rPr>
              <w:t>Piscine + repas, formules journée, zones ombragées sous les oliviers.</w:t>
            </w:r>
          </w:p>
        </w:tc>
      </w:tr>
      <w:tr>
        <w:tc>
          <w:tcPr>
            <w:tcW w:type="dxa" w:w="3118"/>
          </w:tcPr>
          <w:p>
            <w:pPr>
              <w:spacing w:after="20" w:before="20"/>
            </w:pPr>
            <w:r/>
            <w:r>
              <w:rPr>
                <w:b/>
                <w:sz w:val="19"/>
              </w:rPr>
              <w:t>Démarrage commercial progressif</w:t>
            </w:r>
          </w:p>
        </w:tc>
        <w:tc>
          <w:tcPr>
            <w:tcW w:type="dxa" w:w="6236"/>
          </w:tcPr>
          <w:p>
            <w:pPr>
              <w:spacing w:after="20" w:before="20"/>
              <w:jc w:val="center"/>
            </w:pPr>
            <w:r/>
            <w:r>
              <w:rPr>
                <w:b w:val="0"/>
                <w:sz w:val="19"/>
              </w:rPr>
              <w:t>Appui Voyages 21, Google Maps, réseaux sociaux, hôtels voisins, écoles, groupes.</w:t>
            </w:r>
          </w:p>
        </w:tc>
      </w:tr>
      <w:tr>
        <w:tc>
          <w:tcPr>
            <w:tcW w:type="dxa" w:w="3118"/>
          </w:tcPr>
          <w:p>
            <w:pPr>
              <w:spacing w:after="20" w:before="20"/>
            </w:pPr>
            <w:r/>
            <w:r>
              <w:rPr>
                <w:b/>
                <w:sz w:val="19"/>
              </w:rPr>
              <w:t>Sécurité paintball</w:t>
            </w:r>
          </w:p>
        </w:tc>
        <w:tc>
          <w:tcPr>
            <w:tcW w:type="dxa" w:w="6236"/>
          </w:tcPr>
          <w:p>
            <w:pPr>
              <w:spacing w:after="20" w:before="20"/>
              <w:jc w:val="center"/>
            </w:pPr>
            <w:r/>
            <w:r>
              <w:rPr>
                <w:b w:val="0"/>
                <w:sz w:val="19"/>
              </w:rPr>
              <w:t>Arbitre, règles de jeu, protections obligatoires, zone sécurisée, briefing.</w:t>
            </w:r>
          </w:p>
        </w:tc>
      </w:tr>
      <w:tr>
        <w:tc>
          <w:tcPr>
            <w:tcW w:type="dxa" w:w="3118"/>
          </w:tcPr>
          <w:p>
            <w:pPr>
              <w:spacing w:after="20" w:before="20"/>
            </w:pPr>
            <w:r/>
            <w:r>
              <w:rPr>
                <w:b/>
                <w:sz w:val="19"/>
              </w:rPr>
              <w:t>Sécurité e-bike</w:t>
            </w:r>
          </w:p>
        </w:tc>
        <w:tc>
          <w:tcPr>
            <w:tcW w:type="dxa" w:w="6236"/>
          </w:tcPr>
          <w:p>
            <w:pPr>
              <w:spacing w:after="20" w:before="20"/>
              <w:jc w:val="center"/>
            </w:pPr>
            <w:r/>
            <w:r>
              <w:rPr>
                <w:b w:val="0"/>
                <w:sz w:val="19"/>
              </w:rPr>
              <w:t>Casques, guide mécanicien, parcours adaptés, entretien régulier, balades dès 11 ans.</w:t>
            </w:r>
          </w:p>
        </w:tc>
      </w:tr>
      <w:tr>
        <w:tc>
          <w:tcPr>
            <w:tcW w:type="dxa" w:w="3118"/>
          </w:tcPr>
          <w:p>
            <w:pPr>
              <w:spacing w:after="20" w:before="20"/>
            </w:pPr>
            <w:r/>
            <w:r>
              <w:rPr>
                <w:b/>
                <w:sz w:val="19"/>
              </w:rPr>
              <w:t>Hygiène cuisine / restauration</w:t>
            </w:r>
          </w:p>
        </w:tc>
        <w:tc>
          <w:tcPr>
            <w:tcW w:type="dxa" w:w="6236"/>
          </w:tcPr>
          <w:p>
            <w:pPr>
              <w:spacing w:after="20" w:before="20"/>
              <w:jc w:val="center"/>
            </w:pPr>
            <w:r/>
            <w:r>
              <w:rPr>
                <w:b w:val="0"/>
                <w:sz w:val="19"/>
              </w:rPr>
              <w:t>Chef + aide-cuisinier, procédures d’hygiène, stockage froid, contrôle consommables.</w:t>
            </w:r>
          </w:p>
        </w:tc>
      </w:tr>
      <w:tr>
        <w:tc>
          <w:tcPr>
            <w:tcW w:type="dxa" w:w="3118"/>
          </w:tcPr>
          <w:p>
            <w:pPr>
              <w:spacing w:after="20" w:before="20"/>
            </w:pPr>
            <w:r/>
            <w:r>
              <w:rPr>
                <w:b/>
                <w:sz w:val="19"/>
              </w:rPr>
              <w:t>Gestion eau / énergie</w:t>
            </w:r>
          </w:p>
        </w:tc>
        <w:tc>
          <w:tcPr>
            <w:tcW w:type="dxa" w:w="6236"/>
          </w:tcPr>
          <w:p>
            <w:pPr>
              <w:spacing w:after="20" w:before="20"/>
              <w:jc w:val="center"/>
            </w:pPr>
            <w:r/>
            <w:r>
              <w:rPr>
                <w:b w:val="0"/>
                <w:sz w:val="19"/>
              </w:rPr>
              <w:t>Puits, pompage, énergie solaire technique, suivi des consommations.</w:t>
            </w:r>
          </w:p>
        </w:tc>
      </w:tr>
      <w:tr>
        <w:tc>
          <w:tcPr>
            <w:tcW w:type="dxa" w:w="3118"/>
          </w:tcPr>
          <w:p>
            <w:pPr>
              <w:spacing w:after="20" w:before="20"/>
            </w:pPr>
            <w:r/>
            <w:r>
              <w:rPr>
                <w:b/>
                <w:sz w:val="19"/>
              </w:rPr>
              <w:t>Sous-fréquentation d’une activité</w:t>
            </w:r>
          </w:p>
        </w:tc>
        <w:tc>
          <w:tcPr>
            <w:tcW w:type="dxa" w:w="6236"/>
          </w:tcPr>
          <w:p>
            <w:pPr>
              <w:spacing w:after="20" w:before="20"/>
              <w:jc w:val="center"/>
            </w:pPr>
            <w:r/>
            <w:r>
              <w:rPr>
                <w:b w:val="0"/>
                <w:sz w:val="19"/>
              </w:rPr>
              <w:t>Diversification : paintball, e-bike, cuisine, piscine, anniversaires, EVG/EVJF, team-building.</w:t>
            </w:r>
          </w:p>
        </w:tc>
      </w:tr>
      <w:tr>
        <w:tc>
          <w:tcPr>
            <w:tcW w:type="dxa" w:w="3118"/>
          </w:tcPr>
          <w:p>
            <w:pPr>
              <w:spacing w:after="20" w:before="20"/>
            </w:pPr>
            <w:r/>
            <w:r>
              <w:rPr>
                <w:b/>
                <w:sz w:val="19"/>
              </w:rPr>
              <w:t>Maintenance des équipements</w:t>
            </w:r>
          </w:p>
        </w:tc>
        <w:tc>
          <w:tcPr>
            <w:tcW w:type="dxa" w:w="6236"/>
          </w:tcPr>
          <w:p>
            <w:pPr>
              <w:spacing w:after="20" w:before="20"/>
              <w:jc w:val="center"/>
            </w:pPr>
            <w:r/>
            <w:r>
              <w:rPr>
                <w:b w:val="0"/>
                <w:sz w:val="19"/>
              </w:rPr>
              <w:t>Budget entretien, pièces de rechange, maintenance préventive (vélos, pompe, paintball, cuisine).</w:t>
            </w:r>
          </w:p>
        </w:tc>
      </w:tr>
    </w:tbl>
    <w:p>
      <w:pPr>
        <w:spacing w:after="40"/>
      </w:pPr>
    </w:p>
    <w:p>
      <w:pPr>
        <w:spacing w:before="280" w:after="80"/>
        <w:pBdr>
          <w:bottom w:val="single" w:sz="6" w:space="2" w:color="C8A440"/>
        </w:pBdr>
      </w:pPr>
      <w:r>
        <w:rPr>
          <w:b/>
          <w:color w:val="1B3A28"/>
          <w:sz w:val="28"/>
        </w:rPr>
        <w:t>14.  Synthèse &amp; conclusion</w:t>
      </w:r>
    </w:p>
    <w:p>
      <w:pPr>
        <w:spacing w:after="80"/>
        <w:jc w:val="both"/>
      </w:pPr>
      <w:r>
        <w:rPr>
          <w:i w:val="0"/>
          <w:sz w:val="21"/>
        </w:rPr>
        <w:t>DA21 est un projet d’animation touristique intégré, conçu autour d’un site naturel existant de 1 hectare planté d’oliviers adultes, combinant loisirs, gastronomie, détente, terroir et activités de plein air. L’offre diversifiée — e-bike/Fatbike (15 vélos), paintball, ateliers cuisine, piscine complémentaire — touche familles, touristes, groupes privés, anniversaires, EVG/EVJF, entreprises, écoles et maisons d’hôtes.</w:t>
      </w:r>
    </w:p>
    <w:p>
      <w:pPr>
        <w:spacing w:after="80"/>
        <w:jc w:val="both"/>
      </w:pPr>
      <w:r>
        <w:rPr>
          <w:i w:val="0"/>
          <w:sz w:val="21"/>
        </w:rPr>
        <w:t>Sur le plan financier, le projet repose sur un investissement global de 983 486 DH, financé à 15 % par fonds propres, 50 % par CMT et 35 % par la prime GO SIYAHA, dans le strict respect des plafonds du programme. Les hypothèses de fréquentation restent prudentes (taux d’occupation 18 % → 38 %), et la capacité d’autofinancement permet d’honorer le service de la dette avec une marge de sécurité confortable.</w:t>
      </w:r>
    </w:p>
    <w:p>
      <w:pPr>
        <w:spacing w:after="80"/>
        <w:jc w:val="both"/>
      </w:pPr>
      <w:r>
        <w:rPr>
          <w:i w:val="0"/>
          <w:sz w:val="21"/>
        </w:rPr>
        <w:t>DA21 présente ainsi un projet calibré, différencié et progressivement extensible, enrichissant l’offre d’animation touristique autour de Marrakech et d’Al Haouz, tout en valorisant un cadre agricole existant, les produits du terroir et les clientèles de proximité comme internationales.</w:t>
      </w:r>
    </w:p>
    <w:p>
      <w:pPr>
        <w:spacing w:before="280" w:after="80"/>
        <w:pBdr>
          <w:bottom w:val="single" w:sz="6" w:space="2" w:color="C8A440"/>
        </w:pBdr>
      </w:pPr>
      <w:r>
        <w:rPr>
          <w:b/>
          <w:color w:val="1B3A28"/>
          <w:sz w:val="28"/>
        </w:rPr>
        <w:t>15.  Annexes — pièces constitutives du dossier</w:t>
      </w:r>
    </w:p>
    <w:tbl>
      <w:tblPr>
        <w:tblStyle w:val="TableGrid"/>
        <w:tblW w:type="auto" w:w="0"/>
        <w:jc w:val="center"/>
        <w:tblLook w:firstColumn="1" w:firstRow="1" w:lastColumn="0" w:lastRow="0" w:noHBand="0" w:noVBand="1" w:val="04A0"/>
      </w:tblPr>
      <w:tblGrid>
        <w:gridCol w:w="5100"/>
        <w:gridCol w:w="5100"/>
      </w:tblGrid>
      <w:tr>
        <w:tc>
          <w:tcPr>
            <w:tcW w:type="dxa" w:w="2551"/>
            <w:shd w:val="clear" w:fill="1B3A28"/>
          </w:tcPr>
          <w:p>
            <w:pPr>
              <w:spacing w:after="20" w:before="20"/>
            </w:pPr>
            <w:r/>
            <w:r>
              <w:rPr>
                <w:b/>
                <w:color w:val="FFFFFF"/>
                <w:sz w:val="19"/>
              </w:rPr>
              <w:t>Famille de documents</w:t>
            </w:r>
          </w:p>
        </w:tc>
        <w:tc>
          <w:tcPr>
            <w:tcW w:type="dxa" w:w="6803"/>
            <w:shd w:val="clear" w:fill="1B3A28"/>
          </w:tcPr>
          <w:p>
            <w:pPr>
              <w:spacing w:after="20" w:before="20"/>
              <w:jc w:val="center"/>
            </w:pPr>
            <w:r/>
            <w:r>
              <w:rPr>
                <w:b/>
                <w:color w:val="FFFFFF"/>
                <w:sz w:val="19"/>
              </w:rPr>
              <w:t>Pièces à joindre / prévoir</w:t>
            </w:r>
          </w:p>
        </w:tc>
      </w:tr>
      <w:tr>
        <w:tc>
          <w:tcPr>
            <w:tcW w:type="dxa" w:w="2551"/>
          </w:tcPr>
          <w:p>
            <w:pPr>
              <w:spacing w:after="20" w:before="20"/>
            </w:pPr>
            <w:r/>
            <w:r>
              <w:rPr>
                <w:b/>
                <w:sz w:val="19"/>
              </w:rPr>
              <w:t>Documents juridiques</w:t>
            </w:r>
          </w:p>
        </w:tc>
        <w:tc>
          <w:tcPr>
            <w:tcW w:type="dxa" w:w="6803"/>
          </w:tcPr>
          <w:p>
            <w:pPr>
              <w:spacing w:after="20" w:before="20"/>
              <w:jc w:val="center"/>
            </w:pPr>
            <w:r/>
            <w:r>
              <w:rPr>
                <w:b w:val="0"/>
                <w:sz w:val="19"/>
              </w:rPr>
              <w:t>Statuts DA21 SARL AU, RC, ICE, identifiant fiscal, CIN du promoteur.</w:t>
            </w:r>
          </w:p>
        </w:tc>
      </w:tr>
      <w:tr>
        <w:tc>
          <w:tcPr>
            <w:tcW w:type="dxa" w:w="2551"/>
          </w:tcPr>
          <w:p>
            <w:pPr>
              <w:spacing w:after="20" w:before="20"/>
            </w:pPr>
            <w:r/>
            <w:r>
              <w:rPr>
                <w:b/>
                <w:sz w:val="19"/>
              </w:rPr>
              <w:t>Foncier / site</w:t>
            </w:r>
          </w:p>
        </w:tc>
        <w:tc>
          <w:tcPr>
            <w:tcW w:type="dxa" w:w="6803"/>
          </w:tcPr>
          <w:p>
            <w:pPr>
              <w:spacing w:after="20" w:before="20"/>
              <w:jc w:val="center"/>
            </w:pPr>
            <w:r/>
            <w:r>
              <w:rPr>
                <w:b w:val="0"/>
                <w:sz w:val="19"/>
              </w:rPr>
              <w:t>Justificatif de disponibilité du terrain, titre foncier ou équivalent, localisation.</w:t>
            </w:r>
          </w:p>
        </w:tc>
      </w:tr>
      <w:tr>
        <w:tc>
          <w:tcPr>
            <w:tcW w:type="dxa" w:w="2551"/>
          </w:tcPr>
          <w:p>
            <w:pPr>
              <w:spacing w:after="20" w:before="20"/>
            </w:pPr>
            <w:r/>
            <w:r>
              <w:rPr>
                <w:b/>
                <w:sz w:val="19"/>
              </w:rPr>
              <w:t>Autorisations</w:t>
            </w:r>
          </w:p>
        </w:tc>
        <w:tc>
          <w:tcPr>
            <w:tcW w:type="dxa" w:w="6803"/>
          </w:tcPr>
          <w:p>
            <w:pPr>
              <w:spacing w:after="20" w:before="20"/>
              <w:jc w:val="center"/>
            </w:pPr>
            <w:r/>
            <w:r>
              <w:rPr>
                <w:b w:val="0"/>
                <w:sz w:val="19"/>
              </w:rPr>
              <w:t>Plans, dossiers administratifs et demandes d’autorisations (commune / province).</w:t>
            </w:r>
          </w:p>
        </w:tc>
      </w:tr>
      <w:tr>
        <w:tc>
          <w:tcPr>
            <w:tcW w:type="dxa" w:w="2551"/>
          </w:tcPr>
          <w:p>
            <w:pPr>
              <w:spacing w:after="20" w:before="20"/>
            </w:pPr>
            <w:r/>
            <w:r>
              <w:rPr>
                <w:b/>
                <w:sz w:val="19"/>
              </w:rPr>
              <w:t>Investissement</w:t>
            </w:r>
          </w:p>
        </w:tc>
        <w:tc>
          <w:tcPr>
            <w:tcW w:type="dxa" w:w="6803"/>
          </w:tcPr>
          <w:p>
            <w:pPr>
              <w:spacing w:after="20" w:before="20"/>
              <w:jc w:val="center"/>
            </w:pPr>
            <w:r/>
            <w:r>
              <w:rPr>
                <w:b w:val="0"/>
                <w:sz w:val="19"/>
              </w:rPr>
              <w:t>Devis e-bike (15), paintball, cuisine, piscine, solaire, puits, aménagements.</w:t>
            </w:r>
          </w:p>
        </w:tc>
      </w:tr>
      <w:tr>
        <w:tc>
          <w:tcPr>
            <w:tcW w:type="dxa" w:w="2551"/>
          </w:tcPr>
          <w:p>
            <w:pPr>
              <w:spacing w:after="20" w:before="20"/>
            </w:pPr>
            <w:r/>
            <w:r>
              <w:rPr>
                <w:b/>
                <w:sz w:val="19"/>
              </w:rPr>
              <w:t>Financement</w:t>
            </w:r>
          </w:p>
        </w:tc>
        <w:tc>
          <w:tcPr>
            <w:tcW w:type="dxa" w:w="6803"/>
          </w:tcPr>
          <w:p>
            <w:pPr>
              <w:spacing w:after="20" w:before="20"/>
              <w:jc w:val="center"/>
            </w:pPr>
            <w:r/>
            <w:r>
              <w:rPr>
                <w:b w:val="0"/>
                <w:sz w:val="19"/>
              </w:rPr>
              <w:t>Plan de financement, justificatif d’apport, demande de crédit bancaire, éléments GO SIYAHA.</w:t>
            </w:r>
          </w:p>
        </w:tc>
      </w:tr>
      <w:tr>
        <w:tc>
          <w:tcPr>
            <w:tcW w:type="dxa" w:w="2551"/>
          </w:tcPr>
          <w:p>
            <w:pPr>
              <w:spacing w:after="20" w:before="20"/>
            </w:pPr>
            <w:r/>
            <w:r>
              <w:rPr>
                <w:b/>
                <w:sz w:val="19"/>
              </w:rPr>
              <w:t>Technique</w:t>
            </w:r>
          </w:p>
        </w:tc>
        <w:tc>
          <w:tcPr>
            <w:tcW w:type="dxa" w:w="6803"/>
          </w:tcPr>
          <w:p>
            <w:pPr>
              <w:spacing w:after="20" w:before="20"/>
              <w:jc w:val="center"/>
            </w:pPr>
            <w:r/>
            <w:r>
              <w:rPr>
                <w:b w:val="0"/>
                <w:sz w:val="19"/>
              </w:rPr>
              <w:t>Plan d’aménagement, schéma des pôles, zones sécurité paintball, parcours e-bike.</w:t>
            </w:r>
          </w:p>
        </w:tc>
      </w:tr>
      <w:tr>
        <w:tc>
          <w:tcPr>
            <w:tcW w:type="dxa" w:w="2551"/>
          </w:tcPr>
          <w:p>
            <w:pPr>
              <w:spacing w:after="20" w:before="20"/>
            </w:pPr>
            <w:r/>
            <w:r>
              <w:rPr>
                <w:b/>
                <w:sz w:val="19"/>
              </w:rPr>
              <w:t>Commercial</w:t>
            </w:r>
          </w:p>
        </w:tc>
        <w:tc>
          <w:tcPr>
            <w:tcW w:type="dxa" w:w="6803"/>
          </w:tcPr>
          <w:p>
            <w:pPr>
              <w:spacing w:after="20" w:before="20"/>
              <w:jc w:val="center"/>
            </w:pPr>
            <w:r/>
            <w:r>
              <w:rPr>
                <w:b w:val="0"/>
                <w:sz w:val="19"/>
              </w:rPr>
              <w:t>Présentation Voyages 21, stratégie de distribution, supports de communication.</w:t>
            </w:r>
          </w:p>
        </w:tc>
      </w:tr>
      <w:tr>
        <w:tc>
          <w:tcPr>
            <w:tcW w:type="dxa" w:w="2551"/>
          </w:tcPr>
          <w:p>
            <w:pPr>
              <w:spacing w:after="20" w:before="20"/>
            </w:pPr>
            <w:r/>
            <w:r>
              <w:rPr>
                <w:b/>
                <w:sz w:val="19"/>
              </w:rPr>
              <w:t>GO SIYAHA</w:t>
            </w:r>
          </w:p>
        </w:tc>
        <w:tc>
          <w:tcPr>
            <w:tcW w:type="dxa" w:w="6803"/>
          </w:tcPr>
          <w:p>
            <w:pPr>
              <w:spacing w:after="20" w:before="20"/>
              <w:jc w:val="center"/>
            </w:pPr>
            <w:r/>
            <w:r>
              <w:rPr>
                <w:b w:val="0"/>
                <w:sz w:val="19"/>
              </w:rPr>
              <w:t>Formulaire de candidature, engagements sur l’honneur, pièces administratives exigées.</w:t>
            </w:r>
          </w:p>
        </w:tc>
      </w:tr>
    </w:tbl>
    <w:p>
      <w:pPr>
        <w:spacing w:after="4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