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28"/>
          <w:sz w:val="36"/>
        </w:rPr>
        <w:t>DA21 — Cahier de remplissage du DAP</w:t>
      </w:r>
    </w:p>
    <w:p>
      <w:pPr>
        <w:jc w:val="center"/>
      </w:pPr>
      <w:r>
        <w:rPr>
          <w:b/>
          <w:color w:val="C8A440"/>
          <w:sz w:val="22"/>
        </w:rPr>
        <w:t>Projet de développement « Go Siyaha – Istitmar » (pièce T2)</w:t>
      </w:r>
    </w:p>
    <w:p>
      <w:r>
        <w:rPr>
          <w:b w:val="0"/>
        </w:rPr>
        <w:t>Mode d’emploi : ouvre le fichier DAP officiel dans Word, clique dans chaque champ et recopie la valeur ci-dessous. Les champs en rouge restent à compléter par tes soins (téléphone, CNSS, photos, noms exacts de concurrents/fournisseurs).</w:t>
      </w:r>
    </w:p>
    <w:p>
      <w:r>
        <w:rPr>
          <w:b w:val="0"/>
        </w:rPr>
        <w:t>Les champs marqués « Choisir » sont des listes déroulantes : sélectionne l’option la plus proche indiquée.</w:t>
      </w:r>
    </w:p>
    <w:p>
      <w:pPr>
        <w:spacing w:before="200" w:after="80"/>
      </w:pPr>
      <w:r>
        <w:rPr>
          <w:b/>
          <w:color w:val="1B3A28"/>
          <w:sz w:val="28"/>
        </w:rPr>
        <w:t>1. Fiche signalétique de l’entreprise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Identifiant</w:t>
            </w:r>
          </w:p>
        </w:tc>
        <w:tc>
          <w:tcPr>
            <w:tcW w:type="dxa" w:w="4320"/>
          </w:tcPr>
          <w:p>
            <w:r/>
            <w:r>
              <w:rPr>
                <w:color w:val="C03030"/>
                <w:sz w:val="18"/>
              </w:rPr>
              <w:t>[À reporter depuis ton espace JISR — ex. INV-XXXX]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Raison sociale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DA21 SARL AU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Forme juridique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Société à Responsabilité Limitée à Associé Unique (SARL AU)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Date de création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25/05/2026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Secteur d’activité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Tourisme — Animation touristique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Type et Catégorie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Animation touristique (sans hébergement)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Attestation de classement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Non applicable (projet d’animation, ni restaurant ni bivouac)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Capital social (MAD)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20 000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Actionnaires (%)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Karim ZOUBDANE — 100 % (associé unique)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Registre de commerce (n°)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182053 (Tribunal de commerce de Marrakech)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003934997000054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CNSS (n°)</w:t>
            </w:r>
          </w:p>
        </w:tc>
        <w:tc>
          <w:tcPr>
            <w:tcW w:type="dxa" w:w="4320"/>
          </w:tcPr>
          <w:p>
            <w:r/>
            <w:r>
              <w:rPr>
                <w:color w:val="C03030"/>
                <w:sz w:val="18"/>
              </w:rPr>
              <w:t>[À compléter — n° d’affiliation CNSS de DA21]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Adresse du siège social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Propriété dite Arrahman, Douar Labadz, Aït Ourir – Tamazouzte, Marrakech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Adresse du site d’implantation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Douar Labadz, Commune de Tamazouzite, Province d’Al Haouz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Site Web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voyages21.vercel.app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Tél.</w:t>
            </w:r>
          </w:p>
        </w:tc>
        <w:tc>
          <w:tcPr>
            <w:tcW w:type="dxa" w:w="4320"/>
          </w:tcPr>
          <w:p>
            <w:r/>
            <w:r>
              <w:rPr>
                <w:color w:val="C03030"/>
                <w:sz w:val="18"/>
              </w:rPr>
              <w:t>[À compléter — ton mobile]</w:t>
            </w:r>
          </w:p>
        </w:tc>
      </w:tr>
    </w:tbl>
    <w:p>
      <w:pPr>
        <w:spacing w:before="200" w:after="80"/>
      </w:pPr>
      <w:r>
        <w:rPr>
          <w:b/>
          <w:color w:val="1B3A28"/>
          <w:sz w:val="28"/>
        </w:rPr>
        <w:t>2. Présentation du dirigeant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Dirigeant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Karim ZOUBDANE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Profil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Gérant unique. Double expertise en finance bancaire et en tourisme (structuration financière, analyse du risque, gestion). CIN : E436743. Né le 14/04/1971.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Affaire(s) gérée(s)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Voyages 21 — agence de voyages sur mesure au Maroc (active depuis 25 ans)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Mobile (Cellulaire)</w:t>
            </w:r>
          </w:p>
        </w:tc>
        <w:tc>
          <w:tcPr>
            <w:tcW w:type="dxa" w:w="4320"/>
          </w:tcPr>
          <w:p>
            <w:r/>
            <w:r>
              <w:rPr>
                <w:color w:val="C03030"/>
                <w:sz w:val="18"/>
              </w:rPr>
              <w:t>[À compléter]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Fixe (Tél.)</w:t>
            </w:r>
          </w:p>
        </w:tc>
        <w:tc>
          <w:tcPr>
            <w:tcW w:type="dxa" w:w="4320"/>
          </w:tcPr>
          <w:p>
            <w:r/>
            <w:r>
              <w:rPr>
                <w:color w:val="C03030"/>
                <w:sz w:val="18"/>
              </w:rPr>
              <w:t>[À compléter, sinon laisser vide]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Courrier électronique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karimzoubdane@gmail.com</w:t>
            </w:r>
          </w:p>
        </w:tc>
      </w:tr>
    </w:tbl>
    <w:p>
      <w:pPr>
        <w:spacing w:before="200" w:after="80"/>
      </w:pPr>
      <w:r>
        <w:rPr>
          <w:b/>
          <w:color w:val="1B3A28"/>
          <w:sz w:val="28"/>
        </w:rPr>
        <w:t>3. Projet de développement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Filière(s) du projet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Nature &amp; Découverte ; Gastronomie et Produits du terroir (animation touristique)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Objet du projet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Création d’un complexe d’animation touristique intégré (paintball, balades e-bike/fatbike, ateliers de cuisine marocaine) sur 1 hectare d’oliveraie, à 25 min de Marrakech.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Adresse des installations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Douar Labadz, Commune de Tamazouzite, Province d’Al Haouz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Ville/Région du Projet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Tamazouzite – Al Haouz (Région Marrakech-Safi)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Superficie et mode d’occupation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hectare — terrain agricole (oliveraie) occupé par contrat de bail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Effectif à embaucher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 (5 permanents + 2 saisonniers)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Planning de réalisation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 mois (construction 2026 → mi-2027)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Date prévue de démarrage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Juin 2027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Responsable de projet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Karim ZOUBDANE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Mobile du resp. de projet</w:t>
            </w:r>
          </w:p>
        </w:tc>
        <w:tc>
          <w:tcPr>
            <w:tcW w:type="dxa" w:w="4320"/>
          </w:tcPr>
          <w:p>
            <w:r/>
            <w:r>
              <w:rPr>
                <w:color w:val="C03030"/>
                <w:sz w:val="18"/>
              </w:rPr>
              <w:t>[À compléter]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Partenaire financier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Al Barid Bank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Investissement total (MAD)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1 091 000 (dont programme primable retenu : 971 000)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Mode de financement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Cocher : Autofinancement (fonds propres/comptes courants d’associés) + CMT</w:t>
            </w:r>
          </w:p>
        </w:tc>
      </w:tr>
    </w:tbl>
    <w:p>
      <w:pPr>
        <w:spacing w:before="200" w:after="80"/>
      </w:pPr>
      <w:r>
        <w:rPr>
          <w:b/>
          <w:color w:val="1B3A28"/>
          <w:sz w:val="28"/>
        </w:rPr>
        <w:t>4. Secteur / Écosystème / Activités / Autorisations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Secteur d’activité du projet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Tourisme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Écosystème(s) du projet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Animation touristique — Nature, terroir et loisirs de plein air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Activité(s) envisagée(s)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1) Paintball (jour et nocturne UV) ; 2) Balades e-bike / fatbike ; 3) Ateliers de cuisine marocaine « du jardin à l’assiette 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Description brève de l’offre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Complexe d’animation à taille maîtrisée combinant loisirs (paintball, e-bike), gastronomie (ateliers cuisine) et détente, dans une oliveraie ; cibles : familles, touristes internationaux, groupes, écoles, entreprises (team building, EVG/EVJF, anniversaires).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Fiche(s) de projet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Référence banque de projets tourisme (banqueprojetstourisme.ma) — animation / parcs loisirs &amp; mobilité douce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Autorisations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Contrat de bail du terrain ✓ ; Autorisation de construire (en cours d’obtention) ; conformité à l’activité d’animation</w:t>
            </w:r>
          </w:p>
        </w:tc>
      </w:tr>
    </w:tbl>
    <w:p>
      <w:pPr>
        <w:spacing w:before="200" w:after="80"/>
      </w:pPr>
      <w:r>
        <w:rPr>
          <w:b/>
          <w:color w:val="1B3A28"/>
          <w:sz w:val="28"/>
        </w:rPr>
        <w:t>5. Gamme envisagée de service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Domaine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Description succincte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Marché adressable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% du CA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Photos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Paintball (jour + nocturne UV)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Activité encadrée, sécurisée ; groupes, anniversaires, EVG/EVJF, team building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Familles, touristes, entreprises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36 %</w:t>
            </w:r>
          </w:p>
        </w:tc>
        <w:tc>
          <w:tcPr>
            <w:tcW w:type="dxa" w:w="1728"/>
          </w:tcPr>
          <w:p>
            <w:r/>
            <w:r>
              <w:rPr>
                <w:color w:val="C03030"/>
                <w:sz w:val="16"/>
              </w:rPr>
              <w:t>[À insérer]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E-bike / Fatbike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Balades accessibles à travers douar, champs et oliveraie (10 vélos)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Familles, touristes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33 %</w:t>
            </w:r>
          </w:p>
        </w:tc>
        <w:tc>
          <w:tcPr>
            <w:tcW w:type="dxa" w:w="1728"/>
          </w:tcPr>
          <w:p>
            <w:r/>
            <w:r>
              <w:rPr>
                <w:color w:val="C03030"/>
                <w:sz w:val="16"/>
              </w:rPr>
              <w:t>[À insérer]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Ateliers cuisine marocaine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Expérience « du jardin à l’assiette », terroir et produits locaux (15 places)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Touristes, groupes, écoles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31 %</w:t>
            </w:r>
          </w:p>
        </w:tc>
        <w:tc>
          <w:tcPr>
            <w:tcW w:type="dxa" w:w="1728"/>
          </w:tcPr>
          <w:p>
            <w:r/>
            <w:r>
              <w:rPr>
                <w:color w:val="C03030"/>
                <w:sz w:val="16"/>
              </w:rPr>
              <w:t>[À insérer]</w:t>
            </w:r>
          </w:p>
        </w:tc>
      </w:tr>
    </w:tbl>
    <w:p>
      <w:pPr>
        <w:spacing w:before="200" w:after="80"/>
      </w:pPr>
      <w:r>
        <w:rPr>
          <w:b/>
          <w:color w:val="1B3A28"/>
          <w:sz w:val="28"/>
        </w:rPr>
        <w:t>6. Synthèse étude de marché (marchés ciblés)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Domaine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Marché ciblé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Taille marché (2024/25)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Croissance annuelle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Paintball / e-bike / cuisine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Tourisme &amp; loisirs région Marrakech-Safi</w:t>
            </w:r>
          </w:p>
        </w:tc>
        <w:tc>
          <w:tcPr>
            <w:tcW w:type="dxa" w:w="2160"/>
          </w:tcPr>
          <w:p>
            <w:r/>
            <w:r>
              <w:rPr>
                <w:color w:val="C03030"/>
                <w:sz w:val="16"/>
              </w:rPr>
              <w:t>[À affiner] — région touristique majeure, plusieurs M de visiteurs/an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~7-10 %/an (feuille de route 2023-2026 : 17,5 M touristes Maroc en 2026)</w:t>
            </w:r>
          </w:p>
        </w:tc>
      </w:tr>
    </w:tbl>
    <w:p>
      <w:r>
        <w:rPr>
          <w:b w:val="0"/>
          <w:sz w:val="18"/>
        </w:rPr>
        <w:t>Note : tu peux préciser la taille du marché local (Al Haouz / route Ourika) si tu as des chiffres ; sinon ces ordres de grandeur suffisent.</w:t>
      </w:r>
    </w:p>
    <w:p>
      <w:pPr>
        <w:spacing w:before="200" w:after="80"/>
      </w:pPr>
      <w:r>
        <w:rPr>
          <w:b/>
          <w:color w:val="1B3A28"/>
          <w:sz w:val="28"/>
        </w:rPr>
        <w:t>7. Principaux concurrents (TOP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Concurrent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Implantation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Catégorie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% part marché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Principaux services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C03030"/>
                <w:sz w:val="16"/>
              </w:rPr>
              <w:t>[À compléter nom]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Marrakech / périphérie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Paintball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[—]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Paintball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C03030"/>
                <w:sz w:val="16"/>
              </w:rPr>
              <w:t>[À compléter nom]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Marrakech / montagne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Mobilité / VTT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[—]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Location e-bike/VTT, circuits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C03030"/>
                <w:sz w:val="16"/>
              </w:rPr>
              <w:t>[À compléter nom]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Médina / riads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Ateliers cuisine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[—]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Cours de cuisine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C03030"/>
                <w:sz w:val="16"/>
              </w:rPr>
              <w:t>[À compléter nom]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Route Ourika / Al Haouz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Loisirs plein air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[—]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Quad, activités nature</w:t>
            </w:r>
          </w:p>
        </w:tc>
      </w:tr>
    </w:tbl>
    <w:p>
      <w:r>
        <w:rPr>
          <w:b w:val="0"/>
          <w:sz w:val="18"/>
        </w:rPr>
        <w:t>À compléter avec les noms réels ; à défaut, garde les catégories — le positionnement DA21 est « offre combinée loisirs + gastronomie + détente en oliveraie », rare chez les concurrents isolés.</w:t>
      </w:r>
    </w:p>
    <w:p>
      <w:pPr>
        <w:spacing w:before="200" w:after="80"/>
      </w:pPr>
      <w:r>
        <w:rPr>
          <w:b/>
          <w:color w:val="1B3A28"/>
          <w:sz w:val="28"/>
        </w:rPr>
        <w:t>8. Principaux fournisseurs (TOP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Fournisseur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Catégorie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Produit(s)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% achats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Délai règl.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Modalités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color w:val="C03030"/>
                <w:sz w:val="16"/>
              </w:rPr>
              <w:t>[À compléter]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Équipement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Lanceurs, billes, protections paintball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~25 %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30-60 j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Devis/facture, virement société</w:t>
            </w:r>
          </w:p>
        </w:tc>
      </w:tr>
      <w:tr>
        <w:tc>
          <w:tcPr>
            <w:tcW w:type="dxa" w:w="1440"/>
          </w:tcPr>
          <w:p>
            <w:r/>
            <w:r>
              <w:rPr>
                <w:color w:val="C03030"/>
                <w:sz w:val="16"/>
              </w:rPr>
              <w:t>[À compléter]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Équipement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E-bikes / fatbikes + accessoires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~25 %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30-60 j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Devis/facture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color w:val="C03030"/>
                <w:sz w:val="16"/>
              </w:rPr>
              <w:t>[À compléter]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Équipement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Matériel de cuisine professionnel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~10 %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30 j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Devis/facture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color w:val="C03030"/>
                <w:sz w:val="16"/>
              </w:rPr>
              <w:t>[À compléter]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Équipement/travaux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Installation solaire, puits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~15 %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30 j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Devis/facture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Fournisseurs terroir locaux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Consommables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Produits frais, épices, huile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~ variable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Comptant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Marché local</w:t>
            </w:r>
          </w:p>
        </w:tc>
      </w:tr>
    </w:tbl>
    <w:p>
      <w:pPr>
        <w:spacing w:before="200" w:after="80"/>
      </w:pPr>
      <w:r>
        <w:rPr>
          <w:b/>
          <w:color w:val="1B3A28"/>
          <w:sz w:val="28"/>
        </w:rPr>
        <w:t>9. Principaux créneaux / clients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Créneau/Service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Clients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Catégorie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% CA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Délai recouvr.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Modalités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Circuits / groupes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Voyages 21, agences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B2B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30 %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30-60 j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Bon de commande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Familles / résidents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Particuliers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B2C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30 %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Comptant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Sur place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Touristes internationaux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Particuliers / agences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B2C/B2B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25 %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Comptant / 30 j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Sur place / contrat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Sorties pédagogiques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Écoles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B2B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8 %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30 j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Convention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Team building / EVG-EVJF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Entreprises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B2B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7 %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30 j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Devis</w:t>
            </w:r>
          </w:p>
        </w:tc>
      </w:tr>
    </w:tbl>
    <w:p>
      <w:pPr>
        <w:spacing w:before="200" w:after="80"/>
      </w:pPr>
      <w:r>
        <w:rPr>
          <w:b/>
          <w:color w:val="1B3A28"/>
          <w:sz w:val="28"/>
        </w:rPr>
        <w:t>10. Politique de prix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6"/>
              </w:rPr>
              <w:t>Famille de service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6"/>
              </w:rPr>
              <w:t>Politique de prix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6"/>
              </w:rPr>
              <w:t>Commentaire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Paintball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Pénétration puis alignement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Saisonnalité estivale +7 à 10 % (juin-sept)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E-bike / Fatbike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Pénétration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Balades accessibles, volume familles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Ateliers cuisine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Valeur / alignement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Premium « terroir », expérience</w:t>
            </w:r>
          </w:p>
        </w:tc>
      </w:tr>
    </w:tbl>
    <w:p>
      <w:r>
        <w:rPr>
          <w:b w:val="0"/>
          <w:sz w:val="18"/>
        </w:rPr>
        <w:t>Rationnel : prix attractifs au lancement pour conquérir rapidement des parts de marché et bâtir la notoriété (appui Voyages 21), puis montée progressive avec saisonnalité estivale (forte demande juin-septembre).</w:t>
      </w:r>
    </w:p>
    <w:p>
      <w:pPr>
        <w:spacing w:before="200" w:after="80"/>
      </w:pPr>
      <w:r>
        <w:rPr>
          <w:b/>
          <w:color w:val="1B3A28"/>
          <w:sz w:val="28"/>
        </w:rPr>
        <w:t>11. Animation touristique — capacités &amp; prix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Domaine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Capacité journalière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Durée cycle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Prix moyen (DH)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Taux d’occupation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E-bike / Fatbike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10 vélos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~2 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430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18 % (2027) → 38 % (2031)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Paintball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20 joueurs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~2 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267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18 % → 38 %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Ateliers cuisine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 places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~3 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470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18 % → 38 %</w:t>
            </w:r>
          </w:p>
        </w:tc>
      </w:tr>
    </w:tbl>
    <w:p>
      <w:pPr>
        <w:spacing w:before="200" w:after="80"/>
      </w:pPr>
      <w:r>
        <w:rPr>
          <w:b/>
          <w:color w:val="1B3A28"/>
          <w:sz w:val="28"/>
        </w:rPr>
        <w:t>12. Chiffre d’affaires prévisionnel (en KMAD)</w:t>
      </w:r>
    </w:p>
    <w:p>
      <w:r>
        <w:rPr>
          <w:b/>
          <w:sz w:val="18"/>
        </w:rPr>
        <w:t>Démarrage juin 2027 → 2027 = 7 mois d’activité (prorata).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6"/>
              </w:rPr>
              <w:t>Domaine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2026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2027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2028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2029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2030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2031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E-bike / Fatbike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135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366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445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525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604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Paintball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168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400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487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574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661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Ateliers cuisine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177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327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400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470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541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CA TOTAL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480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1 093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1 332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1 569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1 807</w:t>
            </w:r>
          </w:p>
        </w:tc>
      </w:tr>
    </w:tbl>
    <w:p>
      <w:pPr>
        <w:spacing w:before="200" w:after="80"/>
      </w:pPr>
      <w:r>
        <w:rPr>
          <w:b/>
          <w:color w:val="1B3A28"/>
          <w:sz w:val="28"/>
        </w:rPr>
        <w:t>13. Emplois permanents (par profil)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Profil / Domaine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Emplois permanents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Dont féminins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Contrat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Cadres supérieurs (&gt;Bac+5)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Cadres (Bac+3)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Techniciens spécialisés (Bac+2)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 (chef cuisinier)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[à préciser]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CDI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Techniciens (Bac)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 (agent d’accueil)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[à préciser]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CDI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Guides touristiques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 (guide mécanicien e-bike)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CDI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Autres employés/ouvriers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 (arbitre paintball, aide-cuisinier)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[à préciser]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CDI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Total emplois permanents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—</w:t>
            </w:r>
          </w:p>
        </w:tc>
      </w:tr>
    </w:tbl>
    <w:p>
      <w:pPr>
        <w:spacing w:before="200" w:after="80"/>
      </w:pPr>
      <w:r>
        <w:rPr>
          <w:b/>
          <w:color w:val="1B3A28"/>
          <w:sz w:val="28"/>
        </w:rPr>
        <w:t>14. Autres impacts emploi &amp; devises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Indicateur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Valeur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Nombre prévisionnel d’intérimaires/saisonniers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2 (pisciniste + jardinier)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Emplois indirects à créer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4 (fournisseurs locaux, prestataires, maintenance)</w:t>
            </w:r>
          </w:p>
        </w:tc>
      </w:tr>
    </w:tbl>
    <w:p>
      <w:r>
        <w:rPr>
          <w:b/>
          <w:sz w:val="18"/>
        </w:rPr>
        <w:t>Recettes en devises estimées (≈ 30 % du CA, clientèle internationale), en KMAD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2027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2028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2029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2030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Recettes en devises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328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400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471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Indicateur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Valeur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Achats en devises</w:t>
            </w:r>
          </w:p>
        </w:tc>
        <w:tc>
          <w:tcPr>
            <w:tcW w:type="dxa" w:w="4320"/>
          </w:tcPr>
          <w:p>
            <w:r/>
            <w:r>
              <w:rPr>
                <w:color w:val="C03030"/>
                <w:sz w:val="16"/>
              </w:rPr>
              <w:t>[À compléter — équipements importés éventuels, sinon 0]</w:t>
            </w:r>
          </w:p>
        </w:tc>
      </w:tr>
    </w:tbl>
    <w:p>
      <w:r>
        <w:rPr>
          <w:b/>
          <w:sz w:val="18"/>
        </w:rPr>
        <w:t>— Fin du cahier de remplissage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