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B3A28"/>
          <w:sz w:val="44"/>
        </w:rPr>
        <w:t>DA21 SARL AU</w:t>
      </w:r>
    </w:p>
    <w:p>
      <w:pPr>
        <w:jc w:val="center"/>
      </w:pPr>
      <w:r>
        <w:rPr>
          <w:b/>
          <w:color w:val="C8A440"/>
          <w:sz w:val="32"/>
        </w:rPr>
        <w:t>PLAN D'INVESTISSEMENT DÉTAILLÉ</w:t>
      </w:r>
    </w:p>
    <w:p>
      <w:pPr>
        <w:jc w:val="center"/>
      </w:pPr>
      <w:r>
        <w:rPr>
          <w:color w:val="555555"/>
          <w:sz w:val="22"/>
        </w:rPr>
        <w:t>Programme GO SIYAHA – Volet soutien à l'investissement (Istitmar) — Édition 2026</w:t>
      </w:r>
    </w:p>
    <w:p>
      <w:pPr>
        <w:jc w:val="center"/>
      </w:pPr>
      <w:r>
        <w:rPr>
          <w:i/>
          <w:color w:val="555555"/>
          <w:sz w:val="20"/>
        </w:rPr>
        <w:t>Document d'analyse — ICE 003934997000054</w:t>
      </w:r>
    </w:p>
    <w:p/>
    <w:p>
      <w:pPr>
        <w:spacing w:after="120" w:before="200"/>
      </w:pPr>
      <w:r>
        <w:rPr>
          <w:b/>
          <w:color w:val="1B3A28"/>
          <w:sz w:val="30"/>
        </w:rPr>
        <w:t>1. Présentation synthétique du projet</w:t>
      </w:r>
    </w:p>
    <w:p>
      <w:pPr>
        <w:spacing w:after="80"/>
      </w:pPr>
      <w:r>
        <w:rPr>
          <w:b w:val="0"/>
          <w:sz w:val="21"/>
        </w:rPr>
        <w:t>Complexe d'animation touristique intégré sur 1 hectare, implanté dans une oliveraie adulte à 25 minutes de Marrakech, combinant trois offres d'animation : balades e-bike / Fatbike, paintball (jour et nocturne UV) et ateliers de cuisine marocaine. Une tente caïdale climatisée sert d'espace de restauration des ateliers ; une piscine constitue une prestation complémentaire de détente (financée hors programme primé).</w:t>
      </w:r>
    </w:p>
    <w:p>
      <w:pPr>
        <w:spacing w:after="80"/>
      </w:pPr>
      <w:r>
        <w:rPr>
          <w:b w:val="0"/>
          <w:sz w:val="21"/>
        </w:rPr>
        <w:t>Démarrage de l'exploitation prévu en juin 2027 : l'année 2026 et le premier semestre 2027 sont consacrés à la construction et à l'équipement. Chiffre d'affaires inscrit intégralement en « Animation ».</w:t>
      </w:r>
    </w:p>
    <w:p>
      <w:pPr>
        <w:spacing w:after="120" w:before="200"/>
      </w:pPr>
      <w:r>
        <w:rPr>
          <w:b/>
          <w:color w:val="1B3A28"/>
          <w:sz w:val="30"/>
        </w:rPr>
        <w:t>2. Programme d'investissement primable (assiette de la prime)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5386"/>
            <w:shd w:fill="1B3A28"/>
          </w:tcPr>
          <w:p>
            <w:r/>
            <w:r>
              <w:rPr>
                <w:b/>
                <w:color w:val="FFFFFF"/>
                <w:sz w:val="19"/>
              </w:rPr>
              <w:t>Rubrique / Ligne (état : Neuf)</w:t>
            </w:r>
          </w:p>
        </w:tc>
        <w:tc>
          <w:tcPr>
            <w:tcW w:type="dxa" w:w="1474"/>
            <w:shd w:fill="1B3A28"/>
          </w:tcPr>
          <w:p>
            <w:r/>
            <w:r>
              <w:rPr>
                <w:b/>
                <w:color w:val="FFFFFF"/>
                <w:sz w:val="19"/>
              </w:rPr>
              <w:t>HT (DH)</w:t>
            </w:r>
          </w:p>
        </w:tc>
        <w:tc>
          <w:tcPr>
            <w:tcW w:type="dxa" w:w="1247"/>
            <w:shd w:fill="1B3A28"/>
          </w:tcPr>
          <w:p>
            <w:r/>
            <w:r>
              <w:rPr>
                <w:b/>
                <w:color w:val="FFFFFF"/>
                <w:sz w:val="19"/>
              </w:rPr>
              <w:t>TVA 20%</w:t>
            </w:r>
          </w:p>
        </w:tc>
        <w:tc>
          <w:tcPr>
            <w:tcW w:type="dxa" w:w="1474"/>
            <w:shd w:fill="1B3A28"/>
          </w:tcPr>
          <w:p>
            <w:r/>
            <w:r>
              <w:rPr>
                <w:b/>
                <w:color w:val="FFFFFF"/>
                <w:sz w:val="19"/>
              </w:rPr>
              <w:t>TTC (DH)</w:t>
            </w:r>
          </w:p>
        </w:tc>
      </w:tr>
      <w:tr>
        <w:tc>
          <w:tcPr>
            <w:tcW w:type="dxa" w:w="5386"/>
          </w:tcPr>
          <w:p>
            <w:r/>
            <w:r>
              <w:rPr>
                <w:b/>
                <w:sz w:val="19"/>
              </w:rPr>
              <w:t>CONSTRUCTIONS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b/>
                <w:sz w:val="19"/>
              </w:rPr>
              <w:t>145 833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b/>
                <w:sz w:val="19"/>
              </w:rPr>
              <w:t>29 167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b/>
                <w:sz w:val="19"/>
              </w:rPr>
              <w:t>175 000</w:t>
            </w:r>
          </w:p>
        </w:tc>
      </w:tr>
      <w:tr>
        <w:tc>
          <w:tcPr>
            <w:tcW w:type="dxa" w:w="5386"/>
          </w:tcPr>
          <w:p>
            <w:r/>
            <w:r>
              <w:rPr>
                <w:sz w:val="19"/>
              </w:rPr>
              <w:t xml:space="preserve">  · Accueil, vestiaires, sanitaires, terrassement (clé en main)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sz w:val="19"/>
              </w:rPr>
              <w:t>91 667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sz w:val="19"/>
              </w:rPr>
              <w:t>18 333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sz w:val="19"/>
              </w:rPr>
              <w:t>110 000</w:t>
            </w:r>
          </w:p>
        </w:tc>
      </w:tr>
      <w:tr>
        <w:tc>
          <w:tcPr>
            <w:tcW w:type="dxa" w:w="5386"/>
          </w:tcPr>
          <w:p>
            <w:r/>
            <w:r>
              <w:rPr>
                <w:sz w:val="19"/>
              </w:rPr>
              <w:t xml:space="preserve">  · Puits — forage + génie civil (hors pompe)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sz w:val="19"/>
              </w:rPr>
              <w:t>54 167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sz w:val="19"/>
              </w:rPr>
              <w:t>10 833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sz w:val="19"/>
              </w:rPr>
              <w:t>65 000</w:t>
            </w:r>
          </w:p>
        </w:tc>
      </w:tr>
      <w:tr>
        <w:tc>
          <w:tcPr>
            <w:tcW w:type="dxa" w:w="5386"/>
          </w:tcPr>
          <w:p>
            <w:r/>
            <w:r>
              <w:rPr>
                <w:b/>
                <w:sz w:val="19"/>
              </w:rPr>
              <w:t>AMÉNAGEMENT &amp; AGENCEMENT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b/>
                <w:sz w:val="19"/>
              </w:rPr>
              <w:t>258 333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b/>
                <w:sz w:val="19"/>
              </w:rPr>
              <w:t>51 667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b/>
                <w:sz w:val="19"/>
              </w:rPr>
              <w:t>310 000</w:t>
            </w:r>
          </w:p>
        </w:tc>
      </w:tr>
      <w:tr>
        <w:tc>
          <w:tcPr>
            <w:tcW w:type="dxa" w:w="5386"/>
          </w:tcPr>
          <w:p>
            <w:r/>
            <w:r>
              <w:rPr>
                <w:sz w:val="19"/>
              </w:rPr>
              <w:t xml:space="preserve">  · Tentes caïdales + climatisation + mobilier + sonorisation DJ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sz w:val="19"/>
              </w:rPr>
              <w:t>141 667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sz w:val="19"/>
              </w:rPr>
              <w:t>28 333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sz w:val="19"/>
              </w:rPr>
              <w:t>170 000</w:t>
            </w:r>
          </w:p>
        </w:tc>
      </w:tr>
      <w:tr>
        <w:tc>
          <w:tcPr>
            <w:tcW w:type="dxa" w:w="5386"/>
          </w:tcPr>
          <w:p>
            <w:r/>
            <w:r>
              <w:rPr>
                <w:sz w:val="19"/>
              </w:rPr>
              <w:t xml:space="preserve">  · Espace « du jardin à l'assiette »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sz w:val="19"/>
              </w:rPr>
              <w:t>25 000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sz w:val="19"/>
              </w:rPr>
              <w:t>5 000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sz w:val="19"/>
              </w:rPr>
              <w:t>30 000</w:t>
            </w:r>
          </w:p>
        </w:tc>
      </w:tr>
      <w:tr>
        <w:tc>
          <w:tcPr>
            <w:tcW w:type="dxa" w:w="5386"/>
          </w:tcPr>
          <w:p>
            <w:r/>
            <w:r>
              <w:rPr>
                <w:sz w:val="19"/>
              </w:rPr>
              <w:t xml:space="preserve">  · Allées, parking, clôtures, signalétique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sz w:val="19"/>
              </w:rPr>
              <w:t>50 000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sz w:val="19"/>
              </w:rPr>
              <w:t>10 000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sz w:val="19"/>
              </w:rPr>
              <w:t>60 000</w:t>
            </w:r>
          </w:p>
        </w:tc>
      </w:tr>
      <w:tr>
        <w:tc>
          <w:tcPr>
            <w:tcW w:type="dxa" w:w="5386"/>
          </w:tcPr>
          <w:p>
            <w:r/>
            <w:r>
              <w:rPr>
                <w:sz w:val="19"/>
              </w:rPr>
              <w:t xml:space="preserve">  · Aménagements communs (réseaux, éclairage, paysager)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sz w:val="19"/>
              </w:rPr>
              <w:t>41 667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sz w:val="19"/>
              </w:rPr>
              <w:t>8 333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sz w:val="19"/>
              </w:rPr>
              <w:t>50 000</w:t>
            </w:r>
          </w:p>
        </w:tc>
      </w:tr>
      <w:tr>
        <w:tc>
          <w:tcPr>
            <w:tcW w:type="dxa" w:w="5386"/>
          </w:tcPr>
          <w:p>
            <w:r/>
            <w:r>
              <w:rPr>
                <w:b/>
                <w:sz w:val="19"/>
              </w:rPr>
              <w:t>MATÉRIEL D'ÉQUIPEMENT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b/>
                <w:sz w:val="19"/>
              </w:rPr>
              <w:t>365 000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b/>
                <w:sz w:val="19"/>
              </w:rPr>
              <w:t>73 000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b/>
                <w:sz w:val="19"/>
              </w:rPr>
              <w:t>438 000</w:t>
            </w:r>
          </w:p>
        </w:tc>
      </w:tr>
      <w:tr>
        <w:tc>
          <w:tcPr>
            <w:tcW w:type="dxa" w:w="5386"/>
          </w:tcPr>
          <w:p>
            <w:r/>
            <w:r>
              <w:rPr>
                <w:sz w:val="19"/>
              </w:rPr>
              <w:t xml:space="preserve">  · Paintball (lanceurs, terrain, nocturne UV)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sz w:val="19"/>
              </w:rPr>
              <w:t>116 667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sz w:val="19"/>
              </w:rPr>
              <w:t>23 333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sz w:val="19"/>
              </w:rPr>
              <w:t>140 000</w:t>
            </w:r>
          </w:p>
        </w:tc>
      </w:tr>
      <w:tr>
        <w:tc>
          <w:tcPr>
            <w:tcW w:type="dxa" w:w="5386"/>
          </w:tcPr>
          <w:p>
            <w:r/>
            <w:r>
              <w:rPr>
                <w:sz w:val="19"/>
              </w:rPr>
              <w:t xml:space="preserve">  · E-bike / Fatbike (parc 12 vélos)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sz w:val="19"/>
              </w:rPr>
              <w:t>108 333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sz w:val="19"/>
              </w:rPr>
              <w:t>21 667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sz w:val="19"/>
              </w:rPr>
              <w:t>130 000</w:t>
            </w:r>
          </w:p>
        </w:tc>
      </w:tr>
      <w:tr>
        <w:tc>
          <w:tcPr>
            <w:tcW w:type="dxa" w:w="5386"/>
          </w:tcPr>
          <w:p>
            <w:r/>
            <w:r>
              <w:rPr>
                <w:sz w:val="19"/>
              </w:rPr>
              <w:t xml:space="preserve">  · Accessoires &amp; sécurité e-bike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sz w:val="19"/>
              </w:rPr>
              <w:t>15 000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sz w:val="19"/>
              </w:rPr>
              <w:t>3 000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sz w:val="19"/>
              </w:rPr>
              <w:t>18 000</w:t>
            </w:r>
          </w:p>
        </w:tc>
      </w:tr>
      <w:tr>
        <w:tc>
          <w:tcPr>
            <w:tcW w:type="dxa" w:w="5386"/>
          </w:tcPr>
          <w:p>
            <w:r/>
            <w:r>
              <w:rPr>
                <w:sz w:val="19"/>
              </w:rPr>
              <w:t xml:space="preserve">  · Ateliers cuisine (équipement professionnel)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sz w:val="19"/>
              </w:rPr>
              <w:t>37 500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sz w:val="19"/>
              </w:rPr>
              <w:t>7 500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sz w:val="19"/>
              </w:rPr>
              <w:t>45 000</w:t>
            </w:r>
          </w:p>
        </w:tc>
      </w:tr>
      <w:tr>
        <w:tc>
          <w:tcPr>
            <w:tcW w:type="dxa" w:w="5386"/>
          </w:tcPr>
          <w:p>
            <w:r/>
            <w:r>
              <w:rPr>
                <w:sz w:val="19"/>
              </w:rPr>
              <w:t xml:space="preserve">  · Installation solaire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sz w:val="19"/>
              </w:rPr>
              <w:t>58 333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sz w:val="19"/>
              </w:rPr>
              <w:t>11 667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sz w:val="19"/>
              </w:rPr>
              <w:t>70 000</w:t>
            </w:r>
          </w:p>
        </w:tc>
      </w:tr>
      <w:tr>
        <w:tc>
          <w:tcPr>
            <w:tcW w:type="dxa" w:w="5386"/>
          </w:tcPr>
          <w:p>
            <w:r/>
            <w:r>
              <w:rPr>
                <w:sz w:val="19"/>
              </w:rPr>
              <w:t xml:space="preserve">  · Pompe + équipement hydraulique (ex-puits)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sz w:val="19"/>
              </w:rPr>
              <w:t>29 167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sz w:val="19"/>
              </w:rPr>
              <w:t>5 833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sz w:val="19"/>
              </w:rPr>
              <w:t>35 000</w:t>
            </w:r>
          </w:p>
        </w:tc>
      </w:tr>
      <w:tr>
        <w:tc>
          <w:tcPr>
            <w:tcW w:type="dxa" w:w="5386"/>
          </w:tcPr>
          <w:p>
            <w:r/>
            <w:r>
              <w:rPr>
                <w:b/>
                <w:sz w:val="19"/>
              </w:rPr>
              <w:t>FRAIS PRÉLIMINAIRES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b/>
                <w:sz w:val="19"/>
              </w:rPr>
              <w:t>31 667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b/>
                <w:sz w:val="19"/>
              </w:rPr>
              <w:t>6 333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b/>
                <w:sz w:val="19"/>
              </w:rPr>
              <w:t>38 000</w:t>
            </w:r>
          </w:p>
        </w:tc>
      </w:tr>
      <w:tr>
        <w:tc>
          <w:tcPr>
            <w:tcW w:type="dxa" w:w="5386"/>
          </w:tcPr>
          <w:p>
            <w:r/>
            <w:r>
              <w:rPr>
                <w:sz w:val="19"/>
              </w:rPr>
              <w:t xml:space="preserve">  · Constitution, études, BP, autorisations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sz w:val="19"/>
              </w:rPr>
              <w:t>31 667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sz w:val="19"/>
              </w:rPr>
              <w:t>6 333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sz w:val="19"/>
              </w:rPr>
              <w:t>38 000</w:t>
            </w:r>
          </w:p>
        </w:tc>
      </w:tr>
      <w:tr>
        <w:tc>
          <w:tcPr>
            <w:tcW w:type="dxa" w:w="5386"/>
          </w:tcPr>
          <w:p>
            <w:r/>
            <w:r>
              <w:rPr>
                <w:b/>
                <w:sz w:val="19"/>
              </w:rPr>
              <w:t>DIVERS &amp; IMPRÉVUS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b/>
                <w:sz w:val="19"/>
              </w:rPr>
              <w:t>8 333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b/>
                <w:sz w:val="19"/>
              </w:rPr>
              <w:t>1 667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b/>
                <w:sz w:val="19"/>
              </w:rPr>
              <w:t>10 000</w:t>
            </w:r>
          </w:p>
        </w:tc>
      </w:tr>
      <w:tr>
        <w:tc>
          <w:tcPr>
            <w:tcW w:type="dxa" w:w="5386"/>
          </w:tcPr>
          <w:p>
            <w:r/>
            <w:r>
              <w:rPr>
                <w:sz w:val="19"/>
              </w:rPr>
              <w:t xml:space="preserve">  · Divers et imprévus (adossés au programme)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sz w:val="19"/>
              </w:rPr>
              <w:t>8 333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sz w:val="19"/>
              </w:rPr>
              <w:t>1 667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sz w:val="19"/>
              </w:rPr>
              <w:t>10 000</w:t>
            </w:r>
          </w:p>
        </w:tc>
      </w:tr>
      <w:tr>
        <w:tc>
          <w:tcPr>
            <w:tcW w:type="dxa" w:w="5386"/>
          </w:tcPr>
          <w:p>
            <w:r/>
            <w:r>
              <w:rPr>
                <w:b/>
                <w:sz w:val="19"/>
              </w:rPr>
              <w:t>TOTAL PROGRAMME PRIMABLE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b/>
                <w:sz w:val="19"/>
              </w:rPr>
              <w:t>809 167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b/>
                <w:sz w:val="19"/>
              </w:rPr>
              <w:t>161 833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b/>
                <w:sz w:val="19"/>
              </w:rPr>
              <w:t>971 000</w:t>
            </w:r>
          </w:p>
        </w:tc>
      </w:tr>
    </w:tbl>
    <w:p>
      <w:pPr>
        <w:spacing w:after="80"/>
      </w:pPr>
      <w:r>
        <w:rPr>
          <w:b/>
          <w:color w:val="C8A440"/>
          <w:sz w:val="21"/>
        </w:rPr>
        <w:t>Prime GO SIYAHA = 35 % × 971 000 = 339 850 DH.</w:t>
      </w:r>
    </w:p>
    <w:p>
      <w:pPr>
        <w:spacing w:after="120" w:before="200"/>
      </w:pPr>
      <w:r>
        <w:rPr>
          <w:b/>
          <w:color w:val="1B3A28"/>
          <w:sz w:val="30"/>
        </w:rPr>
        <w:t>3. Postes hors primable (autofinancés)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5386"/>
            <w:shd w:fill="1B3A28"/>
          </w:tcPr>
          <w:p>
            <w:r/>
            <w:r>
              <w:rPr>
                <w:b/>
                <w:color w:val="FFFFFF"/>
                <w:sz w:val="19"/>
              </w:rPr>
              <w:t>Poste</w:t>
            </w:r>
          </w:p>
        </w:tc>
        <w:tc>
          <w:tcPr>
            <w:tcW w:type="dxa" w:w="1474"/>
            <w:shd w:fill="1B3A28"/>
          </w:tcPr>
          <w:p>
            <w:r/>
            <w:r>
              <w:rPr>
                <w:b/>
                <w:color w:val="FFFFFF"/>
                <w:sz w:val="19"/>
              </w:rPr>
              <w:t>HT (DH)</w:t>
            </w:r>
          </w:p>
        </w:tc>
        <w:tc>
          <w:tcPr>
            <w:tcW w:type="dxa" w:w="1247"/>
            <w:shd w:fill="1B3A28"/>
          </w:tcPr>
          <w:p>
            <w:r/>
            <w:r>
              <w:rPr>
                <w:b/>
                <w:color w:val="FFFFFF"/>
                <w:sz w:val="19"/>
              </w:rPr>
              <w:t>TVA 20%</w:t>
            </w:r>
          </w:p>
        </w:tc>
        <w:tc>
          <w:tcPr>
            <w:tcW w:type="dxa" w:w="1474"/>
            <w:shd w:fill="1B3A28"/>
          </w:tcPr>
          <w:p>
            <w:r/>
            <w:r>
              <w:rPr>
                <w:b/>
                <w:color w:val="FFFFFF"/>
                <w:sz w:val="19"/>
              </w:rPr>
              <w:t>TTC (DH)</w:t>
            </w:r>
          </w:p>
        </w:tc>
      </w:tr>
      <w:tr>
        <w:tc>
          <w:tcPr>
            <w:tcW w:type="dxa" w:w="5386"/>
          </w:tcPr>
          <w:p>
            <w:r/>
            <w:r>
              <w:rPr>
                <w:sz w:val="19"/>
              </w:rPr>
              <w:t>Piscine (prestation complémentaire de détente)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sz w:val="19"/>
              </w:rPr>
              <w:t>83 333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sz w:val="19"/>
              </w:rPr>
              <w:t>16 667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sz w:val="19"/>
              </w:rPr>
              <w:t>100 000</w:t>
            </w:r>
          </w:p>
        </w:tc>
      </w:tr>
      <w:tr>
        <w:tc>
          <w:tcPr>
            <w:tcW w:type="dxa" w:w="5386"/>
          </w:tcPr>
          <w:p>
            <w:r/>
            <w:r>
              <w:rPr>
                <w:sz w:val="19"/>
              </w:rPr>
              <w:t>BFR / fonds de roulement de démarrage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sz w:val="19"/>
              </w:rPr>
              <w:t>—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sz w:val="19"/>
              </w:rPr>
              <w:t>—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sz w:val="19"/>
              </w:rPr>
              <w:t>20 000</w:t>
            </w:r>
          </w:p>
        </w:tc>
      </w:tr>
      <w:tr>
        <w:tc>
          <w:tcPr>
            <w:tcW w:type="dxa" w:w="5386"/>
          </w:tcPr>
          <w:p>
            <w:r/>
            <w:r>
              <w:rPr>
                <w:b/>
                <w:sz w:val="19"/>
              </w:rPr>
              <w:t>TOTAL HORS PRIMABLE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b/>
                <w:sz w:val="19"/>
              </w:rPr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b/>
                <w:sz w:val="19"/>
              </w:rPr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b/>
                <w:sz w:val="19"/>
              </w:rPr>
              <w:t>120 000</w:t>
            </w:r>
          </w:p>
        </w:tc>
      </w:tr>
    </w:tbl>
    <w:p>
      <w:pPr>
        <w:spacing w:after="80"/>
      </w:pPr>
      <w:r>
        <w:rPr>
          <w:b w:val="0"/>
          <w:color w:val="555555"/>
          <w:sz w:val="19"/>
        </w:rPr>
        <w:t>La piscine est expressément exclue de l'assiette primable (projet non ciblé au sens du règlement). Elle reste un argument commercial et est financée sur fonds propres.</w:t>
      </w:r>
    </w:p>
    <w:p>
      <w:pPr>
        <w:spacing w:after="120" w:before="200"/>
      </w:pPr>
      <w:r>
        <w:rPr>
          <w:b/>
          <w:color w:val="1B3A28"/>
          <w:sz w:val="30"/>
        </w:rPr>
        <w:t>4. Prime probable par rubrique et contrôle des plafonds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2041"/>
            <w:shd w:fill="1B3A28"/>
          </w:tcPr>
          <w:p>
            <w:r/>
            <w:r>
              <w:rPr>
                <w:b/>
                <w:color w:val="FFFFFF"/>
                <w:sz w:val="19"/>
              </w:rPr>
              <w:t>Rubrique</w:t>
            </w:r>
          </w:p>
        </w:tc>
        <w:tc>
          <w:tcPr>
            <w:tcW w:type="dxa" w:w="1304"/>
            <w:shd w:fill="1B3A28"/>
          </w:tcPr>
          <w:p>
            <w:r/>
            <w:r>
              <w:rPr>
                <w:b/>
                <w:color w:val="FFFFFF"/>
                <w:sz w:val="19"/>
              </w:rPr>
              <w:t>Budget TTC</w:t>
            </w:r>
          </w:p>
        </w:tc>
        <w:tc>
          <w:tcPr>
            <w:tcW w:type="dxa" w:w="1701"/>
            <w:shd w:fill="1B3A28"/>
          </w:tcPr>
          <w:p>
            <w:r/>
            <w:r>
              <w:rPr>
                <w:b/>
                <w:color w:val="FFFFFF"/>
                <w:sz w:val="19"/>
              </w:rPr>
              <w:t>Plafond</w:t>
            </w:r>
          </w:p>
        </w:tc>
        <w:tc>
          <w:tcPr>
            <w:tcW w:type="dxa" w:w="1020"/>
            <w:shd w:fill="1B3A28"/>
          </w:tcPr>
          <w:p>
            <w:r/>
            <w:r>
              <w:rPr>
                <w:b/>
                <w:color w:val="FFFFFF"/>
                <w:sz w:val="19"/>
              </w:rPr>
              <w:t>% projet</w:t>
            </w:r>
          </w:p>
        </w:tc>
        <w:tc>
          <w:tcPr>
            <w:tcW w:type="dxa" w:w="1247"/>
            <w:shd w:fill="1B3A28"/>
          </w:tcPr>
          <w:p>
            <w:r/>
            <w:r>
              <w:rPr>
                <w:b/>
                <w:color w:val="FFFFFF"/>
                <w:sz w:val="19"/>
              </w:rPr>
              <w:t>Prime (35%)</w:t>
            </w:r>
          </w:p>
        </w:tc>
        <w:tc>
          <w:tcPr>
            <w:tcW w:type="dxa" w:w="1701"/>
            <w:shd w:fill="1B3A28"/>
          </w:tcPr>
          <w:p>
            <w:r/>
            <w:r>
              <w:rPr>
                <w:b/>
                <w:color w:val="FFFFFF"/>
                <w:sz w:val="19"/>
              </w:rPr>
              <w:t>Statut</w:t>
            </w:r>
          </w:p>
        </w:tc>
      </w:tr>
      <w:tr>
        <w:tc>
          <w:tcPr>
            <w:tcW w:type="dxa" w:w="2041"/>
          </w:tcPr>
          <w:p>
            <w:r/>
            <w:r>
              <w:rPr>
                <w:sz w:val="19"/>
              </w:rPr>
              <w:t>Frais préliminaires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9"/>
              </w:rPr>
              <w:t>38 000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sz w:val="19"/>
              </w:rPr>
              <w:t>≤ 5 % (avec divers)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sz w:val="19"/>
              </w:rPr>
              <w:t>4,4 % combiné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sz w:val="19"/>
              </w:rPr>
              <w:t>13 300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sz w:val="19"/>
              </w:rPr>
              <w:t>Conforme</w:t>
            </w:r>
          </w:p>
        </w:tc>
      </w:tr>
      <w:tr>
        <w:tc>
          <w:tcPr>
            <w:tcW w:type="dxa" w:w="2041"/>
          </w:tcPr>
          <w:p>
            <w:r/>
            <w:r>
              <w:rPr>
                <w:sz w:val="19"/>
              </w:rPr>
              <w:t>Constructions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9"/>
              </w:rPr>
              <w:t>175 000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sz w:val="19"/>
              </w:rPr>
              <w:t>≤ 20 % du projet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sz w:val="19"/>
              </w:rPr>
              <w:t>16,0 %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sz w:val="19"/>
              </w:rPr>
              <w:t>61 250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sz w:val="19"/>
              </w:rPr>
              <w:t>Conforme (marge confortable)</w:t>
            </w:r>
          </w:p>
        </w:tc>
      </w:tr>
      <w:tr>
        <w:tc>
          <w:tcPr>
            <w:tcW w:type="dxa" w:w="2041"/>
          </w:tcPr>
          <w:p>
            <w:r/>
            <w:r>
              <w:rPr>
                <w:sz w:val="19"/>
              </w:rPr>
              <w:t>Aménagement &amp; agencement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9"/>
              </w:rPr>
              <w:t>310 000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sz w:val="19"/>
              </w:rPr>
              <w:t>Aucun plafond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sz w:val="19"/>
              </w:rPr>
              <w:t>28,4 %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sz w:val="19"/>
              </w:rPr>
              <w:t>108 500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sz w:val="19"/>
              </w:rPr>
              <w:t>Aucun risque</w:t>
            </w:r>
          </w:p>
        </w:tc>
      </w:tr>
      <w:tr>
        <w:tc>
          <w:tcPr>
            <w:tcW w:type="dxa" w:w="2041"/>
          </w:tcPr>
          <w:p>
            <w:r/>
            <w:r>
              <w:rPr>
                <w:sz w:val="19"/>
              </w:rPr>
              <w:t>Matériel d'équipement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9"/>
              </w:rPr>
              <w:t>438 000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sz w:val="19"/>
              </w:rPr>
              <w:t>Aucun plafond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sz w:val="19"/>
              </w:rPr>
              <w:t>40,1 %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sz w:val="19"/>
              </w:rPr>
              <w:t>153 300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sz w:val="19"/>
              </w:rPr>
              <w:t>Aucun risque</w:t>
            </w:r>
          </w:p>
        </w:tc>
      </w:tr>
      <w:tr>
        <w:tc>
          <w:tcPr>
            <w:tcW w:type="dxa" w:w="2041"/>
          </w:tcPr>
          <w:p>
            <w:r/>
            <w:r>
              <w:rPr>
                <w:sz w:val="19"/>
              </w:rPr>
              <w:t>Divers &amp; imprévus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9"/>
              </w:rPr>
              <w:t>10 000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sz w:val="19"/>
              </w:rPr>
              <w:t>≤ 5 % (avec frais prélim.)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sz w:val="19"/>
              </w:rPr>
              <w:t>4,4 % combiné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sz w:val="19"/>
              </w:rPr>
              <w:t>3 500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sz w:val="19"/>
              </w:rPr>
              <w:t>Conforme</w:t>
            </w:r>
          </w:p>
        </w:tc>
      </w:tr>
      <w:tr>
        <w:tc>
          <w:tcPr>
            <w:tcW w:type="dxa" w:w="2041"/>
          </w:tcPr>
          <w:p>
            <w:r/>
            <w:r>
              <w:rPr>
                <w:b/>
                <w:sz w:val="19"/>
              </w:rPr>
              <w:t>TOTAL PRIMABLE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b/>
                <w:sz w:val="19"/>
              </w:rPr>
              <w:t>971 000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b/>
                <w:sz w:val="19"/>
              </w:rPr>
              <w:t>—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b/>
                <w:sz w:val="19"/>
              </w:rPr>
              <w:t>89,0 %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b/>
                <w:sz w:val="19"/>
              </w:rPr>
              <w:t>339 850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b/>
                <w:sz w:val="19"/>
              </w:rPr>
              <w:t>—</w:t>
            </w:r>
          </w:p>
        </w:tc>
      </w:tr>
    </w:tbl>
    <w:p>
      <w:pPr>
        <w:spacing w:after="80"/>
      </w:pPr>
      <w:r>
        <w:rPr>
          <w:b w:val="0"/>
          <w:color w:val="555555"/>
          <w:sz w:val="19"/>
        </w:rPr>
        <w:t>Lecture : aucune prime n'est perdue. Les rubriques Aménagement et Matériel ne sont soumises à aucun plafond. Le seul poste sensible — Constructions — est ramené à 16,0 % du projet (contre un plafond de 20 %), ce qui préserve une marge d'environ 43 000 DH avant tout risque de déclassement.</w:t>
      </w:r>
    </w:p>
    <w:p>
      <w:pPr>
        <w:spacing w:after="120" w:before="200"/>
      </w:pPr>
      <w:r>
        <w:rPr>
          <w:b/>
          <w:color w:val="1B3A28"/>
          <w:sz w:val="30"/>
        </w:rPr>
        <w:t>5. Plan de financement (sans leasing)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5669"/>
            <w:shd w:fill="1B3A28"/>
          </w:tcPr>
          <w:p>
            <w:r/>
            <w:r>
              <w:rPr>
                <w:b/>
                <w:color w:val="FFFFFF"/>
                <w:sz w:val="19"/>
              </w:rPr>
              <w:t>Source de financement</w:t>
            </w:r>
          </w:p>
        </w:tc>
        <w:tc>
          <w:tcPr>
            <w:tcW w:type="dxa" w:w="1701"/>
            <w:shd w:fill="1B3A28"/>
          </w:tcPr>
          <w:p>
            <w:r/>
            <w:r>
              <w:rPr>
                <w:b/>
                <w:color w:val="FFFFFF"/>
                <w:sz w:val="19"/>
              </w:rPr>
              <w:t>Montant (DH)</w:t>
            </w:r>
          </w:p>
        </w:tc>
        <w:tc>
          <w:tcPr>
            <w:tcW w:type="dxa" w:w="1417"/>
            <w:shd w:fill="1B3A28"/>
          </w:tcPr>
          <w:p>
            <w:r/>
            <w:r>
              <w:rPr>
                <w:b/>
                <w:color w:val="FFFFFF"/>
                <w:sz w:val="19"/>
              </w:rPr>
              <w:t>%</w:t>
            </w:r>
          </w:p>
        </w:tc>
      </w:tr>
      <w:tr>
        <w:tc>
          <w:tcPr>
            <w:tcW w:type="dxa" w:w="5669"/>
          </w:tcPr>
          <w:p>
            <w:r/>
            <w:r>
              <w:rPr>
                <w:sz w:val="19"/>
              </w:rPr>
              <w:t>Prime GO SIYAHA (35 % du primable)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sz w:val="19"/>
              </w:rPr>
              <w:t>339 850</w:t>
            </w:r>
          </w:p>
        </w:tc>
        <w:tc>
          <w:tcPr>
            <w:tcW w:type="dxa" w:w="1417"/>
          </w:tcPr>
          <w:p>
            <w:pPr>
              <w:jc w:val="right"/>
            </w:pPr>
            <w:r/>
            <w:r>
              <w:rPr>
                <w:sz w:val="19"/>
              </w:rPr>
              <w:t>31,1 %</w:t>
            </w:r>
          </w:p>
        </w:tc>
      </w:tr>
      <w:tr>
        <w:tc>
          <w:tcPr>
            <w:tcW w:type="dxa" w:w="5669"/>
          </w:tcPr>
          <w:p>
            <w:r/>
            <w:r>
              <w:rPr>
                <w:sz w:val="19"/>
              </w:rPr>
              <w:t>CMT bancaire — Al Barid Bank (50 % du primable)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sz w:val="19"/>
              </w:rPr>
              <w:t>485 500</w:t>
            </w:r>
          </w:p>
        </w:tc>
        <w:tc>
          <w:tcPr>
            <w:tcW w:type="dxa" w:w="1417"/>
          </w:tcPr>
          <w:p>
            <w:pPr>
              <w:jc w:val="right"/>
            </w:pPr>
            <w:r/>
            <w:r>
              <w:rPr>
                <w:sz w:val="19"/>
              </w:rPr>
              <w:t>44,5 %</w:t>
            </w:r>
          </w:p>
        </w:tc>
      </w:tr>
      <w:tr>
        <w:tc>
          <w:tcPr>
            <w:tcW w:type="dxa" w:w="5669"/>
          </w:tcPr>
          <w:p>
            <w:r/>
            <w:r>
              <w:rPr>
                <w:sz w:val="19"/>
              </w:rPr>
              <w:t>Apport fonds propres / comptes courants d'associés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sz w:val="19"/>
              </w:rPr>
              <w:t>265 650</w:t>
            </w:r>
          </w:p>
        </w:tc>
        <w:tc>
          <w:tcPr>
            <w:tcW w:type="dxa" w:w="1417"/>
          </w:tcPr>
          <w:p>
            <w:pPr>
              <w:jc w:val="right"/>
            </w:pPr>
            <w:r/>
            <w:r>
              <w:rPr>
                <w:sz w:val="19"/>
              </w:rPr>
              <w:t>24,4 %</w:t>
            </w:r>
          </w:p>
        </w:tc>
      </w:tr>
      <w:tr>
        <w:tc>
          <w:tcPr>
            <w:tcW w:type="dxa" w:w="5669"/>
          </w:tcPr>
          <w:p>
            <w:r/>
            <w:r>
              <w:rPr>
                <w:b/>
                <w:sz w:val="19"/>
              </w:rPr>
              <w:t>TOTAL FINANCEMENT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b/>
                <w:sz w:val="19"/>
              </w:rPr>
              <w:t>1 091 000</w:t>
            </w:r>
          </w:p>
        </w:tc>
        <w:tc>
          <w:tcPr>
            <w:tcW w:type="dxa" w:w="1417"/>
          </w:tcPr>
          <w:p>
            <w:pPr>
              <w:jc w:val="right"/>
            </w:pPr>
            <w:r/>
            <w:r>
              <w:rPr>
                <w:b/>
                <w:sz w:val="19"/>
              </w:rPr>
              <w:t>100 %</w:t>
            </w:r>
          </w:p>
        </w:tc>
      </w:tr>
    </w:tbl>
    <w:p>
      <w:pPr>
        <w:spacing w:after="80"/>
      </w:pPr>
      <w:r>
        <w:rPr>
          <w:b w:val="0"/>
          <w:color w:val="555555"/>
          <w:sz w:val="19"/>
        </w:rPr>
        <w:t>Aucun recours au leasing ni au crédit fournisseur. La prime est intégrée au montage financier conformément au règlement. La partie hors primable (piscine + BFR = 120 000) est portée par les fonds propres.</w:t>
      </w:r>
    </w:p>
    <w:p>
      <w:pPr>
        <w:spacing w:after="120" w:before="200"/>
      </w:pPr>
      <w:r>
        <w:rPr>
          <w:b/>
          <w:color w:val="1B3A28"/>
          <w:sz w:val="30"/>
        </w:rPr>
        <w:t>6. Synthèse de conformité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118"/>
            <w:shd w:fill="1B3A28"/>
          </w:tcPr>
          <w:p>
            <w:r/>
            <w:r>
              <w:rPr>
                <w:b/>
                <w:color w:val="FFFFFF"/>
                <w:sz w:val="19"/>
              </w:rPr>
              <w:t>Indicateur</w:t>
            </w:r>
          </w:p>
        </w:tc>
        <w:tc>
          <w:tcPr>
            <w:tcW w:type="dxa" w:w="1701"/>
            <w:shd w:fill="1B3A28"/>
          </w:tcPr>
          <w:p>
            <w:r/>
            <w:r>
              <w:rPr>
                <w:b/>
                <w:color w:val="FFFFFF"/>
                <w:sz w:val="19"/>
              </w:rPr>
              <w:t>Valeur</w:t>
            </w:r>
          </w:p>
        </w:tc>
        <w:tc>
          <w:tcPr>
            <w:tcW w:type="dxa" w:w="3969"/>
            <w:shd w:fill="1B3A28"/>
          </w:tcPr>
          <w:p>
            <w:r/>
            <w:r>
              <w:rPr>
                <w:b/>
                <w:color w:val="FFFFFF"/>
                <w:sz w:val="19"/>
              </w:rPr>
              <w:t>Conformité règlement</w:t>
            </w:r>
          </w:p>
        </w:tc>
      </w:tr>
      <w:tr>
        <w:tc>
          <w:tcPr>
            <w:tcW w:type="dxa" w:w="3118"/>
          </w:tcPr>
          <w:p>
            <w:r/>
            <w:r>
              <w:rPr>
                <w:sz w:val="19"/>
              </w:rPr>
              <w:t>Coût total du projet (TTC)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sz w:val="19"/>
              </w:rPr>
              <w:t>1 091 000 DH</w:t>
            </w:r>
          </w:p>
        </w:tc>
        <w:tc>
          <w:tcPr>
            <w:tcW w:type="dxa" w:w="3969"/>
          </w:tcPr>
          <w:p>
            <w:pPr>
              <w:jc w:val="right"/>
            </w:pPr>
            <w:r/>
            <w:r>
              <w:rPr>
                <w:sz w:val="19"/>
              </w:rPr>
              <w:t>Inférieur à 10 MDH → taux de prime 35 %</w:t>
            </w:r>
          </w:p>
        </w:tc>
      </w:tr>
      <w:tr>
        <w:tc>
          <w:tcPr>
            <w:tcW w:type="dxa" w:w="3118"/>
          </w:tcPr>
          <w:p>
            <w:r/>
            <w:r>
              <w:rPr>
                <w:sz w:val="19"/>
              </w:rPr>
              <w:t>Constructions / projet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sz w:val="19"/>
              </w:rPr>
              <w:t>16,0 %</w:t>
            </w:r>
          </w:p>
        </w:tc>
        <w:tc>
          <w:tcPr>
            <w:tcW w:type="dxa" w:w="3969"/>
          </w:tcPr>
          <w:p>
            <w:pPr>
              <w:jc w:val="right"/>
            </w:pPr>
            <w:r/>
            <w:r>
              <w:rPr>
                <w:sz w:val="19"/>
              </w:rPr>
              <w:t>≤ 20 % — Conforme</w:t>
            </w:r>
          </w:p>
        </w:tc>
      </w:tr>
      <w:tr>
        <w:tc>
          <w:tcPr>
            <w:tcW w:type="dxa" w:w="3118"/>
          </w:tcPr>
          <w:p>
            <w:r/>
            <w:r>
              <w:rPr>
                <w:sz w:val="19"/>
              </w:rPr>
              <w:t>Frais préliminaires + divers / projet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sz w:val="19"/>
              </w:rPr>
              <w:t>4,4 %</w:t>
            </w:r>
          </w:p>
        </w:tc>
        <w:tc>
          <w:tcPr>
            <w:tcW w:type="dxa" w:w="3969"/>
          </w:tcPr>
          <w:p>
            <w:pPr>
              <w:jc w:val="right"/>
            </w:pPr>
            <w:r/>
            <w:r>
              <w:rPr>
                <w:sz w:val="19"/>
              </w:rPr>
              <w:t>≤ 5 % — Conforme</w:t>
            </w:r>
          </w:p>
        </w:tc>
      </w:tr>
      <w:tr>
        <w:tc>
          <w:tcPr>
            <w:tcW w:type="dxa" w:w="3118"/>
          </w:tcPr>
          <w:p>
            <w:r/>
            <w:r>
              <w:rPr>
                <w:sz w:val="19"/>
              </w:rPr>
              <w:t>CMT / programme primable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sz w:val="19"/>
              </w:rPr>
              <w:t>50,0 %</w:t>
            </w:r>
          </w:p>
        </w:tc>
        <w:tc>
          <w:tcPr>
            <w:tcW w:type="dxa" w:w="3969"/>
          </w:tcPr>
          <w:p>
            <w:pPr>
              <w:jc w:val="right"/>
            </w:pPr>
            <w:r/>
            <w:r>
              <w:rPr>
                <w:sz w:val="19"/>
              </w:rPr>
              <w:t>≤ 50 % — Conforme</w:t>
            </w:r>
          </w:p>
        </w:tc>
      </w:tr>
      <w:tr>
        <w:tc>
          <w:tcPr>
            <w:tcW w:type="dxa" w:w="3118"/>
          </w:tcPr>
          <w:p>
            <w:r/>
            <w:r>
              <w:rPr>
                <w:sz w:val="19"/>
              </w:rPr>
              <w:t>Apport fonds propres / programme primable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sz w:val="19"/>
              </w:rPr>
              <w:t>≥ 15 %</w:t>
            </w:r>
          </w:p>
        </w:tc>
        <w:tc>
          <w:tcPr>
            <w:tcW w:type="dxa" w:w="3969"/>
          </w:tcPr>
          <w:p>
            <w:pPr>
              <w:jc w:val="right"/>
            </w:pPr>
            <w:r/>
            <w:r>
              <w:rPr>
                <w:sz w:val="19"/>
              </w:rPr>
              <w:t>Conforme</w:t>
            </w:r>
          </w:p>
        </w:tc>
      </w:tr>
      <w:tr>
        <w:tc>
          <w:tcPr>
            <w:tcW w:type="dxa" w:w="3118"/>
          </w:tcPr>
          <w:p>
            <w:r/>
            <w:r>
              <w:rPr>
                <w:sz w:val="19"/>
              </w:rPr>
              <w:t>Matériel : état des biens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sz w:val="19"/>
              </w:rPr>
              <w:t>Neuf</w:t>
            </w:r>
          </w:p>
        </w:tc>
        <w:tc>
          <w:tcPr>
            <w:tcW w:type="dxa" w:w="3969"/>
          </w:tcPr>
          <w:p>
            <w:pPr>
              <w:jc w:val="right"/>
            </w:pPr>
            <w:r/>
            <w:r>
              <w:rPr>
                <w:sz w:val="19"/>
              </w:rPr>
              <w:t>Attestation de neuf au déblocage</w:t>
            </w:r>
          </w:p>
        </w:tc>
      </w:tr>
    </w:tbl>
    <w:p>
      <w:pPr>
        <w:spacing w:after="120" w:before="200"/>
      </w:pPr>
      <w:r>
        <w:rPr>
          <w:b/>
          <w:color w:val="1B3A28"/>
          <w:sz w:val="30"/>
        </w:rPr>
        <w:t>7. Changements par rapport à la version précédente du dossier</w:t>
      </w:r>
    </w:p>
    <w:p>
      <w:pPr>
        <w:spacing w:after="80"/>
      </w:pPr>
      <w:r>
        <w:rPr>
          <w:b w:val="0"/>
          <w:sz w:val="21"/>
        </w:rPr>
        <w:t>La seule modification de structure par rapport au modèle Excel initial est la suivante :</w:t>
      </w:r>
    </w:p>
    <w:p>
      <w:pPr>
        <w:spacing w:after="60"/>
      </w:pPr>
      <w:r>
        <w:rPr>
          <w:b w:val="0"/>
          <w:sz w:val="20"/>
        </w:rPr>
        <w:t>• Le poste « Puits + équipement hydraulique (clé en main) » de 100 000 DH TTC est scindé en deux : « Puits — forage + génie civil » (65 000 DH TTC, en Constructions) et « Pompe + équipement hydraulique » (35 000 DH TTC, basculé en Matériel d'équipement).</w:t>
      </w:r>
    </w:p>
    <w:p>
      <w:pPr>
        <w:spacing w:after="60"/>
      </w:pPr>
      <w:r>
        <w:rPr>
          <w:b w:val="0"/>
          <w:sz w:val="20"/>
        </w:rPr>
        <w:t>• Effet : la rubrique Constructions passe de 210 000 DH (19,2 % du projet) à 175 000 DH (16,0 %), et le Matériel passe de 403 000 DH à 438 000 DH.</w:t>
      </w:r>
    </w:p>
    <w:p>
      <w:pPr>
        <w:spacing w:after="60"/>
      </w:pPr>
      <w:r>
        <w:rPr>
          <w:b w:val="0"/>
          <w:sz w:val="20"/>
        </w:rPr>
        <w:t>• Le total du programme primable (971 000 DH), le montant de la prime (339 850 DH) et le plan de financement restent strictement inchangés.</w:t>
      </w:r>
    </w:p>
    <w:p>
      <w:pPr>
        <w:spacing w:after="60"/>
      </w:pPr>
      <w:r>
        <w:rPr>
          <w:b w:val="0"/>
          <w:sz w:val="20"/>
        </w:rPr>
        <w:t>• Objectif : éloigner la rubrique Constructions du plafond de 20 % afin de sécuriser la prime en cas de dépassement de coût au moment des devis/factures définitifs.</w:t>
      </w:r>
    </w:p>
    <w:p>
      <w:pPr>
        <w:spacing w:after="80"/>
      </w:pPr>
      <w:r>
        <w:rPr>
          <w:b w:val="0"/>
          <w:color w:val="555555"/>
          <w:sz w:val="19"/>
        </w:rPr>
        <w:t>Aucun autre changement : nature des activités, montants par activité (paintball 140 000, e-bike 130 000 + accessoires 18 000, cuisine 45 000, solaire 70 000), aménagements et frais préliminaires demeurent identiques au business plan.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