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28"/>
          <w:sz w:val="92"/>
        </w:rPr>
        <w:t>DA21</w:t>
      </w:r>
    </w:p>
    <w:p>
      <w:pPr>
        <w:jc w:val="center"/>
      </w:pPr>
      <w:r>
        <w:rPr>
          <w:b/>
          <w:color w:val="C8A440"/>
          <w:sz w:val="34"/>
        </w:rPr>
        <w:t>Complexe d’Animation Touristique Intégré</w:t>
      </w:r>
    </w:p>
    <w:p>
      <w:pPr>
        <w:jc w:val="center"/>
      </w:pPr>
      <w:r>
        <w:rPr>
          <w:sz w:val="22"/>
        </w:rPr>
        <w:t>DA21 S.A.R.L. à Associé Unique</w:t>
      </w:r>
    </w:p>
    <w:p>
      <w:pPr>
        <w:jc w:val="center"/>
      </w:pPr>
      <w:r>
        <w:rPr>
          <w:sz w:val="22"/>
        </w:rPr>
        <w:t>Douar Labdadz, Commune de Tamazouzite – Province d’Al Haouz – 25 min de Marrakech</w:t>
      </w:r>
    </w:p>
    <w:p>
      <w:pPr>
        <w:jc w:val="center"/>
      </w:pPr>
      <w:r>
        <w:rPr>
          <w:sz w:val="22"/>
        </w:rPr>
        <w:t>DOSSIER DE FINANCEMENT — Programme GO SIYAHA (Istitmar)</w:t>
      </w:r>
    </w:p>
    <w:p>
      <w:r>
        <w:br w:type="page"/>
      </w:r>
    </w:p>
    <w:p>
      <w:pPr>
        <w:spacing w:before="240" w:after="100"/>
      </w:pPr>
      <w:r>
        <w:rPr>
          <w:b/>
          <w:color w:val="1B3A28"/>
          <w:sz w:val="30"/>
        </w:rPr>
        <w:t>1. En bref — Synthèse chiffrée du projet</w:t>
      </w:r>
    </w:p>
    <w:p>
      <w:r>
        <w:rPr>
          <w:b/>
          <w:color w:val="C8A440"/>
          <w:sz w:val="24"/>
        </w:rPr>
        <w:t>Le produit</w:t>
      </w:r>
    </w:p>
    <w:p>
      <w:r>
        <w:rPr>
          <w:sz w:val="21"/>
        </w:rPr>
        <w:t>Complexe d’animation touristique intégré sur 1 hectare, implanté dans une oliveraie d’adultes, combinant 3 offres commerciales : e-bike / Fatbike, paintball, ateliers cuisine. Capacité : 10 e-bikes, 20 joueurs, 15 places atelier cuisine. Une tente caïdale climatisée sert d’espace de restauration des ateliers ; une piscine constitue une prestation complémentaire de détente (hors programme primé).</w:t>
      </w:r>
    </w:p>
    <w:p>
      <w:r>
        <w:rPr>
          <w:b/>
          <w:color w:val="C8A440"/>
          <w:sz w:val="24"/>
        </w:rPr>
        <w:t>Le financement</w:t>
      </w:r>
    </w:p>
    <w:p>
      <w:r>
        <w:rPr>
          <w:sz w:val="21"/>
        </w:rPr>
        <w:t>Investissement global : 1 091 000 DH. Apport en fonds propres / comptes courants d’associés : 145 650 DH. Prime Go Siyaha estimative : 339 850 DH. CMT bancaire de bouclage (Al Barid Bank) : 485 500 DH.</w:t>
      </w:r>
    </w:p>
    <w:p>
      <w:r>
        <w:rPr>
          <w:b/>
          <w:color w:val="C8A440"/>
          <w:sz w:val="24"/>
        </w:rPr>
        <w:t>Le différenciateur</w:t>
      </w:r>
    </w:p>
    <w:p>
      <w:r>
        <w:rPr>
          <w:sz w:val="21"/>
        </w:rPr>
        <w:t>Site naturel planté d’oliviers adultes, offrant un cadre vert pour promenades et pique-niques en fin d’activité. Les balades e-bike sont conçues comme des promenades accessibles à travers le douar et les champs, et non comme des randonnées sportives longues. Le paintball nocturne avec lumières UV / Blacklight apporte une expérience immersive distinctive.</w:t>
      </w:r>
    </w:p>
    <w:p>
      <w:r>
        <w:rPr>
          <w:b/>
          <w:color w:val="C8A440"/>
          <w:sz w:val="24"/>
        </w:rPr>
        <w:t>Les résultats</w:t>
      </w:r>
    </w:p>
    <w:p>
      <w:r>
        <w:rPr>
          <w:sz w:val="21"/>
        </w:rPr>
        <w:t>CA prévisionnel An 1 (2027, 7 mois d’activité) : 480 KDH. Résultat net An 1 : 4 KDH. CAF An 1 : 82 KDH. CA prévisionnel An 5 (2031) : 1 807 KDH. CAF An 5 : 670 KDH.</w:t>
      </w:r>
    </w:p>
    <w:p>
      <w:r>
        <w:rPr>
          <w:sz w:val="21"/>
        </w:rPr>
        <w:t>La capacité d’autofinancement permet d’honorer le service de la dette, avec une couverture renforcée en début d’exploitation par la période de grâce en capital.</w:t>
      </w:r>
    </w:p>
    <w:p>
      <w:pPr>
        <w:spacing w:before="240" w:after="100"/>
      </w:pPr>
      <w:r>
        <w:rPr>
          <w:b/>
          <w:color w:val="1B3A28"/>
          <w:sz w:val="30"/>
        </w:rPr>
        <w:t>2. Les Promoteurs</w:t>
      </w:r>
    </w:p>
    <w:p>
      <w:r>
        <w:rPr>
          <w:sz w:val="21"/>
        </w:rPr>
        <w:t>Compétences de gestion, expérience touristique et canal commercial existant.</w:t>
      </w:r>
    </w:p>
    <w:p>
      <w:r>
        <w:rPr>
          <w:sz w:val="21"/>
        </w:rPr>
        <w:t>Karim ZOUBDANE — Gérant fondateur (associé unique) : double expertise en finance bancaire et en tourisme, avec une expérience utile pour la structuration financière, l’analyse du risque, la gestion, le suivi opérationnel et la relation avec les partenaires financiers.</w:t>
      </w:r>
    </w:p>
    <w:p>
      <w:r>
        <w:rPr>
          <w:sz w:val="21"/>
        </w:rPr>
        <w:t>Voyages 21 — Partenaire commercial stratégique : agence active depuis 25 ans, apportant une capacité de commercialisation, une connaissance client, une expérience touristique et un canal naturel pour intégrer l’offre DA21 dans des programmes, circuits, groupes et formules journée.</w:t>
      </w:r>
    </w:p>
    <w:p>
      <w:pPr>
        <w:spacing w:before="240" w:after="100"/>
      </w:pPr>
      <w:r>
        <w:rPr>
          <w:b/>
          <w:color w:val="1B3A28"/>
          <w:sz w:val="30"/>
        </w:rPr>
        <w:t>3. Présentation du Projet</w:t>
      </w:r>
    </w:p>
    <w:p>
      <w:r>
        <w:rPr>
          <w:sz w:val="21"/>
        </w:rPr>
        <w:t>DA21 est un complexe d’animation touristique intégré implanté à Douar Labdadz, Commune de Tamazouzite, Province d’Al Haouz, à environ 25 minutes de Marrakech. Le site est aménagé sur 1 hectare planté d’oliviers adultes, offrant un cadre naturel ombragé, vert et propice aux activités de plein air, aux promenades et aux pique-niques en fin d’activité.</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Pôle</w:t>
            </w:r>
          </w:p>
        </w:tc>
        <w:tc>
          <w:tcPr>
            <w:tcW w:type="dxa" w:w="4320"/>
          </w:tcPr>
          <w:p>
            <w:r/>
            <w:r>
              <w:rPr>
                <w:b/>
                <w:sz w:val="18"/>
              </w:rPr>
              <w:t>Description</w:t>
            </w:r>
          </w:p>
        </w:tc>
      </w:tr>
      <w:tr>
        <w:tc>
          <w:tcPr>
            <w:tcW w:type="dxa" w:w="4320"/>
          </w:tcPr>
          <w:p>
            <w:r/>
            <w:r>
              <w:rPr>
                <w:sz w:val="18"/>
              </w:rPr>
              <w:t>E-bike / Fatbike</w:t>
            </w:r>
          </w:p>
        </w:tc>
        <w:tc>
          <w:tcPr>
            <w:tcW w:type="dxa" w:w="4320"/>
          </w:tcPr>
          <w:p>
            <w:r/>
            <w:r>
              <w:rPr>
                <w:sz w:val="18"/>
              </w:rPr>
              <w:t>10 e-bikes et fatbikes pour des balades accessibles à travers le douar, les chemins agricoles et les champs, sans positionnement de randonnée sportive longue.</w:t>
            </w:r>
          </w:p>
        </w:tc>
      </w:tr>
      <w:tr>
        <w:tc>
          <w:tcPr>
            <w:tcW w:type="dxa" w:w="4320"/>
          </w:tcPr>
          <w:p>
            <w:r/>
            <w:r>
              <w:rPr>
                <w:sz w:val="18"/>
              </w:rPr>
              <w:t>Paintball</w:t>
            </w:r>
          </w:p>
        </w:tc>
        <w:tc>
          <w:tcPr>
            <w:tcW w:type="dxa" w:w="4320"/>
          </w:tcPr>
          <w:p>
            <w:r/>
            <w:r>
              <w:rPr>
                <w:sz w:val="18"/>
              </w:rPr>
              <w:t>Activité outdoor encadrée, sécurisée, adaptée aux groupes, familles, anniversaires et teambuilding, avec paintball de jour ET nocturne avec lumières UV/Blacklight pour une expérience immersive.</w:t>
            </w:r>
          </w:p>
        </w:tc>
      </w:tr>
      <w:tr>
        <w:tc>
          <w:tcPr>
            <w:tcW w:type="dxa" w:w="4320"/>
          </w:tcPr>
          <w:p>
            <w:r/>
            <w:r>
              <w:rPr>
                <w:sz w:val="18"/>
              </w:rPr>
              <w:t>Ateliers cuisine</w:t>
            </w:r>
          </w:p>
        </w:tc>
        <w:tc>
          <w:tcPr>
            <w:tcW w:type="dxa" w:w="4320"/>
          </w:tcPr>
          <w:p>
            <w:r/>
            <w:r>
              <w:rPr>
                <w:sz w:val="18"/>
              </w:rPr>
              <w:t>Expérience culinaire marocaine liée au terroir, aux produits locaux et à l’espace « du jardin à l’assiette », servie sous tente caïdale climatisée.</w:t>
            </w:r>
          </w:p>
        </w:tc>
      </w:tr>
    </w:tbl>
    <w:p>
      <w:r>
        <w:rPr>
          <w:sz w:val="21"/>
        </w:rPr>
        <w:t>Piscine comme prestation complémentaire : la piscine n’est pas une activité autonome, mais une prestation complémentaire pensée pour la détente après activité. Elle constitue un levier d’attractivité estivale et un argument commercial (financée hors programme primé).</w:t>
      </w:r>
    </w:p>
    <w:p>
      <w:pPr>
        <w:spacing w:before="240" w:after="100"/>
      </w:pPr>
      <w:r>
        <w:rPr>
          <w:b/>
          <w:color w:val="1B3A28"/>
          <w:sz w:val="30"/>
        </w:rPr>
        <w:t>4. Calendrier de réalisation</w:t>
      </w:r>
    </w:p>
    <w:p>
      <w:r>
        <w:rPr>
          <w:sz w:val="21"/>
        </w:rPr>
        <w:t>Mise en œuvre progressive et ancrage du projet. Démarrage de l’exploitation prévu en juin 2027 (l’année 2026 et le 1er semestre 2027 sont consacrés à la construction).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Étape</w:t>
            </w:r>
          </w:p>
        </w:tc>
        <w:tc>
          <w:tcPr>
            <w:tcW w:type="dxa" w:w="2880"/>
          </w:tcPr>
          <w:p>
            <w:r/>
            <w:r>
              <w:rPr>
                <w:b/>
                <w:sz w:val="18"/>
              </w:rPr>
              <w:t>Période</w:t>
            </w:r>
          </w:p>
        </w:tc>
        <w:tc>
          <w:tcPr>
            <w:tcW w:type="dxa" w:w="2880"/>
          </w:tcPr>
          <w:p>
            <w:r/>
            <w:r>
              <w:rPr>
                <w:b/>
                <w:sz w:val="18"/>
              </w:rPr>
              <w:t>Actions principales</w:t>
            </w:r>
          </w:p>
        </w:tc>
      </w:tr>
      <w:tr>
        <w:tc>
          <w:tcPr>
            <w:tcW w:type="dxa" w:w="2880"/>
          </w:tcPr>
          <w:p>
            <w:r/>
            <w:r>
              <w:rPr>
                <w:sz w:val="18"/>
              </w:rPr>
              <w:t>1</w:t>
            </w:r>
          </w:p>
        </w:tc>
        <w:tc>
          <w:tcPr>
            <w:tcW w:type="dxa" w:w="2880"/>
          </w:tcPr>
          <w:p>
            <w:r/>
            <w:r>
              <w:rPr>
                <w:sz w:val="18"/>
              </w:rPr>
              <w:t>2026 – T1</w:t>
            </w:r>
          </w:p>
        </w:tc>
        <w:tc>
          <w:tcPr>
            <w:tcW w:type="dxa" w:w="2880"/>
          </w:tcPr>
          <w:p>
            <w:r/>
            <w:r>
              <w:rPr>
                <w:sz w:val="18"/>
              </w:rPr>
              <w:t>Finalisation société, documents juridiques, disponibilité du terrain (bail), cadrage administratif.</w:t>
            </w:r>
          </w:p>
        </w:tc>
      </w:tr>
      <w:tr>
        <w:tc>
          <w:tcPr>
            <w:tcW w:type="dxa" w:w="2880"/>
          </w:tcPr>
          <w:p>
            <w:r/>
            <w:r>
              <w:rPr>
                <w:sz w:val="18"/>
              </w:rPr>
              <w:t>2</w:t>
            </w:r>
          </w:p>
        </w:tc>
        <w:tc>
          <w:tcPr>
            <w:tcW w:type="dxa" w:w="2880"/>
          </w:tcPr>
          <w:p>
            <w:r/>
            <w:r>
              <w:rPr>
                <w:sz w:val="18"/>
              </w:rPr>
              <w:t>2026 – T2/T3</w:t>
            </w:r>
          </w:p>
        </w:tc>
        <w:tc>
          <w:tcPr>
            <w:tcW w:type="dxa" w:w="2880"/>
          </w:tcPr>
          <w:p>
            <w:r/>
            <w:r>
              <w:rPr>
                <w:sz w:val="18"/>
              </w:rPr>
              <w:t>Plans d’aménagement, dépôt des demandes d’autorisations, suivi commune / province.</w:t>
            </w:r>
          </w:p>
        </w:tc>
      </w:tr>
      <w:tr>
        <w:tc>
          <w:tcPr>
            <w:tcW w:type="dxa" w:w="2880"/>
          </w:tcPr>
          <w:p>
            <w:r/>
            <w:r>
              <w:rPr>
                <w:sz w:val="18"/>
              </w:rPr>
              <w:t>3</w:t>
            </w:r>
          </w:p>
        </w:tc>
        <w:tc>
          <w:tcPr>
            <w:tcW w:type="dxa" w:w="2880"/>
          </w:tcPr>
          <w:p>
            <w:r/>
            <w:r>
              <w:rPr>
                <w:sz w:val="18"/>
              </w:rPr>
              <w:t>2026 – T4</w:t>
            </w:r>
          </w:p>
        </w:tc>
        <w:tc>
          <w:tcPr>
            <w:tcW w:type="dxa" w:w="2880"/>
          </w:tcPr>
          <w:p>
            <w:r/>
            <w:r>
              <w:rPr>
                <w:sz w:val="18"/>
              </w:rPr>
              <w:t>Accord Go Siyaha, accord bancaire (Al Barid Bank), lancement des commandes (e-bike, paintball, cuisine, solaire, tente).</w:t>
            </w:r>
          </w:p>
        </w:tc>
      </w:tr>
      <w:tr>
        <w:tc>
          <w:tcPr>
            <w:tcW w:type="dxa" w:w="2880"/>
          </w:tcPr>
          <w:p>
            <w:r/>
            <w:r>
              <w:rPr>
                <w:sz w:val="18"/>
              </w:rPr>
              <w:t>4</w:t>
            </w:r>
          </w:p>
        </w:tc>
        <w:tc>
          <w:tcPr>
            <w:tcW w:type="dxa" w:w="2880"/>
          </w:tcPr>
          <w:p>
            <w:r/>
            <w:r>
              <w:rPr>
                <w:sz w:val="18"/>
              </w:rPr>
              <w:t>2027 – T1/T2</w:t>
            </w:r>
          </w:p>
        </w:tc>
        <w:tc>
          <w:tcPr>
            <w:tcW w:type="dxa" w:w="2880"/>
          </w:tcPr>
          <w:p>
            <w:r/>
            <w:r>
              <w:rPr>
                <w:sz w:val="18"/>
              </w:rPr>
              <w:t>Accueil, sanitaires, allées, puits, solaire, terrain paintball, espace cuisine, tente caïdale, piscine.</w:t>
            </w:r>
          </w:p>
        </w:tc>
      </w:tr>
      <w:tr>
        <w:tc>
          <w:tcPr>
            <w:tcW w:type="dxa" w:w="2880"/>
          </w:tcPr>
          <w:p>
            <w:r/>
            <w:r>
              <w:rPr>
                <w:sz w:val="18"/>
              </w:rPr>
              <w:t>5</w:t>
            </w:r>
          </w:p>
        </w:tc>
        <w:tc>
          <w:tcPr>
            <w:tcW w:type="dxa" w:w="2880"/>
          </w:tcPr>
          <w:p>
            <w:r/>
            <w:r>
              <w:rPr>
                <w:sz w:val="18"/>
              </w:rPr>
              <w:t>2027 – mai</w:t>
            </w:r>
          </w:p>
        </w:tc>
        <w:tc>
          <w:tcPr>
            <w:tcW w:type="dxa" w:w="2880"/>
          </w:tcPr>
          <w:p>
            <w:r/>
            <w:r>
              <w:rPr>
                <w:sz w:val="18"/>
              </w:rPr>
              <w:t>Réception matériels, installation, tests sécurité, parcours e-bike, cuisine, paintball.</w:t>
            </w:r>
          </w:p>
        </w:tc>
      </w:tr>
      <w:tr>
        <w:tc>
          <w:tcPr>
            <w:tcW w:type="dxa" w:w="2880"/>
          </w:tcPr>
          <w:p>
            <w:r/>
            <w:r>
              <w:rPr>
                <w:sz w:val="18"/>
              </w:rPr>
              <w:t>6</w:t>
            </w:r>
          </w:p>
        </w:tc>
        <w:tc>
          <w:tcPr>
            <w:tcW w:type="dxa" w:w="2880"/>
          </w:tcPr>
          <w:p>
            <w:r/>
            <w:r>
              <w:rPr>
                <w:sz w:val="18"/>
              </w:rPr>
              <w:t>Juin 2027</w:t>
            </w:r>
          </w:p>
        </w:tc>
        <w:tc>
          <w:tcPr>
            <w:tcW w:type="dxa" w:w="2880"/>
          </w:tcPr>
          <w:p>
            <w:r/>
            <w:r>
              <w:rPr>
                <w:sz w:val="18"/>
              </w:rPr>
              <w:t>Formation équipe, communication, partenariats, ouverture et premières réservations.</w:t>
            </w:r>
          </w:p>
        </w:tc>
      </w:tr>
    </w:tbl>
    <w:p>
      <w:pPr>
        <w:spacing w:before="240" w:after="100"/>
      </w:pPr>
      <w:r>
        <w:rPr>
          <w:b/>
          <w:color w:val="1B3A28"/>
          <w:sz w:val="30"/>
        </w:rPr>
        <w:t>5. Positionnement stratégique</w:t>
      </w:r>
    </w:p>
    <w:p>
      <w:r>
        <w:rPr>
          <w:sz w:val="21"/>
        </w:rPr>
        <w:t>DA21 se positionne comme un site d’animation touristique intégré, à taille maîtrisée, combinant nature, loisirs, gastronomie, détente et terroir dans un environnement agricole existant.</w:t>
      </w:r>
    </w:p>
    <w:p>
      <w:pPr>
        <w:spacing w:before="240" w:after="100"/>
      </w:pPr>
      <w:r>
        <w:rPr>
          <w:b/>
          <w:color w:val="1B3A28"/>
          <w:sz w:val="30"/>
        </w:rPr>
        <w:t>6. Étude de marché &amp; segmentation clientèle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Segment</w:t>
            </w:r>
          </w:p>
        </w:tc>
        <w:tc>
          <w:tcPr>
            <w:tcW w:type="dxa" w:w="2880"/>
          </w:tcPr>
          <w:p>
            <w:r/>
            <w:r>
              <w:rPr>
                <w:b/>
                <w:sz w:val="18"/>
              </w:rPr>
              <w:t>Besoin identifié</w:t>
            </w:r>
          </w:p>
        </w:tc>
        <w:tc>
          <w:tcPr>
            <w:tcW w:type="dxa" w:w="2880"/>
          </w:tcPr>
          <w:p>
            <w:r/>
            <w:r>
              <w:rPr>
                <w:b/>
                <w:sz w:val="18"/>
              </w:rPr>
              <w:t>Activités adaptées</w:t>
            </w:r>
          </w:p>
        </w:tc>
      </w:tr>
      <w:tr>
        <w:tc>
          <w:tcPr>
            <w:tcW w:type="dxa" w:w="2880"/>
          </w:tcPr>
          <w:p>
            <w:r/>
            <w:r>
              <w:rPr>
                <w:sz w:val="18"/>
              </w:rPr>
              <w:t>Familles et résidents marocains</w:t>
            </w:r>
          </w:p>
        </w:tc>
        <w:tc>
          <w:tcPr>
            <w:tcW w:type="dxa" w:w="2880"/>
          </w:tcPr>
          <w:p>
            <w:r/>
            <w:r>
              <w:rPr>
                <w:sz w:val="18"/>
              </w:rPr>
              <w:t>Sortie nature proche de Marrakech, activité enfants, détente et repas.</w:t>
            </w:r>
          </w:p>
        </w:tc>
        <w:tc>
          <w:tcPr>
            <w:tcW w:type="dxa" w:w="2880"/>
          </w:tcPr>
          <w:p>
            <w:r/>
            <w:r>
              <w:rPr>
                <w:sz w:val="18"/>
              </w:rPr>
              <w:t>Paintball, e-bike, ateliers cuisine.</w:t>
            </w:r>
          </w:p>
        </w:tc>
      </w:tr>
      <w:tr>
        <w:tc>
          <w:tcPr>
            <w:tcW w:type="dxa" w:w="2880"/>
          </w:tcPr>
          <w:p>
            <w:r/>
            <w:r>
              <w:rPr>
                <w:sz w:val="18"/>
              </w:rPr>
              <w:t>Touristes internationaux</w:t>
            </w:r>
          </w:p>
        </w:tc>
        <w:tc>
          <w:tcPr>
            <w:tcW w:type="dxa" w:w="2880"/>
          </w:tcPr>
          <w:p>
            <w:r/>
            <w:r>
              <w:rPr>
                <w:sz w:val="18"/>
              </w:rPr>
              <w:t>Expérience authentique, terroir, nature, activité courte autour de Marrakech.</w:t>
            </w:r>
          </w:p>
        </w:tc>
        <w:tc>
          <w:tcPr>
            <w:tcW w:type="dxa" w:w="2880"/>
          </w:tcPr>
          <w:p>
            <w:r/>
            <w:r>
              <w:rPr>
                <w:sz w:val="18"/>
              </w:rPr>
              <w:t>Ateliers cuisine, e-bike à travers douar et champs, paintball nocturne UV.</w:t>
            </w:r>
          </w:p>
        </w:tc>
      </w:tr>
      <w:tr>
        <w:tc>
          <w:tcPr>
            <w:tcW w:type="dxa" w:w="2880"/>
          </w:tcPr>
          <w:p>
            <w:r/>
            <w:r>
              <w:rPr>
                <w:sz w:val="18"/>
              </w:rPr>
              <w:t>Groupes scolaires et pédagogiques</w:t>
            </w:r>
          </w:p>
        </w:tc>
        <w:tc>
          <w:tcPr>
            <w:tcW w:type="dxa" w:w="2880"/>
          </w:tcPr>
          <w:p>
            <w:r/>
            <w:r>
              <w:rPr>
                <w:sz w:val="18"/>
              </w:rPr>
              <w:t>Sortie encadrée, découverte nature, alimentation, agriculture et terroir.</w:t>
            </w:r>
          </w:p>
        </w:tc>
        <w:tc>
          <w:tcPr>
            <w:tcW w:type="dxa" w:w="2880"/>
          </w:tcPr>
          <w:p>
            <w:r/>
            <w:r>
              <w:rPr>
                <w:sz w:val="18"/>
              </w:rPr>
              <w:t>Jardin à l’assiette, ateliers cuisine, promenade, activités encadrées.</w:t>
            </w:r>
          </w:p>
        </w:tc>
      </w:tr>
      <w:tr>
        <w:tc>
          <w:tcPr>
            <w:tcW w:type="dxa" w:w="2880"/>
          </w:tcPr>
          <w:p>
            <w:r/>
            <w:r>
              <w:rPr>
                <w:sz w:val="18"/>
              </w:rPr>
              <w:t>Groupes privés et entreprises</w:t>
            </w:r>
          </w:p>
        </w:tc>
        <w:tc>
          <w:tcPr>
            <w:tcW w:type="dxa" w:w="2880"/>
          </w:tcPr>
          <w:p>
            <w:r/>
            <w:r>
              <w:rPr>
                <w:sz w:val="18"/>
              </w:rPr>
              <w:t>Team building, journée détente, activité collective, privatisation partielle.</w:t>
            </w:r>
          </w:p>
        </w:tc>
        <w:tc>
          <w:tcPr>
            <w:tcW w:type="dxa" w:w="2880"/>
          </w:tcPr>
          <w:p>
            <w:r/>
            <w:r>
              <w:rPr>
                <w:sz w:val="18"/>
              </w:rPr>
              <w:t>Paintball, e-bike, ateliers cuisine, formules journée, packages groupe.</w:t>
            </w:r>
          </w:p>
        </w:tc>
      </w:tr>
      <w:tr>
        <w:tc>
          <w:tcPr>
            <w:tcW w:type="dxa" w:w="2880"/>
          </w:tcPr>
          <w:p>
            <w:r/>
            <w:r>
              <w:rPr>
                <w:sz w:val="18"/>
              </w:rPr>
              <w:t>Maisons d’hôtes et proximité</w:t>
            </w:r>
          </w:p>
        </w:tc>
        <w:tc>
          <w:tcPr>
            <w:tcW w:type="dxa" w:w="2880"/>
          </w:tcPr>
          <w:p>
            <w:r/>
            <w:r>
              <w:rPr>
                <w:sz w:val="18"/>
              </w:rPr>
              <w:t>Activité complémentaire à proposer aux clients logés dans la zone.</w:t>
            </w:r>
          </w:p>
        </w:tc>
        <w:tc>
          <w:tcPr>
            <w:tcW w:type="dxa" w:w="2880"/>
          </w:tcPr>
          <w:p>
            <w:r/>
            <w:r>
              <w:rPr>
                <w:sz w:val="18"/>
              </w:rPr>
              <w:t>E-bike, ateliers cuisine, formule demi-journée.</w:t>
            </w:r>
          </w:p>
        </w:tc>
      </w:tr>
    </w:tbl>
    <w:p>
      <w:r>
        <w:rPr>
          <w:sz w:val="21"/>
        </w:rPr>
        <w:t>Les activités e-bike et paintball peuvent également être proposées aux enfants à partir de 11 ans, dans un cadre encadré et sécurisé, permettant de développer des formules anniversaires à forte valeur ajoutée.</w:t>
      </w:r>
    </w:p>
    <w:p>
      <w:pPr>
        <w:spacing w:before="240" w:after="100"/>
      </w:pPr>
      <w:r>
        <w:rPr>
          <w:b/>
          <w:color w:val="1B3A28"/>
          <w:sz w:val="30"/>
        </w:rPr>
        <w:t>7. Alignement stratégique / éligibilité</w:t>
      </w:r>
    </w:p>
    <w:p>
      <w:r>
        <w:rPr>
          <w:sz w:val="21"/>
        </w:rPr>
        <w:t>Animation touristique, nature &amp; découverte, gastronomie &amp; terroir, tourisme durable et diversification des clientèles : DA21 s’inscrit dans une logique d’animation touristique intégrée et locale, en cohérence avec les orientations de la feuille de route du tourisme 2023-2026.</w:t>
      </w:r>
    </w:p>
    <w:p>
      <w:pPr>
        <w:spacing w:before="240" w:after="100"/>
      </w:pPr>
      <w:r>
        <w:rPr>
          <w:b/>
          <w:color w:val="1B3A28"/>
          <w:sz w:val="30"/>
        </w:rPr>
        <w:t>8. Analyse concurrentielle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Activité</w:t>
            </w:r>
          </w:p>
        </w:tc>
        <w:tc>
          <w:tcPr>
            <w:tcW w:type="dxa" w:w="2880"/>
          </w:tcPr>
          <w:p>
            <w:r/>
            <w:r>
              <w:rPr>
                <w:b/>
                <w:sz w:val="18"/>
              </w:rPr>
              <w:t>Concurrence observée</w:t>
            </w:r>
          </w:p>
        </w:tc>
        <w:tc>
          <w:tcPr>
            <w:tcW w:type="dxa" w:w="2880"/>
          </w:tcPr>
          <w:p>
            <w:r/>
            <w:r>
              <w:rPr>
                <w:b/>
                <w:sz w:val="18"/>
              </w:rPr>
              <w:t>Positionnement DA21</w:t>
            </w:r>
          </w:p>
        </w:tc>
      </w:tr>
      <w:tr>
        <w:tc>
          <w:tcPr>
            <w:tcW w:type="dxa" w:w="2880"/>
          </w:tcPr>
          <w:p>
            <w:r/>
            <w:r>
              <w:rPr>
                <w:sz w:val="18"/>
              </w:rPr>
              <w:t>E-bike / Fatbike</w:t>
            </w:r>
          </w:p>
        </w:tc>
        <w:tc>
          <w:tcPr>
            <w:tcW w:type="dxa" w:w="2880"/>
          </w:tcPr>
          <w:p>
            <w:r/>
            <w:r>
              <w:rPr>
                <w:sz w:val="18"/>
              </w:rPr>
              <w:t>Offres VTT/e-bike souvent en ville, haute montagne ou circuits sportifs.</w:t>
            </w:r>
          </w:p>
        </w:tc>
        <w:tc>
          <w:tcPr>
            <w:tcW w:type="dxa" w:w="2880"/>
          </w:tcPr>
          <w:p>
            <w:r/>
            <w:r>
              <w:rPr>
                <w:sz w:val="18"/>
              </w:rPr>
              <w:t>Balades accessibles à travers douar, champs et oliveraie, adaptées aux familles, avec 10 e-bikes et fatbikes.</w:t>
            </w:r>
          </w:p>
        </w:tc>
      </w:tr>
      <w:tr>
        <w:tc>
          <w:tcPr>
            <w:tcW w:type="dxa" w:w="2880"/>
          </w:tcPr>
          <w:p>
            <w:r/>
            <w:r>
              <w:rPr>
                <w:sz w:val="18"/>
              </w:rPr>
              <w:t>Paintball</w:t>
            </w:r>
          </w:p>
        </w:tc>
        <w:tc>
          <w:tcPr>
            <w:tcW w:type="dxa" w:w="2880"/>
          </w:tcPr>
          <w:p>
            <w:r/>
            <w:r>
              <w:rPr>
                <w:sz w:val="18"/>
              </w:rPr>
              <w:t>Activités existantes autour de Marrakech, souvent isolées ou sans offre détente/repas.</w:t>
            </w:r>
          </w:p>
        </w:tc>
        <w:tc>
          <w:tcPr>
            <w:tcW w:type="dxa" w:w="2880"/>
          </w:tcPr>
          <w:p>
            <w:r/>
            <w:r>
              <w:rPr>
                <w:sz w:val="18"/>
              </w:rPr>
              <w:t>Paintball de jour ET nocturne UV/Blacklight, combinable avec e-bike, cuisine et détente.</w:t>
            </w:r>
          </w:p>
        </w:tc>
      </w:tr>
      <w:tr>
        <w:tc>
          <w:tcPr>
            <w:tcW w:type="dxa" w:w="2880"/>
          </w:tcPr>
          <w:p>
            <w:r/>
            <w:r>
              <w:rPr>
                <w:sz w:val="18"/>
              </w:rPr>
              <w:t>Ateliers cuisine</w:t>
            </w:r>
          </w:p>
        </w:tc>
        <w:tc>
          <w:tcPr>
            <w:tcW w:type="dxa" w:w="2880"/>
          </w:tcPr>
          <w:p>
            <w:r/>
            <w:r>
              <w:rPr>
                <w:sz w:val="18"/>
              </w:rPr>
              <w:t>Ateliers principalement en médina ou riads, centrés sur la cuisine seule.</w:t>
            </w:r>
          </w:p>
        </w:tc>
        <w:tc>
          <w:tcPr>
            <w:tcW w:type="dxa" w:w="2880"/>
          </w:tcPr>
          <w:p>
            <w:r/>
            <w:r>
              <w:rPr>
                <w:sz w:val="18"/>
              </w:rPr>
              <w:t>Atelier cuisine dans une oliveraie, relié au terroir et à l’expérience « du jardin à l’assiette ».</w:t>
            </w:r>
          </w:p>
        </w:tc>
      </w:tr>
    </w:tbl>
    <w:p>
      <w:pPr>
        <w:spacing w:before="240" w:after="100"/>
      </w:pPr>
      <w:r>
        <w:rPr>
          <w:b/>
          <w:color w:val="1B3A28"/>
          <w:sz w:val="30"/>
        </w:rPr>
        <w:t>9. Stratégie marketing &amp; distribution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Canal</w:t>
            </w:r>
          </w:p>
        </w:tc>
        <w:tc>
          <w:tcPr>
            <w:tcW w:type="dxa" w:w="4320"/>
          </w:tcPr>
          <w:p>
            <w:r/>
            <w:r>
              <w:rPr>
                <w:b/>
                <w:sz w:val="18"/>
              </w:rPr>
              <w:t>Rôle dans le lancement</w:t>
            </w:r>
          </w:p>
        </w:tc>
      </w:tr>
      <w:tr>
        <w:tc>
          <w:tcPr>
            <w:tcW w:type="dxa" w:w="4320"/>
          </w:tcPr>
          <w:p>
            <w:r/>
            <w:r>
              <w:rPr>
                <w:sz w:val="18"/>
              </w:rPr>
              <w:t>Voyages 21</w:t>
            </w:r>
          </w:p>
        </w:tc>
        <w:tc>
          <w:tcPr>
            <w:tcW w:type="dxa" w:w="4320"/>
          </w:tcPr>
          <w:p>
            <w:r/>
            <w:r>
              <w:rPr>
                <w:sz w:val="18"/>
              </w:rPr>
              <w:t>Canal prioritaire pour amorcer les ventes : circuits, groupes, familles, clients existants, partenaires agences.</w:t>
            </w:r>
          </w:p>
        </w:tc>
      </w:tr>
      <w:tr>
        <w:tc>
          <w:tcPr>
            <w:tcW w:type="dxa" w:w="4320"/>
          </w:tcPr>
          <w:p>
            <w:r/>
            <w:r>
              <w:rPr>
                <w:sz w:val="18"/>
              </w:rPr>
              <w:t>Google Maps / référencement local</w:t>
            </w:r>
          </w:p>
        </w:tc>
        <w:tc>
          <w:tcPr>
            <w:tcW w:type="dxa" w:w="4320"/>
          </w:tcPr>
          <w:p>
            <w:r/>
            <w:r>
              <w:rPr>
                <w:sz w:val="18"/>
              </w:rPr>
              <w:t>Capter les recherches de proximité : activités enfants, paintball Marrakech, activité route Ourika / Al Haouz.</w:t>
            </w:r>
          </w:p>
        </w:tc>
      </w:tr>
      <w:tr>
        <w:tc>
          <w:tcPr>
            <w:tcW w:type="dxa" w:w="4320"/>
          </w:tcPr>
          <w:p>
            <w:r/>
            <w:r>
              <w:rPr>
                <w:sz w:val="18"/>
              </w:rPr>
              <w:t>Réseaux sociaux</w:t>
            </w:r>
          </w:p>
        </w:tc>
        <w:tc>
          <w:tcPr>
            <w:tcW w:type="dxa" w:w="4320"/>
          </w:tcPr>
          <w:p>
            <w:r/>
            <w:r>
              <w:rPr>
                <w:sz w:val="18"/>
              </w:rPr>
              <w:t>Valoriser le cadre naturel, les anniversaires, les groupes, les ateliers cuisine et les expériences journée.</w:t>
            </w:r>
          </w:p>
        </w:tc>
      </w:tr>
      <w:tr>
        <w:tc>
          <w:tcPr>
            <w:tcW w:type="dxa" w:w="4320"/>
          </w:tcPr>
          <w:p>
            <w:r/>
            <w:r>
              <w:rPr>
                <w:sz w:val="18"/>
              </w:rPr>
              <w:t>Maisons d’hôtes &amp; hébergements voisins</w:t>
            </w:r>
          </w:p>
        </w:tc>
        <w:tc>
          <w:tcPr>
            <w:tcW w:type="dxa" w:w="4320"/>
          </w:tcPr>
          <w:p>
            <w:r/>
            <w:r>
              <w:rPr>
                <w:sz w:val="18"/>
              </w:rPr>
              <w:t>Proposer une activité complémentaire aux clients déjà présents dans la zone.</w:t>
            </w:r>
          </w:p>
        </w:tc>
      </w:tr>
      <w:tr>
        <w:tc>
          <w:tcPr>
            <w:tcW w:type="dxa" w:w="4320"/>
          </w:tcPr>
          <w:p>
            <w:r/>
            <w:r>
              <w:rPr>
                <w:sz w:val="18"/>
              </w:rPr>
              <w:t>Écoles, entreprises, groupes privés</w:t>
            </w:r>
          </w:p>
        </w:tc>
        <w:tc>
          <w:tcPr>
            <w:tcW w:type="dxa" w:w="4320"/>
          </w:tcPr>
          <w:p>
            <w:r/>
            <w:r>
              <w:rPr>
                <w:sz w:val="18"/>
              </w:rPr>
              <w:t>Sorties pédagogiques, anniversaires, EVG/EVJF et team building.</w:t>
            </w:r>
          </w:p>
        </w:tc>
      </w:tr>
      <w:tr>
        <w:tc>
          <w:tcPr>
            <w:tcW w:type="dxa" w:w="4320"/>
          </w:tcPr>
          <w:p>
            <w:r/>
            <w:r>
              <w:rPr>
                <w:sz w:val="18"/>
              </w:rPr>
              <w:t>OTA / plateformes d’activités</w:t>
            </w:r>
          </w:p>
        </w:tc>
        <w:tc>
          <w:tcPr>
            <w:tcW w:type="dxa" w:w="4320"/>
          </w:tcPr>
          <w:p>
            <w:r/>
            <w:r>
              <w:rPr>
                <w:sz w:val="18"/>
              </w:rPr>
              <w:t>Canal complémentaire, surtout après constitution des premiers avis clients.</w:t>
            </w:r>
          </w:p>
        </w:tc>
      </w:tr>
    </w:tbl>
    <w:p>
      <w:pPr>
        <w:spacing w:before="240" w:after="100"/>
      </w:pPr>
      <w:r>
        <w:rPr>
          <w:b/>
          <w:color w:val="1B3A28"/>
          <w:sz w:val="30"/>
        </w:rPr>
        <w:t>10. Organisation &amp; Ressources Humaines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Poste</w:t>
            </w:r>
          </w:p>
        </w:tc>
        <w:tc>
          <w:tcPr>
            <w:tcW w:type="dxa" w:w="2160"/>
          </w:tcPr>
          <w:p>
            <w:r/>
            <w:r>
              <w:rPr>
                <w:b/>
                <w:sz w:val="18"/>
              </w:rPr>
              <w:t>Affectation</w:t>
            </w:r>
          </w:p>
        </w:tc>
        <w:tc>
          <w:tcPr>
            <w:tcW w:type="dxa" w:w="2160"/>
          </w:tcPr>
          <w:p>
            <w:r/>
            <w:r>
              <w:rPr>
                <w:b/>
                <w:sz w:val="18"/>
              </w:rPr>
              <w:t>Coût mensuel</w:t>
            </w:r>
          </w:p>
        </w:tc>
        <w:tc>
          <w:tcPr>
            <w:tcW w:type="dxa" w:w="2160"/>
          </w:tcPr>
          <w:p>
            <w:r/>
            <w:r>
              <w:rPr>
                <w:b/>
                <w:sz w:val="18"/>
              </w:rPr>
              <w:t>Coût annuel</w:t>
            </w:r>
          </w:p>
        </w:tc>
      </w:tr>
      <w:tr>
        <w:tc>
          <w:tcPr>
            <w:tcW w:type="dxa" w:w="2160"/>
          </w:tcPr>
          <w:p>
            <w:r/>
            <w:r>
              <w:rPr>
                <w:sz w:val="18"/>
              </w:rPr>
              <w:t>Agent d’accueil polyvalent</w:t>
            </w:r>
          </w:p>
        </w:tc>
        <w:tc>
          <w:tcPr>
            <w:tcW w:type="dxa" w:w="2160"/>
          </w:tcPr>
          <w:p>
            <w:r/>
            <w:r>
              <w:rPr>
                <w:sz w:val="18"/>
              </w:rPr>
              <w:t>Accueil, caisse, coordination, réservations</w:t>
            </w:r>
          </w:p>
        </w:tc>
        <w:tc>
          <w:tcPr>
            <w:tcW w:type="dxa" w:w="2160"/>
          </w:tcPr>
          <w:p>
            <w:pPr>
              <w:jc w:val="right"/>
            </w:pPr>
            <w:r/>
            <w:r>
              <w:rPr>
                <w:sz w:val="18"/>
              </w:rPr>
              <w:t>3 500</w:t>
            </w:r>
          </w:p>
        </w:tc>
        <w:tc>
          <w:tcPr>
            <w:tcW w:type="dxa" w:w="2160"/>
          </w:tcPr>
          <w:p>
            <w:pPr>
              <w:jc w:val="right"/>
            </w:pPr>
            <w:r/>
            <w:r>
              <w:rPr>
                <w:sz w:val="18"/>
              </w:rPr>
              <w:t>42 000</w:t>
            </w:r>
          </w:p>
        </w:tc>
      </w:tr>
      <w:tr>
        <w:tc>
          <w:tcPr>
            <w:tcW w:type="dxa" w:w="2160"/>
          </w:tcPr>
          <w:p>
            <w:r/>
            <w:r>
              <w:rPr>
                <w:sz w:val="18"/>
              </w:rPr>
              <w:t>Arbitre / animateur paintball</w:t>
            </w:r>
          </w:p>
        </w:tc>
        <w:tc>
          <w:tcPr>
            <w:tcW w:type="dxa" w:w="2160"/>
          </w:tcPr>
          <w:p>
            <w:r/>
            <w:r>
              <w:rPr>
                <w:sz w:val="18"/>
              </w:rPr>
              <w:t>Encadrement, sécurité, animation des parties</w:t>
            </w:r>
          </w:p>
        </w:tc>
        <w:tc>
          <w:tcPr>
            <w:tcW w:type="dxa" w:w="2160"/>
          </w:tcPr>
          <w:p>
            <w:pPr>
              <w:jc w:val="right"/>
            </w:pPr>
            <w:r/>
            <w:r>
              <w:rPr>
                <w:sz w:val="18"/>
              </w:rPr>
              <w:t>3 000</w:t>
            </w:r>
          </w:p>
        </w:tc>
        <w:tc>
          <w:tcPr>
            <w:tcW w:type="dxa" w:w="2160"/>
          </w:tcPr>
          <w:p>
            <w:pPr>
              <w:jc w:val="right"/>
            </w:pPr>
            <w:r/>
            <w:r>
              <w:rPr>
                <w:sz w:val="18"/>
              </w:rPr>
              <w:t>36 000</w:t>
            </w:r>
          </w:p>
        </w:tc>
      </w:tr>
      <w:tr>
        <w:tc>
          <w:tcPr>
            <w:tcW w:type="dxa" w:w="2160"/>
          </w:tcPr>
          <w:p>
            <w:r/>
            <w:r>
              <w:rPr>
                <w:sz w:val="18"/>
              </w:rPr>
              <w:t>Chef cuisinier / cuisinière</w:t>
            </w:r>
          </w:p>
        </w:tc>
        <w:tc>
          <w:tcPr>
            <w:tcW w:type="dxa" w:w="2160"/>
          </w:tcPr>
          <w:p>
            <w:r/>
            <w:r>
              <w:rPr>
                <w:sz w:val="18"/>
              </w:rPr>
              <w:t>Ateliers cuisine, repas, qualité culinaire</w:t>
            </w:r>
          </w:p>
        </w:tc>
        <w:tc>
          <w:tcPr>
            <w:tcW w:type="dxa" w:w="2160"/>
          </w:tcPr>
          <w:p>
            <w:pPr>
              <w:jc w:val="right"/>
            </w:pPr>
            <w:r/>
            <w:r>
              <w:rPr>
                <w:sz w:val="18"/>
              </w:rPr>
              <w:t>5 000</w:t>
            </w:r>
          </w:p>
        </w:tc>
        <w:tc>
          <w:tcPr>
            <w:tcW w:type="dxa" w:w="2160"/>
          </w:tcPr>
          <w:p>
            <w:pPr>
              <w:jc w:val="right"/>
            </w:pPr>
            <w:r/>
            <w:r>
              <w:rPr>
                <w:sz w:val="18"/>
              </w:rPr>
              <w:t>60 000</w:t>
            </w:r>
          </w:p>
        </w:tc>
      </w:tr>
      <w:tr>
        <w:tc>
          <w:tcPr>
            <w:tcW w:type="dxa" w:w="2160"/>
          </w:tcPr>
          <w:p>
            <w:r/>
            <w:r>
              <w:rPr>
                <w:sz w:val="18"/>
              </w:rPr>
              <w:t>Aide-cuisinier</w:t>
            </w:r>
          </w:p>
        </w:tc>
        <w:tc>
          <w:tcPr>
            <w:tcW w:type="dxa" w:w="2160"/>
          </w:tcPr>
          <w:p>
            <w:r/>
            <w:r>
              <w:rPr>
                <w:sz w:val="18"/>
              </w:rPr>
              <w:t>Préparation, service, hygiène, rangement</w:t>
            </w:r>
          </w:p>
        </w:tc>
        <w:tc>
          <w:tcPr>
            <w:tcW w:type="dxa" w:w="2160"/>
          </w:tcPr>
          <w:p>
            <w:pPr>
              <w:jc w:val="right"/>
            </w:pPr>
            <w:r/>
            <w:r>
              <w:rPr>
                <w:sz w:val="18"/>
              </w:rPr>
              <w:t>3 000</w:t>
            </w:r>
          </w:p>
        </w:tc>
        <w:tc>
          <w:tcPr>
            <w:tcW w:type="dxa" w:w="2160"/>
          </w:tcPr>
          <w:p>
            <w:pPr>
              <w:jc w:val="right"/>
            </w:pPr>
            <w:r/>
            <w:r>
              <w:rPr>
                <w:sz w:val="18"/>
              </w:rPr>
              <w:t>36 000</w:t>
            </w:r>
          </w:p>
        </w:tc>
      </w:tr>
      <w:tr>
        <w:tc>
          <w:tcPr>
            <w:tcW w:type="dxa" w:w="2160"/>
          </w:tcPr>
          <w:p>
            <w:r/>
            <w:r>
              <w:rPr>
                <w:sz w:val="18"/>
              </w:rPr>
              <w:t>Guide mécanicien e-bike</w:t>
            </w:r>
          </w:p>
        </w:tc>
        <w:tc>
          <w:tcPr>
            <w:tcW w:type="dxa" w:w="2160"/>
          </w:tcPr>
          <w:p>
            <w:r/>
            <w:r>
              <w:rPr>
                <w:sz w:val="18"/>
              </w:rPr>
              <w:t>Accompagnement, maintenance, sécurité vélos</w:t>
            </w:r>
          </w:p>
        </w:tc>
        <w:tc>
          <w:tcPr>
            <w:tcW w:type="dxa" w:w="2160"/>
          </w:tcPr>
          <w:p>
            <w:pPr>
              <w:jc w:val="right"/>
            </w:pPr>
            <w:r/>
            <w:r>
              <w:rPr>
                <w:sz w:val="18"/>
              </w:rPr>
              <w:t>3 500</w:t>
            </w:r>
          </w:p>
        </w:tc>
        <w:tc>
          <w:tcPr>
            <w:tcW w:type="dxa" w:w="2160"/>
          </w:tcPr>
          <w:p>
            <w:pPr>
              <w:jc w:val="right"/>
            </w:pPr>
            <w:r/>
            <w:r>
              <w:rPr>
                <w:sz w:val="18"/>
              </w:rPr>
              <w:t>42 000</w:t>
            </w:r>
          </w:p>
        </w:tc>
      </w:tr>
      <w:tr>
        <w:tc>
          <w:tcPr>
            <w:tcW w:type="dxa" w:w="2160"/>
          </w:tcPr>
          <w:p>
            <w:r/>
            <w:r>
              <w:rPr>
                <w:sz w:val="18"/>
              </w:rPr>
              <w:t>Pisciniste (temps partiel/saisonnier)</w:t>
            </w:r>
          </w:p>
        </w:tc>
        <w:tc>
          <w:tcPr>
            <w:tcW w:type="dxa" w:w="2160"/>
          </w:tcPr>
          <w:p>
            <w:r/>
            <w:r>
              <w:rPr>
                <w:sz w:val="18"/>
              </w:rPr>
              <w:t>Entretien technique piscine</w:t>
            </w:r>
          </w:p>
        </w:tc>
        <w:tc>
          <w:tcPr>
            <w:tcW w:type="dxa" w:w="2160"/>
          </w:tcPr>
          <w:p>
            <w:pPr>
              <w:jc w:val="right"/>
            </w:pPr>
            <w:r/>
            <w:r>
              <w:rPr>
                <w:sz w:val="18"/>
              </w:rPr>
              <w:t>1 000</w:t>
            </w:r>
          </w:p>
        </w:tc>
        <w:tc>
          <w:tcPr>
            <w:tcW w:type="dxa" w:w="2160"/>
          </w:tcPr>
          <w:p>
            <w:pPr>
              <w:jc w:val="right"/>
            </w:pPr>
            <w:r/>
            <w:r>
              <w:rPr>
                <w:sz w:val="18"/>
              </w:rPr>
              <w:t>12 000</w:t>
            </w:r>
          </w:p>
        </w:tc>
      </w:tr>
      <w:tr>
        <w:tc>
          <w:tcPr>
            <w:tcW w:type="dxa" w:w="2160"/>
          </w:tcPr>
          <w:p>
            <w:r/>
            <w:r>
              <w:rPr>
                <w:sz w:val="18"/>
              </w:rPr>
              <w:t>Jardinier (temps partiel/saisonnier)</w:t>
            </w:r>
          </w:p>
        </w:tc>
        <w:tc>
          <w:tcPr>
            <w:tcW w:type="dxa" w:w="2160"/>
          </w:tcPr>
          <w:p>
            <w:r/>
            <w:r>
              <w:rPr>
                <w:sz w:val="18"/>
              </w:rPr>
              <w:t>Espaces verts, oliveraie, jardin pédagogique</w:t>
            </w:r>
          </w:p>
        </w:tc>
        <w:tc>
          <w:tcPr>
            <w:tcW w:type="dxa" w:w="2160"/>
          </w:tcPr>
          <w:p>
            <w:pPr>
              <w:jc w:val="right"/>
            </w:pPr>
            <w:r/>
            <w:r>
              <w:rPr>
                <w:sz w:val="18"/>
              </w:rPr>
              <w:t>1 000</w:t>
            </w:r>
          </w:p>
        </w:tc>
        <w:tc>
          <w:tcPr>
            <w:tcW w:type="dxa" w:w="2160"/>
          </w:tcPr>
          <w:p>
            <w:pPr>
              <w:jc w:val="right"/>
            </w:pPr>
            <w:r/>
            <w:r>
              <w:rPr>
                <w:sz w:val="18"/>
              </w:rPr>
              <w:t>12 000</w:t>
            </w:r>
          </w:p>
        </w:tc>
      </w:tr>
      <w:tr>
        <w:tc>
          <w:tcPr>
            <w:tcW w:type="dxa" w:w="2160"/>
          </w:tcPr>
          <w:p>
            <w:r/>
            <w:r>
              <w:rPr>
                <w:sz w:val="18"/>
              </w:rPr>
              <w:t>Total RH</w:t>
            </w:r>
          </w:p>
        </w:tc>
        <w:tc>
          <w:tcPr>
            <w:tcW w:type="dxa" w:w="2160"/>
          </w:tcPr>
          <w:p>
            <w:r/>
            <w:r>
              <w:rPr>
                <w:sz w:val="18"/>
              </w:rPr>
              <w:t>5 permanents + 2 saisonniers</w:t>
            </w:r>
          </w:p>
        </w:tc>
        <w:tc>
          <w:tcPr>
            <w:tcW w:type="dxa" w:w="2160"/>
          </w:tcPr>
          <w:p>
            <w:r/>
            <w:r>
              <w:rPr>
                <w:sz w:val="18"/>
              </w:rPr>
              <w:t>20 000 / mois</w:t>
            </w:r>
          </w:p>
        </w:tc>
        <w:tc>
          <w:tcPr>
            <w:tcW w:type="dxa" w:w="2160"/>
          </w:tcPr>
          <w:p>
            <w:r/>
            <w:r>
              <w:rPr>
                <w:sz w:val="18"/>
              </w:rPr>
              <w:t>240 000 / an</w:t>
            </w:r>
          </w:p>
        </w:tc>
      </w:tr>
    </w:tbl>
    <w:p>
      <w:pPr>
        <w:spacing w:before="240" w:after="100"/>
      </w:pPr>
      <w:r>
        <w:rPr>
          <w:b/>
          <w:color w:val="1B3A28"/>
          <w:sz w:val="30"/>
        </w:rPr>
        <w:t>11. Plan d’investissement &amp; financement</w:t>
      </w:r>
    </w:p>
    <w:p>
      <w:r>
        <w:rPr>
          <w:b/>
          <w:color w:val="C8A440"/>
          <w:sz w:val="24"/>
        </w:rPr>
        <w:t>Emplois / programme d’investissement (TTC)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Rubrique</w:t>
            </w:r>
          </w:p>
        </w:tc>
        <w:tc>
          <w:tcPr>
            <w:tcW w:type="dxa" w:w="2880"/>
          </w:tcPr>
          <w:p>
            <w:r/>
            <w:r>
              <w:rPr>
                <w:b/>
                <w:sz w:val="18"/>
              </w:rPr>
              <w:t>Montant TTC</w:t>
            </w:r>
          </w:p>
        </w:tc>
        <w:tc>
          <w:tcPr>
            <w:tcW w:type="dxa" w:w="2880"/>
          </w:tcPr>
          <w:p>
            <w:r/>
            <w:r>
              <w:rPr>
                <w:b/>
                <w:sz w:val="18"/>
              </w:rPr>
              <w:t>Primable</w:t>
            </w:r>
          </w:p>
        </w:tc>
      </w:tr>
      <w:tr>
        <w:tc>
          <w:tcPr>
            <w:tcW w:type="dxa" w:w="2880"/>
          </w:tcPr>
          <w:p>
            <w:r/>
            <w:r>
              <w:rPr>
                <w:sz w:val="18"/>
              </w:rPr>
              <w:t>Paintball (lanceurs, terrain, nocturne UV)</w:t>
            </w:r>
          </w:p>
        </w:tc>
        <w:tc>
          <w:tcPr>
            <w:tcW w:type="dxa" w:w="2880"/>
          </w:tcPr>
          <w:p>
            <w:pPr>
              <w:jc w:val="right"/>
            </w:pPr>
            <w:r/>
            <w:r>
              <w:rPr>
                <w:sz w:val="18"/>
              </w:rPr>
              <w:t>140 000</w:t>
            </w:r>
          </w:p>
        </w:tc>
        <w:tc>
          <w:tcPr>
            <w:tcW w:type="dxa" w:w="2880"/>
          </w:tcPr>
          <w:p>
            <w:r/>
            <w:r>
              <w:rPr>
                <w:sz w:val="18"/>
              </w:rPr>
              <w:t>Oui</w:t>
            </w:r>
          </w:p>
        </w:tc>
      </w:tr>
      <w:tr>
        <w:tc>
          <w:tcPr>
            <w:tcW w:type="dxa" w:w="2880"/>
          </w:tcPr>
          <w:p>
            <w:r/>
            <w:r>
              <w:rPr>
                <w:sz w:val="18"/>
              </w:rPr>
              <w:t>E-bike / Fatbike (12 vélos)</w:t>
            </w:r>
          </w:p>
        </w:tc>
        <w:tc>
          <w:tcPr>
            <w:tcW w:type="dxa" w:w="2880"/>
          </w:tcPr>
          <w:p>
            <w:pPr>
              <w:jc w:val="right"/>
            </w:pPr>
            <w:r/>
            <w:r>
              <w:rPr>
                <w:sz w:val="18"/>
              </w:rPr>
              <w:t>130 000</w:t>
            </w:r>
          </w:p>
        </w:tc>
        <w:tc>
          <w:tcPr>
            <w:tcW w:type="dxa" w:w="2880"/>
          </w:tcPr>
          <w:p>
            <w:r/>
            <w:r>
              <w:rPr>
                <w:sz w:val="18"/>
              </w:rPr>
              <w:t>Oui</w:t>
            </w:r>
          </w:p>
        </w:tc>
      </w:tr>
      <w:tr>
        <w:tc>
          <w:tcPr>
            <w:tcW w:type="dxa" w:w="2880"/>
          </w:tcPr>
          <w:p>
            <w:r/>
            <w:r>
              <w:rPr>
                <w:sz w:val="18"/>
              </w:rPr>
              <w:t>Accessoires &amp; sécurité e-bike</w:t>
            </w:r>
          </w:p>
        </w:tc>
        <w:tc>
          <w:tcPr>
            <w:tcW w:type="dxa" w:w="2880"/>
          </w:tcPr>
          <w:p>
            <w:pPr>
              <w:jc w:val="right"/>
            </w:pPr>
            <w:r/>
            <w:r>
              <w:rPr>
                <w:sz w:val="18"/>
              </w:rPr>
              <w:t>18 000</w:t>
            </w:r>
          </w:p>
        </w:tc>
        <w:tc>
          <w:tcPr>
            <w:tcW w:type="dxa" w:w="2880"/>
          </w:tcPr>
          <w:p>
            <w:r/>
            <w:r>
              <w:rPr>
                <w:sz w:val="18"/>
              </w:rPr>
              <w:t>Oui</w:t>
            </w:r>
          </w:p>
        </w:tc>
      </w:tr>
      <w:tr>
        <w:tc>
          <w:tcPr>
            <w:tcW w:type="dxa" w:w="2880"/>
          </w:tcPr>
          <w:p>
            <w:r/>
            <w:r>
              <w:rPr>
                <w:sz w:val="18"/>
              </w:rPr>
              <w:t>Ateliers cuisine (équipement pro)</w:t>
            </w:r>
          </w:p>
        </w:tc>
        <w:tc>
          <w:tcPr>
            <w:tcW w:type="dxa" w:w="2880"/>
          </w:tcPr>
          <w:p>
            <w:pPr>
              <w:jc w:val="right"/>
            </w:pPr>
            <w:r/>
            <w:r>
              <w:rPr>
                <w:sz w:val="18"/>
              </w:rPr>
              <w:t>45 000</w:t>
            </w:r>
          </w:p>
        </w:tc>
        <w:tc>
          <w:tcPr>
            <w:tcW w:type="dxa" w:w="2880"/>
          </w:tcPr>
          <w:p>
            <w:r/>
            <w:r>
              <w:rPr>
                <w:sz w:val="18"/>
              </w:rPr>
              <w:t>Oui</w:t>
            </w:r>
          </w:p>
        </w:tc>
      </w:tr>
      <w:tr>
        <w:tc>
          <w:tcPr>
            <w:tcW w:type="dxa" w:w="2880"/>
          </w:tcPr>
          <w:p>
            <w:r/>
            <w:r>
              <w:rPr>
                <w:sz w:val="18"/>
              </w:rPr>
              <w:t>Installation solaire</w:t>
            </w:r>
          </w:p>
        </w:tc>
        <w:tc>
          <w:tcPr>
            <w:tcW w:type="dxa" w:w="2880"/>
          </w:tcPr>
          <w:p>
            <w:pPr>
              <w:jc w:val="right"/>
            </w:pPr>
            <w:r/>
            <w:r>
              <w:rPr>
                <w:sz w:val="18"/>
              </w:rPr>
              <w:t>70 000</w:t>
            </w:r>
          </w:p>
        </w:tc>
        <w:tc>
          <w:tcPr>
            <w:tcW w:type="dxa" w:w="2880"/>
          </w:tcPr>
          <w:p>
            <w:r/>
            <w:r>
              <w:rPr>
                <w:sz w:val="18"/>
              </w:rPr>
              <w:t>Oui</w:t>
            </w:r>
          </w:p>
        </w:tc>
      </w:tr>
      <w:tr>
        <w:tc>
          <w:tcPr>
            <w:tcW w:type="dxa" w:w="2880"/>
          </w:tcPr>
          <w:p>
            <w:r/>
            <w:r>
              <w:rPr>
                <w:sz w:val="18"/>
              </w:rPr>
              <w:t>Tente caïdale / dôme + clim + mobilier + sonorisation DJ</w:t>
            </w:r>
          </w:p>
        </w:tc>
        <w:tc>
          <w:tcPr>
            <w:tcW w:type="dxa" w:w="2880"/>
          </w:tcPr>
          <w:p>
            <w:pPr>
              <w:jc w:val="right"/>
            </w:pPr>
            <w:r/>
            <w:r>
              <w:rPr>
                <w:sz w:val="18"/>
              </w:rPr>
              <w:t>170 000</w:t>
            </w:r>
          </w:p>
        </w:tc>
        <w:tc>
          <w:tcPr>
            <w:tcW w:type="dxa" w:w="2880"/>
          </w:tcPr>
          <w:p>
            <w:r/>
            <w:r>
              <w:rPr>
                <w:sz w:val="18"/>
              </w:rPr>
              <w:t>Oui</w:t>
            </w:r>
          </w:p>
        </w:tc>
      </w:tr>
      <w:tr>
        <w:tc>
          <w:tcPr>
            <w:tcW w:type="dxa" w:w="2880"/>
          </w:tcPr>
          <w:p>
            <w:r/>
            <w:r>
              <w:rPr>
                <w:sz w:val="18"/>
              </w:rPr>
              <w:t>Espace « du jardin à l’assiette »</w:t>
            </w:r>
          </w:p>
        </w:tc>
        <w:tc>
          <w:tcPr>
            <w:tcW w:type="dxa" w:w="2880"/>
          </w:tcPr>
          <w:p>
            <w:pPr>
              <w:jc w:val="right"/>
            </w:pPr>
            <w:r/>
            <w:r>
              <w:rPr>
                <w:sz w:val="18"/>
              </w:rPr>
              <w:t>30 000</w:t>
            </w:r>
          </w:p>
        </w:tc>
        <w:tc>
          <w:tcPr>
            <w:tcW w:type="dxa" w:w="2880"/>
          </w:tcPr>
          <w:p>
            <w:r/>
            <w:r>
              <w:rPr>
                <w:sz w:val="18"/>
              </w:rPr>
              <w:t>Oui</w:t>
            </w:r>
          </w:p>
        </w:tc>
      </w:tr>
      <w:tr>
        <w:tc>
          <w:tcPr>
            <w:tcW w:type="dxa" w:w="2880"/>
          </w:tcPr>
          <w:p>
            <w:r/>
            <w:r>
              <w:rPr>
                <w:sz w:val="18"/>
              </w:rPr>
              <w:t>Allées, parking, clôtures, signalétique</w:t>
            </w:r>
          </w:p>
        </w:tc>
        <w:tc>
          <w:tcPr>
            <w:tcW w:type="dxa" w:w="2880"/>
          </w:tcPr>
          <w:p>
            <w:pPr>
              <w:jc w:val="right"/>
            </w:pPr>
            <w:r/>
            <w:r>
              <w:rPr>
                <w:sz w:val="18"/>
              </w:rPr>
              <w:t>60 000</w:t>
            </w:r>
          </w:p>
        </w:tc>
        <w:tc>
          <w:tcPr>
            <w:tcW w:type="dxa" w:w="2880"/>
          </w:tcPr>
          <w:p>
            <w:r/>
            <w:r>
              <w:rPr>
                <w:sz w:val="18"/>
              </w:rPr>
              <w:t>Oui</w:t>
            </w:r>
          </w:p>
        </w:tc>
      </w:tr>
      <w:tr>
        <w:tc>
          <w:tcPr>
            <w:tcW w:type="dxa" w:w="2880"/>
          </w:tcPr>
          <w:p>
            <w:r/>
            <w:r>
              <w:rPr>
                <w:sz w:val="18"/>
              </w:rPr>
              <w:t>Aménagements communs (réseaux, éclairage, paysager)</w:t>
            </w:r>
          </w:p>
        </w:tc>
        <w:tc>
          <w:tcPr>
            <w:tcW w:type="dxa" w:w="2880"/>
          </w:tcPr>
          <w:p>
            <w:pPr>
              <w:jc w:val="right"/>
            </w:pPr>
            <w:r/>
            <w:r>
              <w:rPr>
                <w:sz w:val="18"/>
              </w:rPr>
              <w:t>50 000</w:t>
            </w:r>
          </w:p>
        </w:tc>
        <w:tc>
          <w:tcPr>
            <w:tcW w:type="dxa" w:w="2880"/>
          </w:tcPr>
          <w:p>
            <w:r/>
            <w:r>
              <w:rPr>
                <w:sz w:val="18"/>
              </w:rPr>
              <w:t>Oui</w:t>
            </w:r>
          </w:p>
        </w:tc>
      </w:tr>
      <w:tr>
        <w:tc>
          <w:tcPr>
            <w:tcW w:type="dxa" w:w="2880"/>
          </w:tcPr>
          <w:p>
            <w:r/>
            <w:r>
              <w:rPr>
                <w:sz w:val="18"/>
              </w:rPr>
              <w:t>Accueil, vestiaires, sanitaires, terrassement</w:t>
            </w:r>
          </w:p>
        </w:tc>
        <w:tc>
          <w:tcPr>
            <w:tcW w:type="dxa" w:w="2880"/>
          </w:tcPr>
          <w:p>
            <w:pPr>
              <w:jc w:val="right"/>
            </w:pPr>
            <w:r/>
            <w:r>
              <w:rPr>
                <w:sz w:val="18"/>
              </w:rPr>
              <w:t>110 000</w:t>
            </w:r>
          </w:p>
        </w:tc>
        <w:tc>
          <w:tcPr>
            <w:tcW w:type="dxa" w:w="2880"/>
          </w:tcPr>
          <w:p>
            <w:r/>
            <w:r>
              <w:rPr>
                <w:sz w:val="18"/>
              </w:rPr>
              <w:t>Oui</w:t>
            </w:r>
          </w:p>
        </w:tc>
      </w:tr>
      <w:tr>
        <w:tc>
          <w:tcPr>
            <w:tcW w:type="dxa" w:w="2880"/>
          </w:tcPr>
          <w:p>
            <w:r/>
            <w:r>
              <w:rPr>
                <w:sz w:val="18"/>
              </w:rPr>
              <w:t>Puits + équipement hydraulique</w:t>
            </w:r>
          </w:p>
        </w:tc>
        <w:tc>
          <w:tcPr>
            <w:tcW w:type="dxa" w:w="2880"/>
          </w:tcPr>
          <w:p>
            <w:pPr>
              <w:jc w:val="right"/>
            </w:pPr>
            <w:r/>
            <w:r>
              <w:rPr>
                <w:sz w:val="18"/>
              </w:rPr>
              <w:t>100 000</w:t>
            </w:r>
          </w:p>
        </w:tc>
        <w:tc>
          <w:tcPr>
            <w:tcW w:type="dxa" w:w="2880"/>
          </w:tcPr>
          <w:p>
            <w:r/>
            <w:r>
              <w:rPr>
                <w:sz w:val="18"/>
              </w:rPr>
              <w:t>Oui</w:t>
            </w:r>
          </w:p>
        </w:tc>
      </w:tr>
      <w:tr>
        <w:tc>
          <w:tcPr>
            <w:tcW w:type="dxa" w:w="2880"/>
          </w:tcPr>
          <w:p>
            <w:r/>
            <w:r>
              <w:rPr>
                <w:sz w:val="18"/>
              </w:rPr>
              <w:t>Frais préliminaires</w:t>
            </w:r>
          </w:p>
        </w:tc>
        <w:tc>
          <w:tcPr>
            <w:tcW w:type="dxa" w:w="2880"/>
          </w:tcPr>
          <w:p>
            <w:pPr>
              <w:jc w:val="right"/>
            </w:pPr>
            <w:r/>
            <w:r>
              <w:rPr>
                <w:sz w:val="18"/>
              </w:rPr>
              <w:t>38 000</w:t>
            </w:r>
          </w:p>
        </w:tc>
        <w:tc>
          <w:tcPr>
            <w:tcW w:type="dxa" w:w="2880"/>
          </w:tcPr>
          <w:p>
            <w:r/>
            <w:r>
              <w:rPr>
                <w:sz w:val="18"/>
              </w:rPr>
              <w:t>Oui</w:t>
            </w:r>
          </w:p>
        </w:tc>
      </w:tr>
      <w:tr>
        <w:tc>
          <w:tcPr>
            <w:tcW w:type="dxa" w:w="2880"/>
          </w:tcPr>
          <w:p>
            <w:r/>
            <w:r>
              <w:rPr>
                <w:sz w:val="18"/>
              </w:rPr>
              <w:t>Divers et imprévus</w:t>
            </w:r>
          </w:p>
        </w:tc>
        <w:tc>
          <w:tcPr>
            <w:tcW w:type="dxa" w:w="2880"/>
          </w:tcPr>
          <w:p>
            <w:pPr>
              <w:jc w:val="right"/>
            </w:pPr>
            <w:r/>
            <w:r>
              <w:rPr>
                <w:sz w:val="18"/>
              </w:rPr>
              <w:t>10 000</w:t>
            </w:r>
          </w:p>
        </w:tc>
        <w:tc>
          <w:tcPr>
            <w:tcW w:type="dxa" w:w="2880"/>
          </w:tcPr>
          <w:p>
            <w:r/>
            <w:r>
              <w:rPr>
                <w:sz w:val="18"/>
              </w:rPr>
              <w:t>Oui</w:t>
            </w:r>
          </w:p>
        </w:tc>
      </w:tr>
      <w:tr>
        <w:tc>
          <w:tcPr>
            <w:tcW w:type="dxa" w:w="2880"/>
          </w:tcPr>
          <w:p>
            <w:r/>
            <w:r>
              <w:rPr>
                <w:sz w:val="18"/>
              </w:rPr>
              <w:t>Sous-total programme primable</w:t>
            </w:r>
          </w:p>
        </w:tc>
        <w:tc>
          <w:tcPr>
            <w:tcW w:type="dxa" w:w="2880"/>
          </w:tcPr>
          <w:p>
            <w:pPr>
              <w:jc w:val="right"/>
            </w:pPr>
            <w:r/>
            <w:r>
              <w:rPr>
                <w:sz w:val="18"/>
              </w:rPr>
              <w:t>971 000</w:t>
            </w:r>
          </w:p>
        </w:tc>
        <w:tc>
          <w:tcPr>
            <w:tcW w:type="dxa" w:w="2880"/>
          </w:tcPr>
          <w:p>
            <w:r/>
            <w:r>
              <w:rPr>
                <w:sz w:val="18"/>
              </w:rPr>
            </w:r>
          </w:p>
        </w:tc>
      </w:tr>
      <w:tr>
        <w:tc>
          <w:tcPr>
            <w:tcW w:type="dxa" w:w="2880"/>
          </w:tcPr>
          <w:p>
            <w:r/>
            <w:r>
              <w:rPr>
                <w:sz w:val="18"/>
              </w:rPr>
              <w:t>Piscine (agrément, hors primable)</w:t>
            </w:r>
          </w:p>
        </w:tc>
        <w:tc>
          <w:tcPr>
            <w:tcW w:type="dxa" w:w="2880"/>
          </w:tcPr>
          <w:p>
            <w:pPr>
              <w:jc w:val="right"/>
            </w:pPr>
            <w:r/>
            <w:r>
              <w:rPr>
                <w:sz w:val="18"/>
              </w:rPr>
              <w:t>100 000</w:t>
            </w:r>
          </w:p>
        </w:tc>
        <w:tc>
          <w:tcPr>
            <w:tcW w:type="dxa" w:w="2880"/>
          </w:tcPr>
          <w:p>
            <w:r/>
            <w:r>
              <w:rPr>
                <w:sz w:val="18"/>
              </w:rPr>
              <w:t>Non</w:t>
            </w:r>
          </w:p>
        </w:tc>
      </w:tr>
      <w:tr>
        <w:tc>
          <w:tcPr>
            <w:tcW w:type="dxa" w:w="2880"/>
          </w:tcPr>
          <w:p>
            <w:r/>
            <w:r>
              <w:rPr>
                <w:sz w:val="18"/>
              </w:rPr>
              <w:t>Fonds de roulement</w:t>
            </w:r>
          </w:p>
        </w:tc>
        <w:tc>
          <w:tcPr>
            <w:tcW w:type="dxa" w:w="2880"/>
          </w:tcPr>
          <w:p>
            <w:pPr>
              <w:jc w:val="right"/>
            </w:pPr>
            <w:r/>
            <w:r>
              <w:rPr>
                <w:sz w:val="18"/>
              </w:rPr>
              <w:t>20 000</w:t>
            </w:r>
          </w:p>
        </w:tc>
        <w:tc>
          <w:tcPr>
            <w:tcW w:type="dxa" w:w="2880"/>
          </w:tcPr>
          <w:p>
            <w:r/>
            <w:r>
              <w:rPr>
                <w:sz w:val="18"/>
              </w:rPr>
              <w:t>Non</w:t>
            </w:r>
          </w:p>
        </w:tc>
      </w:tr>
      <w:tr>
        <w:tc>
          <w:tcPr>
            <w:tcW w:type="dxa" w:w="2880"/>
          </w:tcPr>
          <w:p>
            <w:r/>
            <w:r>
              <w:rPr>
                <w:sz w:val="18"/>
              </w:rPr>
              <w:t>TOTAL PROJET</w:t>
            </w:r>
          </w:p>
        </w:tc>
        <w:tc>
          <w:tcPr>
            <w:tcW w:type="dxa" w:w="2880"/>
          </w:tcPr>
          <w:p>
            <w:pPr>
              <w:jc w:val="right"/>
            </w:pPr>
            <w:r/>
            <w:r>
              <w:rPr>
                <w:sz w:val="18"/>
              </w:rPr>
              <w:t>1 091 000</w:t>
            </w:r>
          </w:p>
        </w:tc>
        <w:tc>
          <w:tcPr>
            <w:tcW w:type="dxa" w:w="2880"/>
          </w:tcPr>
          <w:p>
            <w:r/>
            <w:r>
              <w:rPr>
                <w:sz w:val="18"/>
              </w:rPr>
            </w:r>
          </w:p>
        </w:tc>
      </w:tr>
    </w:tbl>
    <w:p>
      <w:r>
        <w:rPr>
          <w:b/>
          <w:color w:val="C8A440"/>
          <w:sz w:val="24"/>
        </w:rPr>
        <w:t>Ressources / financement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Source</w:t>
            </w:r>
          </w:p>
        </w:tc>
        <w:tc>
          <w:tcPr>
            <w:tcW w:type="dxa" w:w="2880"/>
          </w:tcPr>
          <w:p>
            <w:r/>
            <w:r>
              <w:rPr>
                <w:b/>
                <w:sz w:val="18"/>
              </w:rPr>
              <w:t>Montant</w:t>
            </w:r>
          </w:p>
        </w:tc>
        <w:tc>
          <w:tcPr>
            <w:tcW w:type="dxa" w:w="2880"/>
          </w:tcPr>
          <w:p>
            <w:r/>
            <w:r>
              <w:rPr>
                <w:b/>
                <w:sz w:val="18"/>
              </w:rPr>
              <w:t>%</w:t>
            </w:r>
          </w:p>
        </w:tc>
      </w:tr>
      <w:tr>
        <w:tc>
          <w:tcPr>
            <w:tcW w:type="dxa" w:w="2880"/>
          </w:tcPr>
          <w:p>
            <w:r/>
            <w:r>
              <w:rPr>
                <w:sz w:val="18"/>
              </w:rPr>
              <w:t>Prime GO SIYAHA (35 % du primable)</w:t>
            </w:r>
          </w:p>
        </w:tc>
        <w:tc>
          <w:tcPr>
            <w:tcW w:type="dxa" w:w="2880"/>
          </w:tcPr>
          <w:p>
            <w:pPr>
              <w:jc w:val="right"/>
            </w:pPr>
            <w:r/>
            <w:r>
              <w:rPr>
                <w:sz w:val="18"/>
              </w:rPr>
              <w:t>339 850</w:t>
            </w:r>
          </w:p>
        </w:tc>
        <w:tc>
          <w:tcPr>
            <w:tcW w:type="dxa" w:w="2880"/>
          </w:tcPr>
          <w:p>
            <w:pPr>
              <w:jc w:val="right"/>
            </w:pPr>
            <w:r/>
            <w:r>
              <w:rPr>
                <w:sz w:val="18"/>
              </w:rPr>
              <w:t>31,1 %</w:t>
            </w:r>
          </w:p>
        </w:tc>
      </w:tr>
      <w:tr>
        <w:tc>
          <w:tcPr>
            <w:tcW w:type="dxa" w:w="2880"/>
          </w:tcPr>
          <w:p>
            <w:r/>
            <w:r>
              <w:rPr>
                <w:sz w:val="18"/>
              </w:rPr>
              <w:t>CMT bancaire — Al Barid Bank (50 % du primable)</w:t>
            </w:r>
          </w:p>
        </w:tc>
        <w:tc>
          <w:tcPr>
            <w:tcW w:type="dxa" w:w="2880"/>
          </w:tcPr>
          <w:p>
            <w:pPr>
              <w:jc w:val="right"/>
            </w:pPr>
            <w:r/>
            <w:r>
              <w:rPr>
                <w:sz w:val="18"/>
              </w:rPr>
              <w:t>485 500</w:t>
            </w:r>
          </w:p>
        </w:tc>
        <w:tc>
          <w:tcPr>
            <w:tcW w:type="dxa" w:w="2880"/>
          </w:tcPr>
          <w:p>
            <w:pPr>
              <w:jc w:val="right"/>
            </w:pPr>
            <w:r/>
            <w:r>
              <w:rPr>
                <w:sz w:val="18"/>
              </w:rPr>
              <w:t>44,5 %</w:t>
            </w:r>
          </w:p>
        </w:tc>
      </w:tr>
      <w:tr>
        <w:tc>
          <w:tcPr>
            <w:tcW w:type="dxa" w:w="2880"/>
          </w:tcPr>
          <w:p>
            <w:r/>
            <w:r>
              <w:rPr>
                <w:sz w:val="18"/>
              </w:rPr>
              <w:t>Apport fonds propres / comptes courants d’associés</w:t>
            </w:r>
          </w:p>
        </w:tc>
        <w:tc>
          <w:tcPr>
            <w:tcW w:type="dxa" w:w="2880"/>
          </w:tcPr>
          <w:p>
            <w:pPr>
              <w:jc w:val="right"/>
            </w:pPr>
            <w:r/>
            <w:r>
              <w:rPr>
                <w:sz w:val="18"/>
              </w:rPr>
              <w:t>265 650</w:t>
            </w:r>
          </w:p>
        </w:tc>
        <w:tc>
          <w:tcPr>
            <w:tcW w:type="dxa" w:w="2880"/>
          </w:tcPr>
          <w:p>
            <w:pPr>
              <w:jc w:val="right"/>
            </w:pPr>
            <w:r/>
            <w:r>
              <w:rPr>
                <w:sz w:val="18"/>
              </w:rPr>
              <w:t>24,4 %</w:t>
            </w:r>
          </w:p>
        </w:tc>
      </w:tr>
      <w:tr>
        <w:tc>
          <w:tcPr>
            <w:tcW w:type="dxa" w:w="2880"/>
          </w:tcPr>
          <w:p>
            <w:r/>
            <w:r>
              <w:rPr>
                <w:sz w:val="18"/>
              </w:rPr>
              <w:t>Total financement</w:t>
            </w:r>
          </w:p>
        </w:tc>
        <w:tc>
          <w:tcPr>
            <w:tcW w:type="dxa" w:w="2880"/>
          </w:tcPr>
          <w:p>
            <w:pPr>
              <w:jc w:val="right"/>
            </w:pPr>
            <w:r/>
            <w:r>
              <w:rPr>
                <w:sz w:val="18"/>
              </w:rPr>
              <w:t>1 091 000</w:t>
            </w:r>
          </w:p>
        </w:tc>
        <w:tc>
          <w:tcPr>
            <w:tcW w:type="dxa" w:w="2880"/>
          </w:tcPr>
          <w:p>
            <w:pPr>
              <w:jc w:val="right"/>
            </w:pPr>
            <w:r/>
            <w:r>
              <w:rPr>
                <w:sz w:val="18"/>
              </w:rPr>
              <w:t>100 %</w:t>
            </w:r>
          </w:p>
        </w:tc>
      </w:tr>
    </w:tbl>
    <w:p>
      <w:r>
        <w:rPr>
          <w:sz w:val="21"/>
        </w:rPr>
        <w:t>Plafonds respectés : constructions (bâtiment) ≤ 20 % du projet ; frais préliminaires + divers ≤ 5 % du projet ; CMT ≤ 50 % du programme primable ; apport ≥ 15 %.</w:t>
      </w:r>
    </w:p>
    <w:p>
      <w:pPr>
        <w:spacing w:before="240" w:after="100"/>
      </w:pPr>
      <w:r>
        <w:rPr>
          <w:b/>
          <w:color w:val="1B3A28"/>
          <w:sz w:val="30"/>
        </w:rPr>
        <w:t>12. Hypothèses commerciales &amp; prévisionnel financier consolidé</w:t>
      </w:r>
    </w:p>
    <w:p>
      <w:r>
        <w:rPr>
          <w:b/>
          <w:color w:val="C8A440"/>
          <w:sz w:val="24"/>
        </w:rPr>
        <w:t>Politique des prix et capacités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Activité</w:t>
            </w:r>
          </w:p>
        </w:tc>
        <w:tc>
          <w:tcPr>
            <w:tcW w:type="dxa" w:w="1728"/>
          </w:tcPr>
          <w:p>
            <w:r/>
            <w:r>
              <w:rPr>
                <w:b/>
                <w:sz w:val="18"/>
              </w:rPr>
              <w:t>Capacité</w:t>
            </w:r>
          </w:p>
        </w:tc>
        <w:tc>
          <w:tcPr>
            <w:tcW w:type="dxa" w:w="1728"/>
          </w:tcPr>
          <w:p>
            <w:r/>
            <w:r>
              <w:rPr>
                <w:b/>
                <w:sz w:val="18"/>
              </w:rPr>
              <w:t>Durée cycle</w:t>
            </w:r>
          </w:p>
        </w:tc>
        <w:tc>
          <w:tcPr>
            <w:tcW w:type="dxa" w:w="1728"/>
          </w:tcPr>
          <w:p>
            <w:r/>
            <w:r>
              <w:rPr>
                <w:b/>
                <w:sz w:val="18"/>
              </w:rPr>
              <w:t>Prix moyen pondéré</w:t>
            </w:r>
          </w:p>
        </w:tc>
        <w:tc>
          <w:tcPr>
            <w:tcW w:type="dxa" w:w="1728"/>
          </w:tcPr>
          <w:p>
            <w:r/>
            <w:r>
              <w:rPr>
                <w:b/>
                <w:sz w:val="18"/>
              </w:rPr>
              <w:t>Taux d’occupation</w:t>
            </w:r>
          </w:p>
        </w:tc>
      </w:tr>
      <w:tr>
        <w:tc>
          <w:tcPr>
            <w:tcW w:type="dxa" w:w="1728"/>
          </w:tcPr>
          <w:p>
            <w:r/>
            <w:r>
              <w:rPr>
                <w:sz w:val="18"/>
              </w:rPr>
              <w:t>E-bike / Fatbike</w:t>
            </w:r>
          </w:p>
        </w:tc>
        <w:tc>
          <w:tcPr>
            <w:tcW w:type="dxa" w:w="1728"/>
          </w:tcPr>
          <w:p>
            <w:r/>
            <w:r>
              <w:rPr>
                <w:sz w:val="18"/>
              </w:rPr>
              <w:t>10 vélos</w:t>
            </w:r>
          </w:p>
        </w:tc>
        <w:tc>
          <w:tcPr>
            <w:tcW w:type="dxa" w:w="1728"/>
          </w:tcPr>
          <w:p>
            <w:r/>
            <w:r>
              <w:rPr>
                <w:sz w:val="18"/>
              </w:rPr>
              <w:t>~2 h</w:t>
            </w:r>
          </w:p>
        </w:tc>
        <w:tc>
          <w:tcPr>
            <w:tcW w:type="dxa" w:w="1728"/>
          </w:tcPr>
          <w:p>
            <w:r/>
            <w:r>
              <w:rPr>
                <w:sz w:val="18"/>
              </w:rPr>
              <w:t>430 DH</w:t>
            </w:r>
          </w:p>
        </w:tc>
        <w:tc>
          <w:tcPr>
            <w:tcW w:type="dxa" w:w="1728"/>
          </w:tcPr>
          <w:p>
            <w:r/>
            <w:r>
              <w:rPr>
                <w:sz w:val="18"/>
              </w:rPr>
              <w:t>18 % (2027) → 38 % (2031)</w:t>
            </w:r>
          </w:p>
        </w:tc>
      </w:tr>
      <w:tr>
        <w:tc>
          <w:tcPr>
            <w:tcW w:type="dxa" w:w="1728"/>
          </w:tcPr>
          <w:p>
            <w:r/>
            <w:r>
              <w:rPr>
                <w:sz w:val="18"/>
              </w:rPr>
              <w:t>Paintball</w:t>
            </w:r>
          </w:p>
        </w:tc>
        <w:tc>
          <w:tcPr>
            <w:tcW w:type="dxa" w:w="1728"/>
          </w:tcPr>
          <w:p>
            <w:r/>
            <w:r>
              <w:rPr>
                <w:sz w:val="18"/>
              </w:rPr>
              <w:t>20 joueurs</w:t>
            </w:r>
          </w:p>
        </w:tc>
        <w:tc>
          <w:tcPr>
            <w:tcW w:type="dxa" w:w="1728"/>
          </w:tcPr>
          <w:p>
            <w:r/>
            <w:r>
              <w:rPr>
                <w:sz w:val="18"/>
              </w:rPr>
              <w:t>~2 h</w:t>
            </w:r>
          </w:p>
        </w:tc>
        <w:tc>
          <w:tcPr>
            <w:tcW w:type="dxa" w:w="1728"/>
          </w:tcPr>
          <w:p>
            <w:r/>
            <w:r>
              <w:rPr>
                <w:sz w:val="18"/>
              </w:rPr>
              <w:t>267 DH</w:t>
            </w:r>
          </w:p>
        </w:tc>
        <w:tc>
          <w:tcPr>
            <w:tcW w:type="dxa" w:w="1728"/>
          </w:tcPr>
          <w:p>
            <w:r/>
            <w:r>
              <w:rPr>
                <w:sz w:val="18"/>
              </w:rPr>
              <w:t>18 % → 38 %</w:t>
            </w:r>
          </w:p>
        </w:tc>
      </w:tr>
      <w:tr>
        <w:tc>
          <w:tcPr>
            <w:tcW w:type="dxa" w:w="1728"/>
          </w:tcPr>
          <w:p>
            <w:r/>
            <w:r>
              <w:rPr>
                <w:sz w:val="18"/>
              </w:rPr>
              <w:t>Ateliers cuisine</w:t>
            </w:r>
          </w:p>
        </w:tc>
        <w:tc>
          <w:tcPr>
            <w:tcW w:type="dxa" w:w="1728"/>
          </w:tcPr>
          <w:p>
            <w:r/>
            <w:r>
              <w:rPr>
                <w:sz w:val="18"/>
              </w:rPr>
              <w:t>15 places</w:t>
            </w:r>
          </w:p>
        </w:tc>
        <w:tc>
          <w:tcPr>
            <w:tcW w:type="dxa" w:w="1728"/>
          </w:tcPr>
          <w:p>
            <w:r/>
            <w:r>
              <w:rPr>
                <w:sz w:val="18"/>
              </w:rPr>
              <w:t>~3 h</w:t>
            </w:r>
          </w:p>
        </w:tc>
        <w:tc>
          <w:tcPr>
            <w:tcW w:type="dxa" w:w="1728"/>
          </w:tcPr>
          <w:p>
            <w:r/>
            <w:r>
              <w:rPr>
                <w:sz w:val="18"/>
              </w:rPr>
              <w:t>470 DH</w:t>
            </w:r>
          </w:p>
        </w:tc>
        <w:tc>
          <w:tcPr>
            <w:tcW w:type="dxa" w:w="1728"/>
          </w:tcPr>
          <w:p>
            <w:r/>
            <w:r>
              <w:rPr>
                <w:sz w:val="18"/>
              </w:rPr>
              <w:t>18 % → 38 %</w:t>
            </w:r>
          </w:p>
        </w:tc>
      </w:tr>
    </w:tbl>
    <w:p>
      <w:r>
        <w:rPr>
          <w:sz w:val="21"/>
        </w:rPr>
        <w:t>Le démarrage en juin 2027 implique un prorata de 7 mois sur la première année. La stratégie tarifaire intègre une saisonnalité estivale (juin-septembre) avec des prix majorés de 7 % à 10 %.</w:t>
      </w:r>
    </w:p>
    <w:p>
      <w:r>
        <w:rPr>
          <w:b/>
          <w:color w:val="C8A440"/>
          <w:sz w:val="24"/>
        </w:rPr>
        <w:t>Chiffre d’affaires prévisionnel (KDH)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Activité</w:t>
            </w:r>
          </w:p>
        </w:tc>
        <w:tc>
          <w:tcPr>
            <w:tcW w:type="dxa" w:w="1234"/>
          </w:tcPr>
          <w:p>
            <w:r/>
            <w:r>
              <w:rPr>
                <w:b/>
                <w:sz w:val="18"/>
              </w:rPr>
              <w:t>2026</w:t>
            </w:r>
          </w:p>
        </w:tc>
        <w:tc>
          <w:tcPr>
            <w:tcW w:type="dxa" w:w="1234"/>
          </w:tcPr>
          <w:p>
            <w:r/>
            <w:r>
              <w:rPr>
                <w:b/>
                <w:sz w:val="18"/>
              </w:rPr>
              <w:t>2027</w:t>
            </w:r>
          </w:p>
        </w:tc>
        <w:tc>
          <w:tcPr>
            <w:tcW w:type="dxa" w:w="1234"/>
          </w:tcPr>
          <w:p>
            <w:r/>
            <w:r>
              <w:rPr>
                <w:b/>
                <w:sz w:val="18"/>
              </w:rPr>
              <w:t>2028</w:t>
            </w:r>
          </w:p>
        </w:tc>
        <w:tc>
          <w:tcPr>
            <w:tcW w:type="dxa" w:w="1234"/>
          </w:tcPr>
          <w:p>
            <w:r/>
            <w:r>
              <w:rPr>
                <w:b/>
                <w:sz w:val="18"/>
              </w:rPr>
              <w:t>2029</w:t>
            </w:r>
          </w:p>
        </w:tc>
        <w:tc>
          <w:tcPr>
            <w:tcW w:type="dxa" w:w="1234"/>
          </w:tcPr>
          <w:p>
            <w:r/>
            <w:r>
              <w:rPr>
                <w:b/>
                <w:sz w:val="18"/>
              </w:rPr>
              <w:t>2030</w:t>
            </w:r>
          </w:p>
        </w:tc>
        <w:tc>
          <w:tcPr>
            <w:tcW w:type="dxa" w:w="1234"/>
          </w:tcPr>
          <w:p>
            <w:r/>
            <w:r>
              <w:rPr>
                <w:b/>
                <w:sz w:val="18"/>
              </w:rPr>
              <w:t>2031</w:t>
            </w:r>
          </w:p>
        </w:tc>
      </w:tr>
      <w:tr>
        <w:tc>
          <w:tcPr>
            <w:tcW w:type="dxa" w:w="1234"/>
          </w:tcPr>
          <w:p>
            <w:r/>
            <w:r>
              <w:rPr>
                <w:sz w:val="18"/>
              </w:rPr>
              <w:t>E-bike / Fatbike</w:t>
            </w:r>
          </w:p>
        </w:tc>
        <w:tc>
          <w:tcPr>
            <w:tcW w:type="dxa" w:w="1234"/>
          </w:tcPr>
          <w:p>
            <w:pPr>
              <w:jc w:val="right"/>
            </w:pPr>
            <w:r/>
            <w:r>
              <w:rPr>
                <w:sz w:val="18"/>
              </w:rPr>
              <w:t>0</w:t>
            </w:r>
          </w:p>
        </w:tc>
        <w:tc>
          <w:tcPr>
            <w:tcW w:type="dxa" w:w="1234"/>
          </w:tcPr>
          <w:p>
            <w:pPr>
              <w:jc w:val="right"/>
            </w:pPr>
            <w:r/>
            <w:r>
              <w:rPr>
                <w:sz w:val="18"/>
              </w:rPr>
              <w:t>135</w:t>
            </w:r>
          </w:p>
        </w:tc>
        <w:tc>
          <w:tcPr>
            <w:tcW w:type="dxa" w:w="1234"/>
          </w:tcPr>
          <w:p>
            <w:pPr>
              <w:jc w:val="right"/>
            </w:pPr>
            <w:r/>
            <w:r>
              <w:rPr>
                <w:sz w:val="18"/>
              </w:rPr>
              <w:t>366</w:t>
            </w:r>
          </w:p>
        </w:tc>
        <w:tc>
          <w:tcPr>
            <w:tcW w:type="dxa" w:w="1234"/>
          </w:tcPr>
          <w:p>
            <w:pPr>
              <w:jc w:val="right"/>
            </w:pPr>
            <w:r/>
            <w:r>
              <w:rPr>
                <w:sz w:val="18"/>
              </w:rPr>
              <w:t>445</w:t>
            </w:r>
          </w:p>
        </w:tc>
        <w:tc>
          <w:tcPr>
            <w:tcW w:type="dxa" w:w="1234"/>
          </w:tcPr>
          <w:p>
            <w:pPr>
              <w:jc w:val="right"/>
            </w:pPr>
            <w:r/>
            <w:r>
              <w:rPr>
                <w:sz w:val="18"/>
              </w:rPr>
              <w:t>525</w:t>
            </w:r>
          </w:p>
        </w:tc>
        <w:tc>
          <w:tcPr>
            <w:tcW w:type="dxa" w:w="1234"/>
          </w:tcPr>
          <w:p>
            <w:pPr>
              <w:jc w:val="right"/>
            </w:pPr>
            <w:r/>
            <w:r>
              <w:rPr>
                <w:sz w:val="18"/>
              </w:rPr>
              <w:t>604</w:t>
            </w:r>
          </w:p>
        </w:tc>
      </w:tr>
      <w:tr>
        <w:tc>
          <w:tcPr>
            <w:tcW w:type="dxa" w:w="1234"/>
          </w:tcPr>
          <w:p>
            <w:r/>
            <w:r>
              <w:rPr>
                <w:sz w:val="18"/>
              </w:rPr>
              <w:t>Paintball</w:t>
            </w:r>
          </w:p>
        </w:tc>
        <w:tc>
          <w:tcPr>
            <w:tcW w:type="dxa" w:w="1234"/>
          </w:tcPr>
          <w:p>
            <w:pPr>
              <w:jc w:val="right"/>
            </w:pPr>
            <w:r/>
            <w:r>
              <w:rPr>
                <w:sz w:val="18"/>
              </w:rPr>
              <w:t>0</w:t>
            </w:r>
          </w:p>
        </w:tc>
        <w:tc>
          <w:tcPr>
            <w:tcW w:type="dxa" w:w="1234"/>
          </w:tcPr>
          <w:p>
            <w:pPr>
              <w:jc w:val="right"/>
            </w:pPr>
            <w:r/>
            <w:r>
              <w:rPr>
                <w:sz w:val="18"/>
              </w:rPr>
              <w:t>168</w:t>
            </w:r>
          </w:p>
        </w:tc>
        <w:tc>
          <w:tcPr>
            <w:tcW w:type="dxa" w:w="1234"/>
          </w:tcPr>
          <w:p>
            <w:pPr>
              <w:jc w:val="right"/>
            </w:pPr>
            <w:r/>
            <w:r>
              <w:rPr>
                <w:sz w:val="18"/>
              </w:rPr>
              <w:t>400</w:t>
            </w:r>
          </w:p>
        </w:tc>
        <w:tc>
          <w:tcPr>
            <w:tcW w:type="dxa" w:w="1234"/>
          </w:tcPr>
          <w:p>
            <w:pPr>
              <w:jc w:val="right"/>
            </w:pPr>
            <w:r/>
            <w:r>
              <w:rPr>
                <w:sz w:val="18"/>
              </w:rPr>
              <w:t>487</w:t>
            </w:r>
          </w:p>
        </w:tc>
        <w:tc>
          <w:tcPr>
            <w:tcW w:type="dxa" w:w="1234"/>
          </w:tcPr>
          <w:p>
            <w:pPr>
              <w:jc w:val="right"/>
            </w:pPr>
            <w:r/>
            <w:r>
              <w:rPr>
                <w:sz w:val="18"/>
              </w:rPr>
              <w:t>574</w:t>
            </w:r>
          </w:p>
        </w:tc>
        <w:tc>
          <w:tcPr>
            <w:tcW w:type="dxa" w:w="1234"/>
          </w:tcPr>
          <w:p>
            <w:pPr>
              <w:jc w:val="right"/>
            </w:pPr>
            <w:r/>
            <w:r>
              <w:rPr>
                <w:sz w:val="18"/>
              </w:rPr>
              <w:t>661</w:t>
            </w:r>
          </w:p>
        </w:tc>
      </w:tr>
      <w:tr>
        <w:tc>
          <w:tcPr>
            <w:tcW w:type="dxa" w:w="1234"/>
          </w:tcPr>
          <w:p>
            <w:r/>
            <w:r>
              <w:rPr>
                <w:sz w:val="18"/>
              </w:rPr>
              <w:t>Ateliers cuisine</w:t>
            </w:r>
          </w:p>
        </w:tc>
        <w:tc>
          <w:tcPr>
            <w:tcW w:type="dxa" w:w="1234"/>
          </w:tcPr>
          <w:p>
            <w:pPr>
              <w:jc w:val="right"/>
            </w:pPr>
            <w:r/>
            <w:r>
              <w:rPr>
                <w:sz w:val="18"/>
              </w:rPr>
              <w:t>0</w:t>
            </w:r>
          </w:p>
        </w:tc>
        <w:tc>
          <w:tcPr>
            <w:tcW w:type="dxa" w:w="1234"/>
          </w:tcPr>
          <w:p>
            <w:pPr>
              <w:jc w:val="right"/>
            </w:pPr>
            <w:r/>
            <w:r>
              <w:rPr>
                <w:sz w:val="18"/>
              </w:rPr>
              <w:t>177</w:t>
            </w:r>
          </w:p>
        </w:tc>
        <w:tc>
          <w:tcPr>
            <w:tcW w:type="dxa" w:w="1234"/>
          </w:tcPr>
          <w:p>
            <w:pPr>
              <w:jc w:val="right"/>
            </w:pPr>
            <w:r/>
            <w:r>
              <w:rPr>
                <w:sz w:val="18"/>
              </w:rPr>
              <w:t>327</w:t>
            </w:r>
          </w:p>
        </w:tc>
        <w:tc>
          <w:tcPr>
            <w:tcW w:type="dxa" w:w="1234"/>
          </w:tcPr>
          <w:p>
            <w:pPr>
              <w:jc w:val="right"/>
            </w:pPr>
            <w:r/>
            <w:r>
              <w:rPr>
                <w:sz w:val="18"/>
              </w:rPr>
              <w:t>400</w:t>
            </w:r>
          </w:p>
        </w:tc>
        <w:tc>
          <w:tcPr>
            <w:tcW w:type="dxa" w:w="1234"/>
          </w:tcPr>
          <w:p>
            <w:pPr>
              <w:jc w:val="right"/>
            </w:pPr>
            <w:r/>
            <w:r>
              <w:rPr>
                <w:sz w:val="18"/>
              </w:rPr>
              <w:t>470</w:t>
            </w:r>
          </w:p>
        </w:tc>
        <w:tc>
          <w:tcPr>
            <w:tcW w:type="dxa" w:w="1234"/>
          </w:tcPr>
          <w:p>
            <w:pPr>
              <w:jc w:val="right"/>
            </w:pPr>
            <w:r/>
            <w:r>
              <w:rPr>
                <w:sz w:val="18"/>
              </w:rPr>
              <w:t>541</w:t>
            </w:r>
          </w:p>
        </w:tc>
      </w:tr>
      <w:tr>
        <w:tc>
          <w:tcPr>
            <w:tcW w:type="dxa" w:w="1234"/>
          </w:tcPr>
          <w:p>
            <w:r/>
            <w:r>
              <w:rPr>
                <w:sz w:val="18"/>
              </w:rPr>
              <w:t>CA Total</w:t>
            </w:r>
          </w:p>
        </w:tc>
        <w:tc>
          <w:tcPr>
            <w:tcW w:type="dxa" w:w="1234"/>
          </w:tcPr>
          <w:p>
            <w:pPr>
              <w:jc w:val="right"/>
            </w:pPr>
            <w:r/>
            <w:r>
              <w:rPr>
                <w:sz w:val="18"/>
              </w:rPr>
              <w:t>0</w:t>
            </w:r>
          </w:p>
        </w:tc>
        <w:tc>
          <w:tcPr>
            <w:tcW w:type="dxa" w:w="1234"/>
          </w:tcPr>
          <w:p>
            <w:pPr>
              <w:jc w:val="right"/>
            </w:pPr>
            <w:r/>
            <w:r>
              <w:rPr>
                <w:sz w:val="18"/>
              </w:rPr>
              <w:t>480</w:t>
            </w:r>
          </w:p>
        </w:tc>
        <w:tc>
          <w:tcPr>
            <w:tcW w:type="dxa" w:w="1234"/>
          </w:tcPr>
          <w:p>
            <w:pPr>
              <w:jc w:val="right"/>
            </w:pPr>
            <w:r/>
            <w:r>
              <w:rPr>
                <w:sz w:val="18"/>
              </w:rPr>
              <w:t>1 093</w:t>
            </w:r>
          </w:p>
        </w:tc>
        <w:tc>
          <w:tcPr>
            <w:tcW w:type="dxa" w:w="1234"/>
          </w:tcPr>
          <w:p>
            <w:pPr>
              <w:jc w:val="right"/>
            </w:pPr>
            <w:r/>
            <w:r>
              <w:rPr>
                <w:sz w:val="18"/>
              </w:rPr>
              <w:t>1 332</w:t>
            </w:r>
          </w:p>
        </w:tc>
        <w:tc>
          <w:tcPr>
            <w:tcW w:type="dxa" w:w="1234"/>
          </w:tcPr>
          <w:p>
            <w:pPr>
              <w:jc w:val="right"/>
            </w:pPr>
            <w:r/>
            <w:r>
              <w:rPr>
                <w:sz w:val="18"/>
              </w:rPr>
              <w:t>1 569</w:t>
            </w:r>
          </w:p>
        </w:tc>
        <w:tc>
          <w:tcPr>
            <w:tcW w:type="dxa" w:w="1234"/>
          </w:tcPr>
          <w:p>
            <w:pPr>
              <w:jc w:val="right"/>
            </w:pPr>
            <w:r/>
            <w:r>
              <w:rPr>
                <w:sz w:val="18"/>
              </w:rPr>
              <w:t>1 807</w:t>
            </w:r>
          </w:p>
        </w:tc>
      </w:tr>
    </w:tbl>
    <w:p>
      <w:r>
        <w:rPr>
          <w:b/>
          <w:color w:val="C8A440"/>
          <w:sz w:val="24"/>
        </w:rPr>
        <w:t>Compte de produits et charges prévisionnel (KDH)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Poste</w:t>
            </w:r>
          </w:p>
        </w:tc>
        <w:tc>
          <w:tcPr>
            <w:tcW w:type="dxa" w:w="1440"/>
          </w:tcPr>
          <w:p>
            <w:r/>
            <w:r>
              <w:rPr>
                <w:b/>
                <w:sz w:val="18"/>
              </w:rPr>
              <w:t>2027</w:t>
            </w:r>
          </w:p>
        </w:tc>
        <w:tc>
          <w:tcPr>
            <w:tcW w:type="dxa" w:w="1440"/>
          </w:tcPr>
          <w:p>
            <w:r/>
            <w:r>
              <w:rPr>
                <w:b/>
                <w:sz w:val="18"/>
              </w:rPr>
              <w:t>2028</w:t>
            </w:r>
          </w:p>
        </w:tc>
        <w:tc>
          <w:tcPr>
            <w:tcW w:type="dxa" w:w="1440"/>
          </w:tcPr>
          <w:p>
            <w:r/>
            <w:r>
              <w:rPr>
                <w:b/>
                <w:sz w:val="18"/>
              </w:rPr>
              <w:t>2029</w:t>
            </w:r>
          </w:p>
        </w:tc>
        <w:tc>
          <w:tcPr>
            <w:tcW w:type="dxa" w:w="1440"/>
          </w:tcPr>
          <w:p>
            <w:r/>
            <w:r>
              <w:rPr>
                <w:b/>
                <w:sz w:val="18"/>
              </w:rPr>
              <w:t>2030</w:t>
            </w:r>
          </w:p>
        </w:tc>
        <w:tc>
          <w:tcPr>
            <w:tcW w:type="dxa" w:w="1440"/>
          </w:tcPr>
          <w:p>
            <w:r/>
            <w:r>
              <w:rPr>
                <w:b/>
                <w:sz w:val="18"/>
              </w:rPr>
              <w:t>2031</w:t>
            </w:r>
          </w:p>
        </w:tc>
      </w:tr>
      <w:tr>
        <w:tc>
          <w:tcPr>
            <w:tcW w:type="dxa" w:w="1440"/>
          </w:tcPr>
          <w:p>
            <w:r/>
            <w:r>
              <w:rPr>
                <w:sz w:val="18"/>
              </w:rPr>
              <w:t>Chiffre d’affaires</w:t>
            </w:r>
          </w:p>
        </w:tc>
        <w:tc>
          <w:tcPr>
            <w:tcW w:type="dxa" w:w="1440"/>
          </w:tcPr>
          <w:p>
            <w:pPr>
              <w:jc w:val="right"/>
            </w:pPr>
            <w:r/>
            <w:r>
              <w:rPr>
                <w:sz w:val="18"/>
              </w:rPr>
              <w:t>480</w:t>
            </w:r>
          </w:p>
        </w:tc>
        <w:tc>
          <w:tcPr>
            <w:tcW w:type="dxa" w:w="1440"/>
          </w:tcPr>
          <w:p>
            <w:pPr>
              <w:jc w:val="right"/>
            </w:pPr>
            <w:r/>
            <w:r>
              <w:rPr>
                <w:sz w:val="18"/>
              </w:rPr>
              <w:t>1 093</w:t>
            </w:r>
          </w:p>
        </w:tc>
        <w:tc>
          <w:tcPr>
            <w:tcW w:type="dxa" w:w="1440"/>
          </w:tcPr>
          <w:p>
            <w:pPr>
              <w:jc w:val="right"/>
            </w:pPr>
            <w:r/>
            <w:r>
              <w:rPr>
                <w:sz w:val="18"/>
              </w:rPr>
              <w:t>1 332</w:t>
            </w:r>
          </w:p>
        </w:tc>
        <w:tc>
          <w:tcPr>
            <w:tcW w:type="dxa" w:w="1440"/>
          </w:tcPr>
          <w:p>
            <w:pPr>
              <w:jc w:val="right"/>
            </w:pPr>
            <w:r/>
            <w:r>
              <w:rPr>
                <w:sz w:val="18"/>
              </w:rPr>
              <w:t>1 569</w:t>
            </w:r>
          </w:p>
        </w:tc>
        <w:tc>
          <w:tcPr>
            <w:tcW w:type="dxa" w:w="1440"/>
          </w:tcPr>
          <w:p>
            <w:pPr>
              <w:jc w:val="right"/>
            </w:pPr>
            <w:r/>
            <w:r>
              <w:rPr>
                <w:sz w:val="18"/>
              </w:rPr>
              <w:t>1 807</w:t>
            </w:r>
          </w:p>
        </w:tc>
      </w:tr>
      <w:tr>
        <w:tc>
          <w:tcPr>
            <w:tcW w:type="dxa" w:w="1440"/>
          </w:tcPr>
          <w:p>
            <w:r/>
            <w:r>
              <w:rPr>
                <w:sz w:val="18"/>
              </w:rPr>
              <w:t>Charges directes</w:t>
            </w:r>
          </w:p>
        </w:tc>
        <w:tc>
          <w:tcPr>
            <w:tcW w:type="dxa" w:w="1440"/>
          </w:tcPr>
          <w:p>
            <w:pPr>
              <w:jc w:val="right"/>
            </w:pPr>
            <w:r/>
            <w:r>
              <w:rPr>
                <w:sz w:val="18"/>
              </w:rPr>
              <w:t>121</w:t>
            </w:r>
          </w:p>
        </w:tc>
        <w:tc>
          <w:tcPr>
            <w:tcW w:type="dxa" w:w="1440"/>
          </w:tcPr>
          <w:p>
            <w:pPr>
              <w:jc w:val="right"/>
            </w:pPr>
            <w:r/>
            <w:r>
              <w:rPr>
                <w:sz w:val="18"/>
              </w:rPr>
              <w:t>275</w:t>
            </w:r>
          </w:p>
        </w:tc>
        <w:tc>
          <w:tcPr>
            <w:tcW w:type="dxa" w:w="1440"/>
          </w:tcPr>
          <w:p>
            <w:pPr>
              <w:jc w:val="right"/>
            </w:pPr>
            <w:r/>
            <w:r>
              <w:rPr>
                <w:sz w:val="18"/>
              </w:rPr>
              <w:t>336</w:t>
            </w:r>
          </w:p>
        </w:tc>
        <w:tc>
          <w:tcPr>
            <w:tcW w:type="dxa" w:w="1440"/>
          </w:tcPr>
          <w:p>
            <w:pPr>
              <w:jc w:val="right"/>
            </w:pPr>
            <w:r/>
            <w:r>
              <w:rPr>
                <w:sz w:val="18"/>
              </w:rPr>
              <w:t>395</w:t>
            </w:r>
          </w:p>
        </w:tc>
        <w:tc>
          <w:tcPr>
            <w:tcW w:type="dxa" w:w="1440"/>
          </w:tcPr>
          <w:p>
            <w:pPr>
              <w:jc w:val="right"/>
            </w:pPr>
            <w:r/>
            <w:r>
              <w:rPr>
                <w:sz w:val="18"/>
              </w:rPr>
              <w:t>456</w:t>
            </w:r>
          </w:p>
        </w:tc>
      </w:tr>
      <w:tr>
        <w:tc>
          <w:tcPr>
            <w:tcW w:type="dxa" w:w="1440"/>
          </w:tcPr>
          <w:p>
            <w:r/>
            <w:r>
              <w:rPr>
                <w:sz w:val="18"/>
              </w:rPr>
              <w:t>Masse salariale</w:t>
            </w:r>
          </w:p>
        </w:tc>
        <w:tc>
          <w:tcPr>
            <w:tcW w:type="dxa" w:w="1440"/>
          </w:tcPr>
          <w:p>
            <w:pPr>
              <w:jc w:val="right"/>
            </w:pPr>
            <w:r/>
            <w:r>
              <w:rPr>
                <w:sz w:val="18"/>
              </w:rPr>
              <w:t>140</w:t>
            </w:r>
          </w:p>
        </w:tc>
        <w:tc>
          <w:tcPr>
            <w:tcW w:type="dxa" w:w="1440"/>
          </w:tcPr>
          <w:p>
            <w:pPr>
              <w:jc w:val="right"/>
            </w:pPr>
            <w:r/>
            <w:r>
              <w:rPr>
                <w:sz w:val="18"/>
              </w:rPr>
              <w:t>252</w:t>
            </w:r>
          </w:p>
        </w:tc>
        <w:tc>
          <w:tcPr>
            <w:tcW w:type="dxa" w:w="1440"/>
          </w:tcPr>
          <w:p>
            <w:pPr>
              <w:jc w:val="right"/>
            </w:pPr>
            <w:r/>
            <w:r>
              <w:rPr>
                <w:sz w:val="18"/>
              </w:rPr>
              <w:t>264</w:t>
            </w:r>
          </w:p>
        </w:tc>
        <w:tc>
          <w:tcPr>
            <w:tcW w:type="dxa" w:w="1440"/>
          </w:tcPr>
          <w:p>
            <w:pPr>
              <w:jc w:val="right"/>
            </w:pPr>
            <w:r/>
            <w:r>
              <w:rPr>
                <w:sz w:val="18"/>
              </w:rPr>
              <w:t>276</w:t>
            </w:r>
          </w:p>
        </w:tc>
        <w:tc>
          <w:tcPr>
            <w:tcW w:type="dxa" w:w="1440"/>
          </w:tcPr>
          <w:p>
            <w:pPr>
              <w:jc w:val="right"/>
            </w:pPr>
            <w:r/>
            <w:r>
              <w:rPr>
                <w:sz w:val="18"/>
              </w:rPr>
              <w:t>288</w:t>
            </w:r>
          </w:p>
        </w:tc>
      </w:tr>
      <w:tr>
        <w:tc>
          <w:tcPr>
            <w:tcW w:type="dxa" w:w="1440"/>
          </w:tcPr>
          <w:p>
            <w:r/>
            <w:r>
              <w:rPr>
                <w:sz w:val="18"/>
              </w:rPr>
              <w:t>Charges fixes d’exploitation</w:t>
            </w:r>
          </w:p>
        </w:tc>
        <w:tc>
          <w:tcPr>
            <w:tcW w:type="dxa" w:w="1440"/>
          </w:tcPr>
          <w:p>
            <w:pPr>
              <w:jc w:val="right"/>
            </w:pPr>
            <w:r/>
            <w:r>
              <w:rPr>
                <w:sz w:val="18"/>
              </w:rPr>
              <w:t>131</w:t>
            </w:r>
          </w:p>
        </w:tc>
        <w:tc>
          <w:tcPr>
            <w:tcW w:type="dxa" w:w="1440"/>
          </w:tcPr>
          <w:p>
            <w:pPr>
              <w:jc w:val="right"/>
            </w:pPr>
            <w:r/>
            <w:r>
              <w:rPr>
                <w:sz w:val="18"/>
              </w:rPr>
              <w:t>195</w:t>
            </w:r>
          </w:p>
        </w:tc>
        <w:tc>
          <w:tcPr>
            <w:tcW w:type="dxa" w:w="1440"/>
          </w:tcPr>
          <w:p>
            <w:pPr>
              <w:jc w:val="right"/>
            </w:pPr>
            <w:r/>
            <w:r>
              <w:rPr>
                <w:sz w:val="18"/>
              </w:rPr>
              <w:t>210</w:t>
            </w:r>
          </w:p>
        </w:tc>
        <w:tc>
          <w:tcPr>
            <w:tcW w:type="dxa" w:w="1440"/>
          </w:tcPr>
          <w:p>
            <w:pPr>
              <w:jc w:val="right"/>
            </w:pPr>
            <w:r/>
            <w:r>
              <w:rPr>
                <w:sz w:val="18"/>
              </w:rPr>
              <w:t>230</w:t>
            </w:r>
          </w:p>
        </w:tc>
        <w:tc>
          <w:tcPr>
            <w:tcW w:type="dxa" w:w="1440"/>
          </w:tcPr>
          <w:p>
            <w:pPr>
              <w:jc w:val="right"/>
            </w:pPr>
            <w:r/>
            <w:r>
              <w:rPr>
                <w:sz w:val="18"/>
              </w:rPr>
              <w:t>255</w:t>
            </w:r>
          </w:p>
        </w:tc>
      </w:tr>
      <w:tr>
        <w:tc>
          <w:tcPr>
            <w:tcW w:type="dxa" w:w="1440"/>
          </w:tcPr>
          <w:p>
            <w:r/>
            <w:r>
              <w:rPr>
                <w:sz w:val="18"/>
              </w:rPr>
              <w:t>Amortissements (12,5 %)</w:t>
            </w:r>
          </w:p>
        </w:tc>
        <w:tc>
          <w:tcPr>
            <w:tcW w:type="dxa" w:w="1440"/>
          </w:tcPr>
          <w:p>
            <w:pPr>
              <w:jc w:val="right"/>
            </w:pPr>
            <w:r/>
            <w:r>
              <w:rPr>
                <w:sz w:val="18"/>
              </w:rPr>
              <w:t>78</w:t>
            </w:r>
          </w:p>
        </w:tc>
        <w:tc>
          <w:tcPr>
            <w:tcW w:type="dxa" w:w="1440"/>
          </w:tcPr>
          <w:p>
            <w:pPr>
              <w:jc w:val="right"/>
            </w:pPr>
            <w:r/>
            <w:r>
              <w:rPr>
                <w:sz w:val="18"/>
              </w:rPr>
              <w:t>134</w:t>
            </w:r>
          </w:p>
        </w:tc>
        <w:tc>
          <w:tcPr>
            <w:tcW w:type="dxa" w:w="1440"/>
          </w:tcPr>
          <w:p>
            <w:pPr>
              <w:jc w:val="right"/>
            </w:pPr>
            <w:r/>
            <w:r>
              <w:rPr>
                <w:sz w:val="18"/>
              </w:rPr>
              <w:t>134</w:t>
            </w:r>
          </w:p>
        </w:tc>
        <w:tc>
          <w:tcPr>
            <w:tcW w:type="dxa" w:w="1440"/>
          </w:tcPr>
          <w:p>
            <w:pPr>
              <w:jc w:val="right"/>
            </w:pPr>
            <w:r/>
            <w:r>
              <w:rPr>
                <w:sz w:val="18"/>
              </w:rPr>
              <w:t>134</w:t>
            </w:r>
          </w:p>
        </w:tc>
        <w:tc>
          <w:tcPr>
            <w:tcW w:type="dxa" w:w="1440"/>
          </w:tcPr>
          <w:p>
            <w:pPr>
              <w:jc w:val="right"/>
            </w:pPr>
            <w:r/>
            <w:r>
              <w:rPr>
                <w:sz w:val="18"/>
              </w:rPr>
              <w:t>134</w:t>
            </w:r>
          </w:p>
        </w:tc>
      </w:tr>
      <w:tr>
        <w:tc>
          <w:tcPr>
            <w:tcW w:type="dxa" w:w="1440"/>
          </w:tcPr>
          <w:p>
            <w:r/>
            <w:r>
              <w:rPr>
                <w:sz w:val="18"/>
              </w:rPr>
              <w:t>Intérêts CMT (1,75 %)</w:t>
            </w:r>
          </w:p>
        </w:tc>
        <w:tc>
          <w:tcPr>
            <w:tcW w:type="dxa" w:w="1440"/>
          </w:tcPr>
          <w:p>
            <w:pPr>
              <w:jc w:val="right"/>
            </w:pPr>
            <w:r/>
            <w:r>
              <w:rPr>
                <w:sz w:val="18"/>
              </w:rPr>
              <w:t>5</w:t>
            </w:r>
          </w:p>
        </w:tc>
        <w:tc>
          <w:tcPr>
            <w:tcW w:type="dxa" w:w="1440"/>
          </w:tcPr>
          <w:p>
            <w:pPr>
              <w:jc w:val="right"/>
            </w:pPr>
            <w:r/>
            <w:r>
              <w:rPr>
                <w:sz w:val="18"/>
              </w:rPr>
              <w:t>8</w:t>
            </w:r>
          </w:p>
        </w:tc>
        <w:tc>
          <w:tcPr>
            <w:tcW w:type="dxa" w:w="1440"/>
          </w:tcPr>
          <w:p>
            <w:pPr>
              <w:jc w:val="right"/>
            </w:pPr>
            <w:r/>
            <w:r>
              <w:rPr>
                <w:sz w:val="18"/>
              </w:rPr>
              <w:t>7</w:t>
            </w:r>
          </w:p>
        </w:tc>
        <w:tc>
          <w:tcPr>
            <w:tcW w:type="dxa" w:w="1440"/>
          </w:tcPr>
          <w:p>
            <w:pPr>
              <w:jc w:val="right"/>
            </w:pPr>
            <w:r/>
            <w:r>
              <w:rPr>
                <w:sz w:val="18"/>
              </w:rPr>
              <w:t>6</w:t>
            </w:r>
          </w:p>
        </w:tc>
        <w:tc>
          <w:tcPr>
            <w:tcW w:type="dxa" w:w="1440"/>
          </w:tcPr>
          <w:p>
            <w:pPr>
              <w:jc w:val="right"/>
            </w:pPr>
            <w:r/>
            <w:r>
              <w:rPr>
                <w:sz w:val="18"/>
              </w:rPr>
              <w:t>4</w:t>
            </w:r>
          </w:p>
        </w:tc>
      </w:tr>
      <w:tr>
        <w:tc>
          <w:tcPr>
            <w:tcW w:type="dxa" w:w="1440"/>
          </w:tcPr>
          <w:p>
            <w:r/>
            <w:r>
              <w:rPr>
                <w:sz w:val="18"/>
              </w:rPr>
              <w:t>Résultat net</w:t>
            </w:r>
          </w:p>
        </w:tc>
        <w:tc>
          <w:tcPr>
            <w:tcW w:type="dxa" w:w="1440"/>
          </w:tcPr>
          <w:p>
            <w:pPr>
              <w:jc w:val="right"/>
            </w:pPr>
            <w:r/>
            <w:r>
              <w:rPr>
                <w:sz w:val="18"/>
              </w:rPr>
              <w:t>4</w:t>
            </w:r>
          </w:p>
        </w:tc>
        <w:tc>
          <w:tcPr>
            <w:tcW w:type="dxa" w:w="1440"/>
          </w:tcPr>
          <w:p>
            <w:pPr>
              <w:jc w:val="right"/>
            </w:pPr>
            <w:r/>
            <w:r>
              <w:rPr>
                <w:sz w:val="18"/>
              </w:rPr>
              <w:t>182</w:t>
            </w:r>
          </w:p>
        </w:tc>
        <w:tc>
          <w:tcPr>
            <w:tcW w:type="dxa" w:w="1440"/>
          </w:tcPr>
          <w:p>
            <w:pPr>
              <w:jc w:val="right"/>
            </w:pPr>
            <w:r/>
            <w:r>
              <w:rPr>
                <w:sz w:val="18"/>
              </w:rPr>
              <w:t>305</w:t>
            </w:r>
          </w:p>
        </w:tc>
        <w:tc>
          <w:tcPr>
            <w:tcW w:type="dxa" w:w="1440"/>
          </w:tcPr>
          <w:p>
            <w:pPr>
              <w:jc w:val="right"/>
            </w:pPr>
            <w:r/>
            <w:r>
              <w:rPr>
                <w:sz w:val="18"/>
              </w:rPr>
              <w:t>422</w:t>
            </w:r>
          </w:p>
        </w:tc>
        <w:tc>
          <w:tcPr>
            <w:tcW w:type="dxa" w:w="1440"/>
          </w:tcPr>
          <w:p>
            <w:pPr>
              <w:jc w:val="right"/>
            </w:pPr>
            <w:r/>
            <w:r>
              <w:rPr>
                <w:sz w:val="18"/>
              </w:rPr>
              <w:t>536</w:t>
            </w:r>
          </w:p>
        </w:tc>
      </w:tr>
      <w:tr>
        <w:tc>
          <w:tcPr>
            <w:tcW w:type="dxa" w:w="1440"/>
          </w:tcPr>
          <w:p>
            <w:r/>
            <w:r>
              <w:rPr>
                <w:sz w:val="18"/>
              </w:rPr>
              <w:t>CAF</w:t>
            </w:r>
          </w:p>
        </w:tc>
        <w:tc>
          <w:tcPr>
            <w:tcW w:type="dxa" w:w="1440"/>
          </w:tcPr>
          <w:p>
            <w:pPr>
              <w:jc w:val="right"/>
            </w:pPr>
            <w:r/>
            <w:r>
              <w:rPr>
                <w:sz w:val="18"/>
              </w:rPr>
              <w:t>82</w:t>
            </w:r>
          </w:p>
        </w:tc>
        <w:tc>
          <w:tcPr>
            <w:tcW w:type="dxa" w:w="1440"/>
          </w:tcPr>
          <w:p>
            <w:pPr>
              <w:jc w:val="right"/>
            </w:pPr>
            <w:r/>
            <w:r>
              <w:rPr>
                <w:sz w:val="18"/>
              </w:rPr>
              <w:t>316</w:t>
            </w:r>
          </w:p>
        </w:tc>
        <w:tc>
          <w:tcPr>
            <w:tcW w:type="dxa" w:w="1440"/>
          </w:tcPr>
          <w:p>
            <w:pPr>
              <w:jc w:val="right"/>
            </w:pPr>
            <w:r/>
            <w:r>
              <w:rPr>
                <w:sz w:val="18"/>
              </w:rPr>
              <w:t>439</w:t>
            </w:r>
          </w:p>
        </w:tc>
        <w:tc>
          <w:tcPr>
            <w:tcW w:type="dxa" w:w="1440"/>
          </w:tcPr>
          <w:p>
            <w:pPr>
              <w:jc w:val="right"/>
            </w:pPr>
            <w:r/>
            <w:r>
              <w:rPr>
                <w:sz w:val="18"/>
              </w:rPr>
              <w:t>556</w:t>
            </w:r>
          </w:p>
        </w:tc>
        <w:tc>
          <w:tcPr>
            <w:tcW w:type="dxa" w:w="1440"/>
          </w:tcPr>
          <w:p>
            <w:pPr>
              <w:jc w:val="right"/>
            </w:pPr>
            <w:r/>
            <w:r>
              <w:rPr>
                <w:sz w:val="18"/>
              </w:rPr>
              <w:t>670</w:t>
            </w:r>
          </w:p>
        </w:tc>
      </w:tr>
    </w:tbl>
    <w:p>
      <w:r>
        <w:rPr>
          <w:b/>
          <w:color w:val="C8A440"/>
          <w:sz w:val="24"/>
        </w:rPr>
        <w:t>Déblocage de la prime &amp; couverture</w:t>
      </w:r>
    </w:p>
    <w:p>
      <w:r>
        <w:rPr>
          <w:sz w:val="21"/>
        </w:rPr>
        <w:t>La prime (339 850 DH) est débloquée en 3 tranches : 20 % après 20 % de réalisation, 40 % après 60 %, 40 % après clôture et réalisation de l’objectif d’emploi. La CAF couvre largement le service de la dette dès la première année pleine d’exploitation.</w:t>
      </w:r>
    </w:p>
    <w:p>
      <w:pPr>
        <w:spacing w:before="240" w:after="100"/>
      </w:pPr>
      <w:r>
        <w:rPr>
          <w:b/>
          <w:color w:val="1B3A28"/>
          <w:sz w:val="30"/>
        </w:rPr>
        <w:t>13. Analyse des risques &amp; mesures de maîtrise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Risque identifié</w:t>
            </w:r>
          </w:p>
        </w:tc>
        <w:tc>
          <w:tcPr>
            <w:tcW w:type="dxa" w:w="4320"/>
          </w:tcPr>
          <w:p>
            <w:r/>
            <w:r>
              <w:rPr>
                <w:b/>
                <w:sz w:val="18"/>
              </w:rPr>
              <w:t>Mesure de maîtrise</w:t>
            </w:r>
          </w:p>
        </w:tc>
      </w:tr>
      <w:tr>
        <w:tc>
          <w:tcPr>
            <w:tcW w:type="dxa" w:w="4320"/>
          </w:tcPr>
          <w:p>
            <w:r/>
            <w:r>
              <w:rPr>
                <w:sz w:val="18"/>
              </w:rPr>
              <w:t>Saisonnalité et chaleur estivale</w:t>
            </w:r>
          </w:p>
        </w:tc>
        <w:tc>
          <w:tcPr>
            <w:tcW w:type="dxa" w:w="4320"/>
          </w:tcPr>
          <w:p>
            <w:r/>
            <w:r>
              <w:rPr>
                <w:sz w:val="18"/>
              </w:rPr>
              <w:t>Piscine + repas, formules journée, zones ombragées sous les oliviers.</w:t>
            </w:r>
          </w:p>
        </w:tc>
      </w:tr>
      <w:tr>
        <w:tc>
          <w:tcPr>
            <w:tcW w:type="dxa" w:w="4320"/>
          </w:tcPr>
          <w:p>
            <w:r/>
            <w:r>
              <w:rPr>
                <w:sz w:val="18"/>
              </w:rPr>
              <w:t>Démarrage commercial progressif</w:t>
            </w:r>
          </w:p>
        </w:tc>
        <w:tc>
          <w:tcPr>
            <w:tcW w:type="dxa" w:w="4320"/>
          </w:tcPr>
          <w:p>
            <w:r/>
            <w:r>
              <w:rPr>
                <w:sz w:val="18"/>
              </w:rPr>
              <w:t>Appui Voyages 21, Google Maps, réseaux sociaux, hôtels voisins, écoles, groupes privés et entreprises.</w:t>
            </w:r>
          </w:p>
        </w:tc>
      </w:tr>
      <w:tr>
        <w:tc>
          <w:tcPr>
            <w:tcW w:type="dxa" w:w="4320"/>
          </w:tcPr>
          <w:p>
            <w:r/>
            <w:r>
              <w:rPr>
                <w:sz w:val="18"/>
              </w:rPr>
              <w:t>Sécurité paintball</w:t>
            </w:r>
          </w:p>
        </w:tc>
        <w:tc>
          <w:tcPr>
            <w:tcW w:type="dxa" w:w="4320"/>
          </w:tcPr>
          <w:p>
            <w:r/>
            <w:r>
              <w:rPr>
                <w:sz w:val="18"/>
              </w:rPr>
              <w:t>Encadrement par arbitre, règles de jeu, protections obligatoires, zone sécurisée, briefing.</w:t>
            </w:r>
          </w:p>
        </w:tc>
      </w:tr>
      <w:tr>
        <w:tc>
          <w:tcPr>
            <w:tcW w:type="dxa" w:w="4320"/>
          </w:tcPr>
          <w:p>
            <w:r/>
            <w:r>
              <w:rPr>
                <w:sz w:val="18"/>
              </w:rPr>
              <w:t>Sécurité e-bike</w:t>
            </w:r>
          </w:p>
        </w:tc>
        <w:tc>
          <w:tcPr>
            <w:tcW w:type="dxa" w:w="4320"/>
          </w:tcPr>
          <w:p>
            <w:r/>
            <w:r>
              <w:rPr>
                <w:sz w:val="18"/>
              </w:rPr>
              <w:t>Casques, guide mécanicien, parcours adaptés, entretien régulier, balades dès 11 ans.</w:t>
            </w:r>
          </w:p>
        </w:tc>
      </w:tr>
      <w:tr>
        <w:tc>
          <w:tcPr>
            <w:tcW w:type="dxa" w:w="4320"/>
          </w:tcPr>
          <w:p>
            <w:r/>
            <w:r>
              <w:rPr>
                <w:sz w:val="18"/>
              </w:rPr>
              <w:t>Hygiène cuisine / restauration</w:t>
            </w:r>
          </w:p>
        </w:tc>
        <w:tc>
          <w:tcPr>
            <w:tcW w:type="dxa" w:w="4320"/>
          </w:tcPr>
          <w:p>
            <w:r/>
            <w:r>
              <w:rPr>
                <w:sz w:val="18"/>
              </w:rPr>
              <w:t>Chef et aide-cuisinier, procédures d’hygiène, stockage froid, nettoyage et contrôle des consommables.</w:t>
            </w:r>
          </w:p>
        </w:tc>
      </w:tr>
      <w:tr>
        <w:tc>
          <w:tcPr>
            <w:tcW w:type="dxa" w:w="4320"/>
          </w:tcPr>
          <w:p>
            <w:r/>
            <w:r>
              <w:rPr>
                <w:sz w:val="18"/>
              </w:rPr>
              <w:t>Gestion eau / énergie</w:t>
            </w:r>
          </w:p>
        </w:tc>
        <w:tc>
          <w:tcPr>
            <w:tcW w:type="dxa" w:w="4320"/>
          </w:tcPr>
          <w:p>
            <w:r/>
            <w:r>
              <w:rPr>
                <w:sz w:val="18"/>
              </w:rPr>
              <w:t>Puits, pompage, énergie solaire, suivi des consommations et limitation des charges.</w:t>
            </w:r>
          </w:p>
        </w:tc>
      </w:tr>
      <w:tr>
        <w:tc>
          <w:tcPr>
            <w:tcW w:type="dxa" w:w="4320"/>
          </w:tcPr>
          <w:p>
            <w:r/>
            <w:r>
              <w:rPr>
                <w:sz w:val="18"/>
              </w:rPr>
              <w:t>Trésorerie d’attente de la prime</w:t>
            </w:r>
          </w:p>
        </w:tc>
        <w:tc>
          <w:tcPr>
            <w:tcW w:type="dxa" w:w="4320"/>
          </w:tcPr>
          <w:p>
            <w:r/>
            <w:r>
              <w:rPr>
                <w:sz w:val="18"/>
              </w:rPr>
              <w:t>Comptes courants d’associés, échelonnement des paiements fournisseurs (crédit fournisseur).</w:t>
            </w:r>
          </w:p>
        </w:tc>
      </w:tr>
    </w:tbl>
    <w:p>
      <w:pPr>
        <w:spacing w:before="240" w:after="100"/>
      </w:pPr>
      <w:r>
        <w:rPr>
          <w:b/>
          <w:color w:val="1B3A28"/>
          <w:sz w:val="30"/>
        </w:rPr>
        <w:t>14. Synthèse &amp; conclusion</w:t>
      </w:r>
    </w:p>
    <w:p>
      <w:r>
        <w:rPr>
          <w:sz w:val="21"/>
        </w:rPr>
        <w:t>DA21 est un projet d’animation touristique intégré, conçu autour d’un site naturel existant de 1 hectare planté d’oliviers adultes, combinant loisirs, gastronomie, détente, terroir et activités de plein air. Le projet se distingue par une offre diversifiée — e-bike / Fatbike, paintball, ateliers cuisine — permettant de toucher familles, touristes, groupes privés, anniversaires, EVG/EVJF, entreprises, écoles et maisons d’hôtes.</w:t>
      </w:r>
    </w:p>
    <w:p>
      <w:r>
        <w:rPr>
          <w:sz w:val="21"/>
        </w:rPr>
        <w:t>Sur le plan financier, le projet repose sur un investissement global de 1 091 000 DH, financé par fonds propres / comptes courants d’associés, un CMT Al Barid Bank et la prime GO SIYAHA. Les hypothèses de fréquentation restent prudentes, notamment en début d’exploitation (démarrage juin 2027), et la capacité d’autofinancement permet d’honorer le service de la dette avec une marge de sécurité confortable.</w:t>
      </w:r>
    </w:p>
    <w:p>
      <w:r>
        <w:rPr>
          <w:sz w:val="21"/>
        </w:rPr>
        <w:t>DA21 présente ainsi un projet calibré, différencié et progressivement extensible, contribuant à l’enrichissement de l’offre d’animation touristique autour de Marrakech et d’Al Haouz, tout en valorisant un cadre agricole existant, les produits du terroir et les clientèles de proximité comme internationales.</w:t>
      </w:r>
    </w:p>
    <w:p>
      <w:pPr>
        <w:spacing w:before="240" w:after="100"/>
      </w:pPr>
      <w:r>
        <w:rPr>
          <w:b/>
          <w:color w:val="1B3A28"/>
          <w:sz w:val="30"/>
        </w:rPr>
        <w:t>15. Annexes — Pièces constitutives du dossier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Famille de documents</w:t>
            </w:r>
          </w:p>
        </w:tc>
        <w:tc>
          <w:tcPr>
            <w:tcW w:type="dxa" w:w="4320"/>
          </w:tcPr>
          <w:p>
            <w:r/>
            <w:r>
              <w:rPr>
                <w:b/>
                <w:sz w:val="18"/>
              </w:rPr>
              <w:t>Pièces</w:t>
            </w:r>
          </w:p>
        </w:tc>
      </w:tr>
      <w:tr>
        <w:tc>
          <w:tcPr>
            <w:tcW w:type="dxa" w:w="4320"/>
          </w:tcPr>
          <w:p>
            <w:r/>
            <w:r>
              <w:rPr>
                <w:sz w:val="18"/>
              </w:rPr>
              <w:t>Documents juridiques</w:t>
            </w:r>
          </w:p>
        </w:tc>
        <w:tc>
          <w:tcPr>
            <w:tcW w:type="dxa" w:w="4320"/>
          </w:tcPr>
          <w:p>
            <w:r/>
            <w:r>
              <w:rPr>
                <w:sz w:val="18"/>
              </w:rPr>
              <w:t>Statuts DA21 SARL AU, RC n° 182053, ICE 003934997000054, identifiant fiscal, CIN du promoteur (E436743).</w:t>
            </w:r>
          </w:p>
        </w:tc>
      </w:tr>
      <w:tr>
        <w:tc>
          <w:tcPr>
            <w:tcW w:type="dxa" w:w="4320"/>
          </w:tcPr>
          <w:p>
            <w:r/>
            <w:r>
              <w:rPr>
                <w:sz w:val="18"/>
              </w:rPr>
              <w:t>Foncier / site</w:t>
            </w:r>
          </w:p>
        </w:tc>
        <w:tc>
          <w:tcPr>
            <w:tcW w:type="dxa" w:w="4320"/>
          </w:tcPr>
          <w:p>
            <w:r/>
            <w:r>
              <w:rPr>
                <w:sz w:val="18"/>
              </w:rPr>
              <w:t>Contrat de bail du terrain, localisation du site (Douar Labdadz, Tamazouzite, Al Haouz).</w:t>
            </w:r>
          </w:p>
        </w:tc>
      </w:tr>
      <w:tr>
        <w:tc>
          <w:tcPr>
            <w:tcW w:type="dxa" w:w="4320"/>
          </w:tcPr>
          <w:p>
            <w:r/>
            <w:r>
              <w:rPr>
                <w:sz w:val="18"/>
              </w:rPr>
              <w:t>Autorisations</w:t>
            </w:r>
          </w:p>
        </w:tc>
        <w:tc>
          <w:tcPr>
            <w:tcW w:type="dxa" w:w="4320"/>
          </w:tcPr>
          <w:p>
            <w:r/>
            <w:r>
              <w:rPr>
                <w:sz w:val="18"/>
              </w:rPr>
              <w:t>Plans, dossiers administratifs et autorisation de construire en cours d’obtention.</w:t>
            </w:r>
          </w:p>
        </w:tc>
      </w:tr>
      <w:tr>
        <w:tc>
          <w:tcPr>
            <w:tcW w:type="dxa" w:w="4320"/>
          </w:tcPr>
          <w:p>
            <w:r/>
            <w:r>
              <w:rPr>
                <w:sz w:val="18"/>
              </w:rPr>
              <w:t>Investissement</w:t>
            </w:r>
          </w:p>
        </w:tc>
        <w:tc>
          <w:tcPr>
            <w:tcW w:type="dxa" w:w="4320"/>
          </w:tcPr>
          <w:p>
            <w:r/>
            <w:r>
              <w:rPr>
                <w:sz w:val="18"/>
              </w:rPr>
              <w:t>Devis pro forma e-bike, paintball, cuisine, tente, solaire, puits, aménagements, piscine.</w:t>
            </w:r>
          </w:p>
        </w:tc>
      </w:tr>
      <w:tr>
        <w:tc>
          <w:tcPr>
            <w:tcW w:type="dxa" w:w="4320"/>
          </w:tcPr>
          <w:p>
            <w:r/>
            <w:r>
              <w:rPr>
                <w:sz w:val="18"/>
              </w:rPr>
              <w:t>Financement</w:t>
            </w:r>
          </w:p>
        </w:tc>
        <w:tc>
          <w:tcPr>
            <w:tcW w:type="dxa" w:w="4320"/>
          </w:tcPr>
          <w:p>
            <w:r/>
            <w:r>
              <w:rPr>
                <w:sz w:val="18"/>
              </w:rPr>
              <w:t>Plan de financement, accord bancaire Al Barid Bank, éléments Go Siyaha.</w:t>
            </w:r>
          </w:p>
        </w:tc>
      </w:tr>
      <w:tr>
        <w:tc>
          <w:tcPr>
            <w:tcW w:type="dxa" w:w="4320"/>
          </w:tcPr>
          <w:p>
            <w:r/>
            <w:r>
              <w:rPr>
                <w:sz w:val="18"/>
              </w:rPr>
              <w:t>Commercial</w:t>
            </w:r>
          </w:p>
        </w:tc>
        <w:tc>
          <w:tcPr>
            <w:tcW w:type="dxa" w:w="4320"/>
          </w:tcPr>
          <w:p>
            <w:r/>
            <w:r>
              <w:rPr>
                <w:sz w:val="18"/>
              </w:rPr>
              <w:t>Présentation Voyages 21, stratégie de distribution, premières offres.</w:t>
            </w:r>
          </w:p>
        </w:tc>
      </w:tr>
      <w:tr>
        <w:tc>
          <w:tcPr>
            <w:tcW w:type="dxa" w:w="4320"/>
          </w:tcPr>
          <w:p>
            <w:r/>
            <w:r>
              <w:rPr>
                <w:sz w:val="18"/>
              </w:rPr>
              <w:t>Go Siyaha</w:t>
            </w:r>
          </w:p>
        </w:tc>
        <w:tc>
          <w:tcPr>
            <w:tcW w:type="dxa" w:w="4320"/>
          </w:tcPr>
          <w:p>
            <w:r/>
            <w:r>
              <w:rPr>
                <w:sz w:val="18"/>
              </w:rPr>
              <w:t>Demande de participation, engagements sur l’honneur, pièces administratives exigées.</w:t>
            </w:r>
          </w:p>
        </w:tc>
      </w:tr>
    </w:tbl>
    <w:p>
      <w:pPr>
        <w:jc w:val="center"/>
      </w:pPr>
      <w:r>
        <w:rPr>
          <w:b/>
          <w:color w:val="1B3A28"/>
        </w:rPr>
        <w:t>DA21 S.A.R.L. AU — Business Plan mis à jour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