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28"/>
          <w:sz w:val="80"/>
        </w:rPr>
        <w:t>DA21</w:t>
      </w:r>
    </w:p>
    <w:p>
      <w:pPr>
        <w:jc w:val="center"/>
      </w:pPr>
      <w:r>
        <w:rPr>
          <w:b/>
          <w:color w:val="C8A440"/>
          <w:sz w:val="32"/>
        </w:rPr>
        <w:t>Complexe d’Animation Touristique Intégré</w:t>
      </w:r>
    </w:p>
    <w:p>
      <w:pPr>
        <w:jc w:val="center"/>
      </w:pPr>
      <w:r>
        <w:rPr>
          <w:sz w:val="22"/>
        </w:rPr>
        <w:t>BUSINESS PLAN — Version mise à jour</w:t>
      </w:r>
    </w:p>
    <w:p>
      <w:pPr>
        <w:jc w:val="center"/>
      </w:pPr>
      <w:r>
        <w:rPr>
          <w:sz w:val="22"/>
        </w:rPr>
        <w:t>DA21 S.A.R.L</w:t>
      </w:r>
    </w:p>
    <w:p>
      <w:pPr>
        <w:jc w:val="center"/>
      </w:pPr>
      <w:r>
        <w:rPr>
          <w:sz w:val="22"/>
        </w:rPr>
        <w:t>Douar Labdadz, Commune de Tamazouzite — Province d’Al Haouz — 25 min de Marrakech</w:t>
      </w:r>
    </w:p>
    <w:p>
      <w:pPr>
        <w:jc w:val="center"/>
      </w:pPr>
      <w:r>
        <w:rPr>
          <w:sz w:val="22"/>
        </w:rPr>
        <w:t>Programme GO SIYAHA – Volet soutien à l’investissement (Istitmar 2026)</w:t>
      </w:r>
    </w:p>
    <w:p>
      <w:r>
        <w:br w:type="page"/>
      </w:r>
    </w:p>
    <w:p>
      <w:pPr>
        <w:spacing w:after="120" w:before="200"/>
      </w:pPr>
      <w:r>
        <w:rPr>
          <w:b/>
          <w:color w:val="1B3A28"/>
          <w:sz w:val="30"/>
        </w:rPr>
        <w:t>1. En bref — synthèse chiffrée</w:t>
      </w:r>
    </w:p>
    <w:p>
      <w:r>
        <w:rPr>
          <w:b w:val="0"/>
          <w:sz w:val="21"/>
        </w:rPr>
        <w:t>DA21 est un complexe d’animation touristique intégré sur 1 hectare planté d’oliviers adultes, à 25 minutes de Marrakech, combinant trois activités d’animation : paintball (jour et nocturne UV), balades e-bike / fatbike et ateliers de cuisine marocaine. Une tente caïdale climatisée sert d’espace de restauration des ateliers, et une piscine constitue un agrément de détente estivale (hors programme primé).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Indicateur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Valeur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Investissement total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1 091 000 DH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Programme primable (GO SIYAHA)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971 000 DH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Prime GO SIYAHA (35 %)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339 850 DH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CMT bancaire (50 %)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485 500 DH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Apport fonds propres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265 650 DH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Démarrage de l’exploitation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Juin 2027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 An1 (2027, 7 mois)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480 KDH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 An5 (2031)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1 807 KDH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Résultat net An5 (2031)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536 KDH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CAF An5 (2031)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670 KDH</w:t>
            </w:r>
          </w:p>
        </w:tc>
      </w:tr>
    </w:tbl>
    <w:p>
      <w:pPr>
        <w:spacing w:after="120" w:before="200"/>
      </w:pPr>
      <w:r>
        <w:rPr>
          <w:b/>
          <w:color w:val="1B3A28"/>
          <w:sz w:val="30"/>
        </w:rPr>
        <w:t>2. Les promoteurs</w:t>
      </w:r>
    </w:p>
    <w:p>
      <w:r>
        <w:rPr>
          <w:b w:val="0"/>
          <w:sz w:val="21"/>
        </w:rPr>
        <w:t>Karim ZOUBDANE — Gérant fondateur : double expertise en finance bancaire et en tourisme (structuration financière, analyse du risque, gestion, suivi opérationnel, relation avec les partenaires financiers).</w:t>
      </w:r>
    </w:p>
    <w:p>
      <w:r>
        <w:rPr>
          <w:b w:val="0"/>
          <w:sz w:val="21"/>
        </w:rPr>
        <w:t>Voyages 21 — Partenaire commercial stratégique : agence active depuis 25 ans, apportant une capacité de commercialisation, une connaissance client et un canal naturel pour intégrer l’offre DA21 dans des circuits, groupes et formules journée.</w:t>
      </w:r>
    </w:p>
    <w:p>
      <w:pPr>
        <w:spacing w:after="120" w:before="200"/>
      </w:pPr>
      <w:r>
        <w:rPr>
          <w:b/>
          <w:color w:val="1B3A28"/>
          <w:sz w:val="30"/>
        </w:rPr>
        <w:t>3. Présentation du projet</w:t>
      </w:r>
    </w:p>
    <w:p>
      <w:r>
        <w:rPr>
          <w:b w:val="0"/>
          <w:sz w:val="21"/>
        </w:rPr>
        <w:t>Site d’animation touristique intégré dans une oliveraie adulte, aménagement léger, valorisation du terroir local. Trois pôles d’activité générateurs de revenus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Pôle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Paintball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Activité encadrée, jour et nocturne avec lumières UV/Blacklight ; groupes, familles, anniversaires, EVG/EVJF, team building.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E-bike / Fatbike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Parc de 12 vélos pour des balades accessibles à travers le douar, les chemins agricoles et les champs.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Ateliers cuisine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Expérience culinaire marocaine « du jardin à l’assiette », liée au terroir et aux produits locaux.</w:t>
            </w:r>
          </w:p>
        </w:tc>
      </w:tr>
    </w:tbl>
    <w:p>
      <w:r>
        <w:rPr>
          <w:b w:val="0"/>
          <w:sz w:val="21"/>
        </w:rPr>
        <w:t>Espaces supports (non générateurs de CA propre) : tente caïdale / dôme climatisé (espace de restauration des ateliers, sonorisation DJ), espace « jardin à l’assiette », accueil/vestiaires/sanitaires, puits et installation solaire. La piscine est un agrément de détente après activité et un argument estival, financé hors programme primé.</w:t>
      </w:r>
    </w:p>
    <w:p>
      <w:pPr>
        <w:spacing w:after="120" w:before="200"/>
      </w:pPr>
      <w:r>
        <w:rPr>
          <w:b/>
          <w:color w:val="1B3A28"/>
          <w:sz w:val="30"/>
        </w:rPr>
        <w:t>4. Programme d’investissement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Rubrique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Catégorie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Montant TTC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Primable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Paintball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Matériel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140 000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E-bike / Fatbike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Matériel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130 000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Accessoires &amp; sécurité e-bike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Matériel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18 000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Ateliers cuisine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Matériel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45 000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Installation solaire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Matériel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70 000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Tente caïdale / dôme + clim + DJ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Aménagement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170 000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Espace « jardin à l’assiette »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Aménagement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30 000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Allées, parking, clôtures, signalétique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Aménagement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60 000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Aménagements communs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Aménagement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50 000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Accueil, vestiaires, sanitaires, terrassement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Constructions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110 000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Puits + équipement hydraulique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Constructions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100 000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Frais préliminaires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Frais prélim.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38 000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Divers et imprévus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Divers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10 000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Sous-total programme primable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971 000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Piscine (agrément)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Hors primable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100 000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Non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Fonds de roulement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Hors primable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20 000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Non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TOTAL PROJET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1 091 000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</w:tr>
    </w:tbl>
    <w:p>
      <w:r>
        <w:rPr>
          <w:b w:val="0"/>
          <w:sz w:val="18"/>
        </w:rPr>
        <w:t>Plafonds respectés : constructions 210 000 ≤ 20 % du projet ; frais préliminaires + divers 48 000 ≤ 5 % du projet.</w:t>
      </w:r>
    </w:p>
    <w:p>
      <w:pPr>
        <w:spacing w:after="120" w:before="200"/>
      </w:pPr>
      <w:r>
        <w:rPr>
          <w:b/>
          <w:color w:val="1B3A28"/>
          <w:sz w:val="30"/>
        </w:rPr>
        <w:t>5. Plan de financement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Montant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Prime GO SIYAHA (35 % du primable)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18"/>
              </w:rPr>
              <w:t>339 850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18"/>
              </w:rPr>
              <w:t>31,1 %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CMT bancaire (50 % du primable)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18"/>
              </w:rPr>
              <w:t>485 500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18"/>
              </w:rPr>
              <w:t>44,5 %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Apport fonds propres / comptes courants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18"/>
              </w:rPr>
              <w:t>265 650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18"/>
              </w:rPr>
              <w:t>24,4 %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18"/>
              </w:rPr>
              <w:t>1 091 000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18"/>
              </w:rPr>
              <w:t>100 %</w:t>
            </w:r>
          </w:p>
        </w:tc>
      </w:tr>
    </w:tbl>
    <w:p>
      <w:pPr>
        <w:spacing w:after="120" w:before="200"/>
      </w:pPr>
      <w:r>
        <w:rPr>
          <w:b/>
          <w:color w:val="1B3A28"/>
          <w:sz w:val="30"/>
        </w:rPr>
        <w:t>6. Prime GO SIYAHA &amp; modalités de déblocage</w:t>
      </w:r>
    </w:p>
    <w:p>
      <w:r>
        <w:rPr>
          <w:b w:val="0"/>
          <w:sz w:val="21"/>
        </w:rPr>
        <w:t>Prime de 35 % du programme d’investissement primable retenu, soit 339 850 DH, débloquée en trois tranches après réalisation et sur justificatifs (financement mixte / bancaire)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Tranche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% prime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Montant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1ʳᵉ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après 20 % de réalisation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20 %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67 970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2ᵉ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après 60 % de réalisation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40 %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135 940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3ᵉ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après clôture + objectif d’emploi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40 %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135 940</w:t>
            </w:r>
          </w:p>
        </w:tc>
      </w:tr>
    </w:tbl>
    <w:p>
      <w:r>
        <w:rPr>
          <w:b w:val="0"/>
          <w:sz w:val="18"/>
        </w:rPr>
        <w:t>La prime étant versée en remboursement, le promoteur préfinance le programme via l’apport, les comptes courants d’associés et le CMT, puis récupère la prime au fil des tranches.</w:t>
      </w:r>
    </w:p>
    <w:p>
      <w:pPr>
        <w:spacing w:after="120" w:before="200"/>
      </w:pPr>
      <w:r>
        <w:rPr>
          <w:b/>
          <w:color w:val="1B3A28"/>
          <w:sz w:val="30"/>
        </w:rPr>
        <w:t>7. Hypothèses commerciales &amp; chiffre d’affaires prévisionnel</w:t>
      </w:r>
    </w:p>
    <w:p>
      <w:r>
        <w:rPr>
          <w:b w:val="0"/>
          <w:sz w:val="21"/>
        </w:rPr>
        <w:t>Démarrage de l’exploitation en juin 2027 : l’année 2026 est consacrée à la construction (CA nul), 2027 ne compte que 7 mois d’activité (prorata 7/12). Montée en charge du taux d’occupation de 18 % (2027) à 38 % (2031), conformément au business plan initial. Chiffre d’affaires inscrit en « Animation ».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CA (KDH)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2026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2027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2028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2029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2030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2031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Animation (paintball, e-bike, cuisine)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480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1 093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1 332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1 569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1 807</w:t>
            </w:r>
          </w:p>
        </w:tc>
      </w:tr>
    </w:tbl>
    <w:p>
      <w:pPr>
        <w:spacing w:after="120" w:before="200"/>
      </w:pPr>
      <w:r>
        <w:rPr>
          <w:b/>
          <w:color w:val="1B3A28"/>
          <w:sz w:val="30"/>
        </w:rPr>
        <w:t>8. Compte de produits et charges prévisionnel (KDH)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Poste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2026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2027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2028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2029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2030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2031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Chiffre d’affaires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480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1 093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1 332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1 569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1 807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Charges directes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121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275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336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395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456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Masse salariale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140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252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264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276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288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Charges fixes d’exploitation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131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195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210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230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255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Amortissements (12,5 %)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134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134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134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134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Intérêts CMT (1,75 %)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Résultat avant impôt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228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381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528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670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IS (20 %)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46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76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106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134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Résultat net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182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305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422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sz w:val="18"/>
              </w:rPr>
              <w:t>536</w:t>
            </w:r>
          </w:p>
        </w:tc>
      </w:tr>
    </w:tbl>
    <w:p>
      <w:pPr>
        <w:spacing w:after="120" w:before="200"/>
      </w:pPr>
      <w:r>
        <w:rPr>
          <w:b/>
          <w:color w:val="1B3A28"/>
          <w:sz w:val="30"/>
        </w:rPr>
        <w:t>9. Capacité d’autofinancement &amp; couverture de la dette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Indicateur (KDH)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2027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2028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2029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2030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2031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CAF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82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316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439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556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670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Service de la dette (capital+intérêts)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89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88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87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Couverture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16,4x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3,5x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5,0x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6,4x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7,9x</w:t>
            </w:r>
          </w:p>
        </w:tc>
      </w:tr>
    </w:tbl>
    <w:p>
      <w:r>
        <w:rPr>
          <w:b w:val="0"/>
          <w:sz w:val="18"/>
        </w:rPr>
        <w:t>La capacité d’autofinancement couvre largement le service de la dette dès la première année pleine.</w:t>
      </w:r>
    </w:p>
    <w:p>
      <w:pPr>
        <w:spacing w:after="120" w:before="200"/>
      </w:pPr>
      <w:r>
        <w:rPr>
          <w:b/>
          <w:color w:val="1B3A28"/>
          <w:sz w:val="30"/>
        </w:rPr>
        <w:t>10. Emplois</w:t>
      </w:r>
    </w:p>
    <w:p>
      <w:r>
        <w:rPr>
          <w:b w:val="0"/>
          <w:sz w:val="21"/>
        </w:rPr>
        <w:t>Le projet crée des emplois directs (agent d’accueil, arbitre/animateur paintball, chef cuisinier, aide-cuisinier, guide mécanicien e-bike, pisciniste et jardinier à temps partiel) ainsi que des emplois indirects (fournisseurs locaux, prestataires, terroir).</w:t>
      </w:r>
    </w:p>
    <w:p>
      <w:pPr>
        <w:spacing w:after="120" w:before="200"/>
      </w:pPr>
      <w:r>
        <w:rPr>
          <w:b/>
          <w:color w:val="1B3A28"/>
          <w:sz w:val="30"/>
        </w:rPr>
        <w:t>11. Analyse des risques &amp; mesures de maîtrise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Risque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Mesure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Saisonnalité / chaleur estivale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Piscine de détente, formules journée, zones ombragées sous oliviers.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Démarrage commercial progressif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Appui Voyages 21, Google Maps, réseaux sociaux, hôtels voisins, écoles, entreprises.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Sécurité paintball / e-bike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Encadrement, protections, briefing, entretien régulier, parcours adaptés.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Trésorerie d’attente de la prime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Comptes courants d’associés, échelonnement des paiements fournisseurs.</w:t>
            </w:r>
          </w:p>
        </w:tc>
      </w:tr>
    </w:tbl>
    <w:p>
      <w:pPr>
        <w:spacing w:after="120" w:before="200"/>
      </w:pPr>
      <w:r>
        <w:rPr>
          <w:b/>
          <w:color w:val="1B3A28"/>
          <w:sz w:val="30"/>
        </w:rPr>
        <w:t>12. Conclusion</w:t>
      </w:r>
    </w:p>
    <w:p>
      <w:r>
        <w:rPr>
          <w:b w:val="0"/>
          <w:sz w:val="21"/>
        </w:rPr>
        <w:t>DA21 est un projet d’animation touristique intégré, différencié et calibré, aligné sur les orientations de la feuille de route du tourisme 2023-2026. Avec un investissement de 1 091 000 DH, une prime GO SIYAHA de 339 850 DH et une montée en charge prudente à compter de juin 2027, le projet dégage une capacité d’autofinancement confortable et une couverture solide du service de la dette.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