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B3A28"/>
          <w:sz w:val="32"/>
        </w:rPr>
        <w:t>DA21 SARL AU</w:t>
      </w:r>
    </w:p>
    <w:p>
      <w:pPr>
        <w:spacing w:after="60"/>
        <w:jc w:val="center"/>
      </w:pPr>
      <w:r>
        <w:rPr>
          <w:b/>
          <w:color w:val="C8A440"/>
          <w:sz w:val="24"/>
        </w:rPr>
        <w:t>PLAN D'INVESTISSEMENT DÉTAILLÉ — GO SIYAHA / Istitmar 2026 (15 vélos)</w:t>
      </w:r>
    </w:p>
    <w:p>
      <w:pPr>
        <w:spacing w:after="60"/>
        <w:jc w:val="center"/>
      </w:pPr>
      <w:r>
        <w:rPr>
          <w:b w:val="0"/>
          <w:color w:val="555555"/>
          <w:sz w:val="19"/>
        </w:rPr>
        <w:t>ICE 003934997000054</w:t>
      </w:r>
    </w:p>
    <w:p/>
    <w:p>
      <w:pPr>
        <w:spacing w:before="240" w:after="100"/>
      </w:pPr>
      <w:r>
        <w:rPr>
          <w:b/>
          <w:color w:val="1B3A28"/>
          <w:sz w:val="28"/>
        </w:rPr>
        <w:t>1. Programme d'investissement primable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5443"/>
            <w:shd w:fill="1B3A28"/>
          </w:tcPr>
          <w:p>
            <w:r/>
            <w:r>
              <w:rPr>
                <w:b/>
                <w:color w:val="FFFFFF"/>
                <w:sz w:val="18"/>
              </w:rPr>
              <w:t>Rubrique / Ligne (état : Neuf)</w:t>
            </w:r>
          </w:p>
        </w:tc>
        <w:tc>
          <w:tcPr>
            <w:tcW w:type="dxa" w:w="136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HT (DH)</w:t>
            </w:r>
          </w:p>
        </w:tc>
        <w:tc>
          <w:tcPr>
            <w:tcW w:type="dxa" w:w="136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TTC (DH)</w:t>
            </w:r>
          </w:p>
        </w:tc>
        <w:tc>
          <w:tcPr>
            <w:tcW w:type="dxa" w:w="1020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projet</w:t>
            </w:r>
          </w:p>
        </w:tc>
      </w:tr>
      <w:tr>
        <w:tc>
          <w:tcPr>
            <w:tcW w:type="dxa" w:w="5443"/>
            <w:shd w:fill="EFE7D2"/>
          </w:tcPr>
          <w:p>
            <w:r/>
            <w:r>
              <w:rPr>
                <w:b/>
                <w:sz w:val="18"/>
              </w:rPr>
              <w:t>CONSTRUCTIONS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91 667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110 000</w:t>
            </w:r>
          </w:p>
        </w:tc>
        <w:tc>
          <w:tcPr>
            <w:tcW w:type="dxa" w:w="1020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10,0 %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Accueil, vestiaires, sanitaires, terrassement (clé en main)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91 667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110 000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  <w:shd w:fill="EFE7D2"/>
          </w:tcPr>
          <w:p>
            <w:r/>
            <w:r>
              <w:rPr>
                <w:b/>
                <w:sz w:val="18"/>
              </w:rPr>
              <w:t>AMÉNAGEMENT &amp; INFRASTRUCTURE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341 667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410 000</w:t>
            </w:r>
          </w:p>
        </w:tc>
        <w:tc>
          <w:tcPr>
            <w:tcW w:type="dxa" w:w="1020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37,2 %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Forage puits + infrastructure hydraulique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83 333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100 000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Structure éphémère ateliers cuisine + climatisation + mobilier + sonorisation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170 000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Espace « du jardin à l'assiette »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30 000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Allées, parking, clôtures, signalétique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50 000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60 000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Aménagements communs (réseaux, éclairage, paysager)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50 000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  <w:shd w:fill="EFE7D2"/>
          </w:tcPr>
          <w:p>
            <w:r/>
            <w:r>
              <w:rPr>
                <w:b/>
                <w:sz w:val="18"/>
              </w:rPr>
              <w:t>MATÉRIEL D'ÉQUIPEMENT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346 237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415 485</w:t>
            </w:r>
          </w:p>
        </w:tc>
        <w:tc>
          <w:tcPr>
            <w:tcW w:type="dxa" w:w="1020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37,7 %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Paintball (lanceurs, terrain, nocturne UV)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116 667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140 000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E-bike / Fatbike (parc 15 vélos)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118 737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142 485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Accessoires &amp; sécurité e-bike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18 000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Ateliers cuisine (équipement professionnel)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37 500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45 000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8"/>
              </w:rPr>
              <w:t xml:space="preserve">  · Installation solaire + pompe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58 333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8"/>
              </w:rPr>
              <w:t>70 000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443"/>
            <w:shd w:fill="EFE7D2"/>
          </w:tcPr>
          <w:p>
            <w:r/>
            <w:r>
              <w:rPr>
                <w:b/>
                <w:sz w:val="18"/>
              </w:rPr>
              <w:t>FRAIS PRÉLIMINAIRES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38 000</w:t>
            </w:r>
          </w:p>
        </w:tc>
        <w:tc>
          <w:tcPr>
            <w:tcW w:type="dxa" w:w="1020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3,4 %</w:t>
            </w:r>
          </w:p>
        </w:tc>
      </w:tr>
      <w:tr>
        <w:tc>
          <w:tcPr>
            <w:tcW w:type="dxa" w:w="5443"/>
            <w:shd w:fill="EFE7D2"/>
          </w:tcPr>
          <w:p>
            <w:r/>
            <w:r>
              <w:rPr>
                <w:b/>
                <w:sz w:val="18"/>
              </w:rPr>
              <w:t>DIVERS &amp; IMPRÉVUS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8 333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10 000</w:t>
            </w:r>
          </w:p>
        </w:tc>
        <w:tc>
          <w:tcPr>
            <w:tcW w:type="dxa" w:w="1020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0,9 %</w:t>
            </w:r>
          </w:p>
        </w:tc>
      </w:tr>
      <w:tr>
        <w:tc>
          <w:tcPr>
            <w:tcW w:type="dxa" w:w="5443"/>
            <w:shd w:fill="C8A440"/>
          </w:tcPr>
          <w:p>
            <w:r/>
            <w:r>
              <w:rPr>
                <w:b/>
                <w:sz w:val="18"/>
              </w:rPr>
              <w:t>TOTAL PROGRAMME PRIMABLE</w:t>
            </w:r>
          </w:p>
        </w:tc>
        <w:tc>
          <w:tcPr>
            <w:tcW w:type="dxa" w:w="136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819 571</w:t>
            </w:r>
          </w:p>
        </w:tc>
        <w:tc>
          <w:tcPr>
            <w:tcW w:type="dxa" w:w="136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983 485</w:t>
            </w:r>
          </w:p>
        </w:tc>
        <w:tc>
          <w:tcPr>
            <w:tcW w:type="dxa" w:w="1020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89,1 %</w:t>
            </w:r>
          </w:p>
        </w:tc>
      </w:tr>
    </w:tbl>
    <w:p>
      <w:pPr>
        <w:spacing w:after="60"/>
      </w:pPr>
      <w:r>
        <w:rPr>
          <w:b/>
          <w:color w:val="C8A440"/>
          <w:sz w:val="20"/>
        </w:rPr>
        <w:t>Prime GO SIYAHA = 35 % × 983 485 = 344 220 DH.</w:t>
      </w:r>
    </w:p>
    <w:p>
      <w:pPr>
        <w:spacing w:before="240" w:after="100"/>
      </w:pPr>
      <w:r>
        <w:rPr>
          <w:b/>
          <w:color w:val="1B3A28"/>
          <w:sz w:val="28"/>
        </w:rPr>
        <w:t>2. Postes hors primable (autofinancés)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5669"/>
            <w:shd w:fill="1B3A28"/>
          </w:tcPr>
          <w:p>
            <w:r/>
            <w:r>
              <w:rPr>
                <w:b/>
                <w:color w:val="FFFFFF"/>
                <w:sz w:val="18"/>
              </w:rPr>
              <w:t>Poste</w:t>
            </w:r>
          </w:p>
        </w:tc>
        <w:tc>
          <w:tcPr>
            <w:tcW w:type="dxa" w:w="170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HT</w:t>
            </w:r>
          </w:p>
        </w:tc>
        <w:tc>
          <w:tcPr>
            <w:tcW w:type="dxa" w:w="170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TTC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Piscine (prestation complémentaire)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83 333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100 000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BFR / fonds de roulement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20 000</w:t>
            </w:r>
          </w:p>
        </w:tc>
      </w:tr>
      <w:tr>
        <w:tc>
          <w:tcPr>
            <w:tcW w:type="dxa" w:w="5669"/>
            <w:shd w:fill="C8A440"/>
          </w:tcPr>
          <w:p>
            <w:r/>
            <w:r>
              <w:rPr>
                <w:b/>
                <w:sz w:val="18"/>
              </w:rPr>
              <w:t>TOTAL HORS PRIMABLE</w:t>
            </w:r>
          </w:p>
        </w:tc>
        <w:tc>
          <w:tcPr>
            <w:tcW w:type="dxa" w:w="170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70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120 000</w:t>
            </w:r>
          </w:p>
        </w:tc>
      </w:tr>
    </w:tbl>
    <w:p>
      <w:pPr>
        <w:spacing w:before="240" w:after="100"/>
      </w:pPr>
      <w:r>
        <w:rPr>
          <w:b/>
          <w:color w:val="1B3A28"/>
          <w:sz w:val="28"/>
        </w:rPr>
        <w:t>3. Prime par rubrique &amp; contrôle des plafonds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2041"/>
            <w:shd w:fill="1B3A28"/>
          </w:tcPr>
          <w:p>
            <w:r/>
            <w:r>
              <w:rPr>
                <w:b/>
                <w:color w:val="FFFFFF"/>
                <w:sz w:val="18"/>
              </w:rPr>
              <w:t>Rubrique</w:t>
            </w:r>
          </w:p>
        </w:tc>
        <w:tc>
          <w:tcPr>
            <w:tcW w:type="dxa" w:w="124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Budget TTC</w:t>
            </w:r>
          </w:p>
        </w:tc>
        <w:tc>
          <w:tcPr>
            <w:tcW w:type="dxa" w:w="158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Plafond</w:t>
            </w:r>
          </w:p>
        </w:tc>
        <w:tc>
          <w:tcPr>
            <w:tcW w:type="dxa" w:w="90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projet</w:t>
            </w:r>
          </w:p>
        </w:tc>
        <w:tc>
          <w:tcPr>
            <w:tcW w:type="dxa" w:w="113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Prime 35%</w:t>
            </w:r>
          </w:p>
        </w:tc>
        <w:tc>
          <w:tcPr>
            <w:tcW w:type="dxa" w:w="170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Frais préliminaires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8"/>
              </w:rPr>
              <w:t>38 000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≤5% (+divers)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8"/>
              </w:rPr>
              <w:t>4,3%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13 300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Constructions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8"/>
              </w:rPr>
              <w:t>110 000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≤20% projet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8"/>
              </w:rPr>
              <w:t>10,0%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38 500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Conforme (large marge)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Aménagement &amp; infrastructure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8"/>
              </w:rPr>
              <w:t>410 000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Aucun plafond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8"/>
              </w:rPr>
              <w:t>37,2%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143 500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Aucun risque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Matériel d'équipement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8"/>
              </w:rPr>
              <w:t>415 485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Aucun plafond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8"/>
              </w:rPr>
              <w:t>37,7%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145 420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Aucun risque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Divers &amp; imprévus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8"/>
              </w:rPr>
              <w:t>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≤5% (+frais)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8"/>
              </w:rPr>
              <w:t>4,3%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3 500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2041"/>
            <w:shd w:fill="C8A440"/>
          </w:tcPr>
          <w:p>
            <w:r/>
            <w:r>
              <w:rPr>
                <w:b/>
                <w:sz w:val="18"/>
              </w:rPr>
              <w:t>TOTAL PRIMABLE</w:t>
            </w:r>
          </w:p>
        </w:tc>
        <w:tc>
          <w:tcPr>
            <w:tcW w:type="dxa" w:w="1247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983 485</w:t>
            </w:r>
          </w:p>
        </w:tc>
        <w:tc>
          <w:tcPr>
            <w:tcW w:type="dxa" w:w="1587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907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89,1%</w:t>
            </w:r>
          </w:p>
        </w:tc>
        <w:tc>
          <w:tcPr>
            <w:tcW w:type="dxa" w:w="1134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344 220</w:t>
            </w:r>
          </w:p>
        </w:tc>
        <w:tc>
          <w:tcPr>
            <w:tcW w:type="dxa" w:w="170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—</w:t>
            </w:r>
          </w:p>
        </w:tc>
      </w:tr>
    </w:tbl>
    <w:p>
      <w:pPr>
        <w:spacing w:before="240" w:after="100"/>
      </w:pPr>
      <w:r>
        <w:rPr>
          <w:b/>
          <w:color w:val="1B3A28"/>
          <w:sz w:val="28"/>
        </w:rPr>
        <w:t>4. Plan de financement (sans leasing)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5669"/>
            <w:shd w:fill="1B3A28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70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Montant (DH)</w:t>
            </w:r>
          </w:p>
        </w:tc>
        <w:tc>
          <w:tcPr>
            <w:tcW w:type="dxa" w:w="141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Prime GO SIYAHA (35% du primable)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344 220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8"/>
              </w:rPr>
              <w:t>31,2%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CMT bancaire – Al Barid Bank (50% du primable)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491 743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8"/>
              </w:rPr>
              <w:t>44,6%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Apport fonds propres / comptes courants d'associés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267 522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8"/>
              </w:rPr>
              <w:t>24,2%</w:t>
            </w:r>
          </w:p>
        </w:tc>
      </w:tr>
      <w:tr>
        <w:tc>
          <w:tcPr>
            <w:tcW w:type="dxa" w:w="5669"/>
            <w:shd w:fill="C8A440"/>
          </w:tcPr>
          <w:p>
            <w:r/>
            <w:r>
              <w:rPr>
                <w:b/>
                <w:sz w:val="18"/>
              </w:rPr>
              <w:t>TOTAL FINANCEMENT</w:t>
            </w:r>
          </w:p>
        </w:tc>
        <w:tc>
          <w:tcPr>
            <w:tcW w:type="dxa" w:w="1701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1 103 485</w:t>
            </w:r>
          </w:p>
        </w:tc>
        <w:tc>
          <w:tcPr>
            <w:tcW w:type="dxa" w:w="1417"/>
            <w:shd w:fill="C8A440"/>
          </w:tcPr>
          <w:p>
            <w:pPr>
              <w:jc w:val="right"/>
            </w:pPr>
            <w:r/>
            <w:r>
              <w:rPr>
                <w:b/>
                <w:sz w:val="18"/>
              </w:rPr>
              <w:t>100%</w:t>
            </w:r>
          </w:p>
        </w:tc>
      </w:tr>
    </w:tbl>
    <w:p>
      <w:pPr>
        <w:spacing w:before="240" w:after="100"/>
      </w:pPr>
      <w:r>
        <w:rPr>
          <w:b/>
          <w:color w:val="1B3A28"/>
          <w:sz w:val="28"/>
        </w:rPr>
        <w:t>5. Chiffre d'affaires « Animation » prévisionnel (KDH)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984"/>
            <w:shd w:fill="1B3A28"/>
          </w:tcPr>
          <w:p>
            <w:r/>
            <w:r>
              <w:rPr>
                <w:b/>
                <w:color w:val="FFFFFF"/>
                <w:sz w:val="18"/>
              </w:rPr>
              <w:t>Année</w:t>
            </w:r>
          </w:p>
        </w:tc>
        <w:tc>
          <w:tcPr>
            <w:tcW w:type="dxa" w:w="130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130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130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2029</w:t>
            </w:r>
          </w:p>
        </w:tc>
        <w:tc>
          <w:tcPr>
            <w:tcW w:type="dxa" w:w="130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2030</w:t>
            </w:r>
          </w:p>
        </w:tc>
        <w:tc>
          <w:tcPr>
            <w:tcW w:type="dxa" w:w="130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2031</w:t>
            </w:r>
          </w:p>
        </w:tc>
      </w:tr>
      <w:tr>
        <w:tc>
          <w:tcPr>
            <w:tcW w:type="dxa" w:w="1984"/>
            <w:shd w:fill="EFE7D2"/>
          </w:tcPr>
          <w:p>
            <w:r/>
            <w:r>
              <w:rPr>
                <w:b/>
                <w:sz w:val="18"/>
              </w:rPr>
              <w:t>CA Animation</w:t>
            </w:r>
          </w:p>
        </w:tc>
        <w:tc>
          <w:tcPr>
            <w:tcW w:type="dxa" w:w="1304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520</w:t>
            </w:r>
          </w:p>
        </w:tc>
        <w:tc>
          <w:tcPr>
            <w:tcW w:type="dxa" w:w="1304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1 184</w:t>
            </w:r>
          </w:p>
        </w:tc>
        <w:tc>
          <w:tcPr>
            <w:tcW w:type="dxa" w:w="1304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1 443</w:t>
            </w:r>
          </w:p>
        </w:tc>
        <w:tc>
          <w:tcPr>
            <w:tcW w:type="dxa" w:w="1304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1 700</w:t>
            </w:r>
          </w:p>
        </w:tc>
        <w:tc>
          <w:tcPr>
            <w:tcW w:type="dxa" w:w="1304"/>
            <w:shd w:fill="EFE7D2"/>
          </w:tcPr>
          <w:p>
            <w:pPr>
              <w:jc w:val="right"/>
            </w:pPr>
            <w:r/>
            <w:r>
              <w:rPr>
                <w:b/>
                <w:sz w:val="18"/>
              </w:rPr>
              <w:t>1 957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Résultat net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8"/>
              </w:rPr>
              <w:t>27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8"/>
              </w:rPr>
              <w:t>235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8"/>
              </w:rPr>
              <w:t>370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8"/>
              </w:rPr>
              <w:t>499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8"/>
              </w:rPr>
              <w:t>625</w:t>
            </w:r>
          </w:p>
        </w:tc>
      </w:tr>
    </w:tbl>
    <w:p>
      <w:pPr>
        <w:spacing w:after="60"/>
      </w:pPr>
      <w:r>
        <w:rPr>
          <w:b w:val="0"/>
          <w:color w:val="555555"/>
          <w:sz w:val="18"/>
        </w:rPr>
        <w:t>CA revu pour 15 vélos (capacité e-bike +25 %, mêmes prix et même taux d'occupation). Démarrage juin 2027.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