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A28"/>
          <w:sz w:val="44"/>
        </w:rPr>
        <w:t>DA21 SARL AU</w:t>
      </w:r>
    </w:p>
    <w:p>
      <w:pPr>
        <w:jc w:val="center"/>
      </w:pPr>
      <w:r>
        <w:rPr>
          <w:b/>
          <w:color w:val="C8A440"/>
          <w:sz w:val="30"/>
        </w:rPr>
        <w:t>PLAN D'INVESTISSEMENT DÉTAILLÉ &amp; CAHIER DES TRAVAUX</w:t>
      </w:r>
    </w:p>
    <w:p>
      <w:pPr>
        <w:jc w:val="center"/>
      </w:pPr>
      <w:r>
        <w:rPr>
          <w:color w:val="555555"/>
          <w:sz w:val="21"/>
        </w:rPr>
        <w:t>Programme GO SIYAHA – Istitmar 2026  |  ICE 003934997000054</w:t>
      </w:r>
    </w:p>
    <w:p/>
    <w:p>
      <w:pPr>
        <w:spacing w:before="240" w:after="120"/>
      </w:pPr>
      <w:r>
        <w:rPr>
          <w:b/>
          <w:color w:val="1B3A28"/>
          <w:sz w:val="30"/>
        </w:rPr>
        <w:t>1. Programme d'investissement primable (assiette de la prime)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443"/>
            <w:shd w:fill="1B3A28"/>
          </w:tcPr>
          <w:p>
            <w:r/>
            <w:r>
              <w:rPr>
                <w:b/>
                <w:color w:val="FFFFFF"/>
                <w:sz w:val="19"/>
              </w:rPr>
              <w:t>Rubrique / Ligne (état : Neuf)</w:t>
            </w:r>
          </w:p>
        </w:tc>
        <w:tc>
          <w:tcPr>
            <w:tcW w:type="dxa" w:w="1361"/>
            <w:shd w:fill="1B3A28"/>
          </w:tcPr>
          <w:p>
            <w:r/>
            <w:r>
              <w:rPr>
                <w:b/>
                <w:color w:val="FFFFFF"/>
                <w:sz w:val="19"/>
              </w:rPr>
              <w:t>HT (DH)</w:t>
            </w:r>
          </w:p>
        </w:tc>
        <w:tc>
          <w:tcPr>
            <w:tcW w:type="dxa" w:w="1361"/>
            <w:shd w:fill="1B3A28"/>
          </w:tcPr>
          <w:p>
            <w:r/>
            <w:r>
              <w:rPr>
                <w:b/>
                <w:color w:val="FFFFFF"/>
                <w:sz w:val="19"/>
              </w:rPr>
              <w:t>TTC (DH)</w:t>
            </w:r>
          </w:p>
        </w:tc>
        <w:tc>
          <w:tcPr>
            <w:tcW w:type="dxa" w:w="1020"/>
            <w:shd w:fill="1B3A28"/>
          </w:tcPr>
          <w:p>
            <w:r/>
            <w:r>
              <w:rPr>
                <w:b/>
                <w:color w:val="FFFFFF"/>
                <w:sz w:val="19"/>
              </w:rPr>
              <w:t>% projet</w:t>
            </w:r>
          </w:p>
        </w:tc>
      </w:tr>
      <w:tr>
        <w:tc>
          <w:tcPr>
            <w:tcW w:type="dxa" w:w="5443"/>
          </w:tcPr>
          <w:p>
            <w:r/>
            <w:r>
              <w:rPr>
                <w:b/>
                <w:sz w:val="19"/>
              </w:rPr>
              <w:t>CONSTRUCTIONS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91 667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110 000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b/>
                <w:sz w:val="19"/>
              </w:rPr>
              <w:t>10,1 %</w:t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9"/>
              </w:rPr>
              <w:t xml:space="preserve">  · Accueil, vestiaires, sanitaires, terrassement (clé en main)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91 667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110 000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b/>
                <w:sz w:val="19"/>
              </w:rPr>
              <w:t>AMÉNAGEMENT &amp; AGENCEMENT (y compris infrastructure)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341 667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410 000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b/>
                <w:sz w:val="19"/>
              </w:rPr>
              <w:t>37,6 %</w:t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9"/>
              </w:rPr>
              <w:t xml:space="preserve">  · Forage puits + infrastructure hydraulique (clé en main)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83 333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100 000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9"/>
              </w:rPr>
              <w:t xml:space="preserve">  · Tente caïdale + climatisation + mobilier + sonorisation DJ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141 667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170 000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9"/>
              </w:rPr>
              <w:t xml:space="preserve">  · Espace « du jardin à l'assiette »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25 000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30 000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9"/>
              </w:rPr>
              <w:t xml:space="preserve">  · Allées, parking, clôtures, signalétique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50 000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60 000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9"/>
              </w:rPr>
              <w:t xml:space="preserve">  · Aménagements communs (réseaux, éclairage, paysager)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41 667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50 000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b/>
                <w:sz w:val="19"/>
              </w:rPr>
              <w:t>MATÉRIEL D'ÉQUIPEMENT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335 833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403 000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b/>
                <w:sz w:val="19"/>
              </w:rPr>
              <w:t>36,9 %</w:t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9"/>
              </w:rPr>
              <w:t xml:space="preserve">  · Paintball (lanceurs, terrain, nocturne UV)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116 667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140 000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9"/>
              </w:rPr>
              <w:t xml:space="preserve">  · E-bike / Fatbike (parc 12 vélos)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108 333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130 000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9"/>
              </w:rPr>
              <w:t xml:space="preserve">  · Accessoires &amp; sécurité e-bike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15 000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18 000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9"/>
              </w:rPr>
              <w:t xml:space="preserve">  · Ateliers cuisine (équipement professionnel)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37 500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45 000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sz w:val="19"/>
              </w:rPr>
              <w:t xml:space="preserve">  · Installation solaire + pompe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58 333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  <w:t>70 000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5443"/>
          </w:tcPr>
          <w:p>
            <w:r/>
            <w:r>
              <w:rPr>
                <w:b/>
                <w:sz w:val="19"/>
              </w:rPr>
              <w:t>FRAIS PRÉLIMINAIRES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31 667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38 000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b/>
                <w:sz w:val="19"/>
              </w:rPr>
              <w:t>3,5 %</w:t>
            </w:r>
          </w:p>
        </w:tc>
      </w:tr>
      <w:tr>
        <w:tc>
          <w:tcPr>
            <w:tcW w:type="dxa" w:w="5443"/>
          </w:tcPr>
          <w:p>
            <w:r/>
            <w:r>
              <w:rPr>
                <w:b/>
                <w:sz w:val="19"/>
              </w:rPr>
              <w:t>DIVERS &amp; IMPRÉVUS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8 333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10 000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b/>
                <w:sz w:val="19"/>
              </w:rPr>
              <w:t>0,9 %</w:t>
            </w:r>
          </w:p>
        </w:tc>
      </w:tr>
      <w:tr>
        <w:tc>
          <w:tcPr>
            <w:tcW w:type="dxa" w:w="5443"/>
          </w:tcPr>
          <w:p>
            <w:r/>
            <w:r>
              <w:rPr>
                <w:b/>
                <w:sz w:val="19"/>
              </w:rPr>
              <w:t>TOTAL PROGRAMME PRIMABLE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809 167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971 000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b/>
                <w:sz w:val="19"/>
              </w:rPr>
              <w:t>89,0 %</w:t>
            </w:r>
          </w:p>
        </w:tc>
      </w:tr>
    </w:tbl>
    <w:p>
      <w:pPr>
        <w:spacing w:after="80"/>
      </w:pPr>
      <w:r>
        <w:rPr>
          <w:b/>
          <w:color w:val="C8A440"/>
          <w:sz w:val="21"/>
        </w:rPr>
        <w:t>Prime GO SIYAHA = 35 % × 971 000 = 339 850 DH.</w:t>
      </w:r>
    </w:p>
    <w:p>
      <w:pPr>
        <w:spacing w:before="240" w:after="120"/>
      </w:pPr>
      <w:r>
        <w:rPr>
          <w:b/>
          <w:color w:val="1B3A28"/>
          <w:sz w:val="30"/>
        </w:rPr>
        <w:t>2. Postes hors primable (autofinancés)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69"/>
            <w:shd w:fill="1B3A28"/>
          </w:tcPr>
          <w:p>
            <w:r/>
            <w:r>
              <w:rPr>
                <w:b/>
                <w:color w:val="FFFFFF"/>
                <w:sz w:val="19"/>
              </w:rPr>
              <w:t>Poste</w:t>
            </w:r>
          </w:p>
        </w:tc>
        <w:tc>
          <w:tcPr>
            <w:tcW w:type="dxa" w:w="1701"/>
            <w:shd w:fill="1B3A28"/>
          </w:tcPr>
          <w:p>
            <w:r/>
            <w:r>
              <w:rPr>
                <w:b/>
                <w:color w:val="FFFFFF"/>
                <w:sz w:val="19"/>
              </w:rPr>
              <w:t>HT</w:t>
            </w:r>
          </w:p>
        </w:tc>
        <w:tc>
          <w:tcPr>
            <w:tcW w:type="dxa" w:w="1701"/>
            <w:shd w:fill="1B3A28"/>
          </w:tcPr>
          <w:p>
            <w:r/>
            <w:r>
              <w:rPr>
                <w:b/>
                <w:color w:val="FFFFFF"/>
                <w:sz w:val="19"/>
              </w:rPr>
              <w:t>TTC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Piscine (prestation complémentaire)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83 333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100 000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BFR / fonds de roulement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—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20 000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/>
                <w:sz w:val="19"/>
              </w:rPr>
              <w:t>TOTAL HORS PRIMABLE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/>
                <w:sz w:val="19"/>
              </w:rPr>
              <w:t>120 000</w:t>
            </w:r>
          </w:p>
        </w:tc>
      </w:tr>
    </w:tbl>
    <w:p>
      <w:pPr>
        <w:spacing w:before="240" w:after="120"/>
      </w:pPr>
      <w:r>
        <w:rPr>
          <w:b/>
          <w:color w:val="1B3A28"/>
          <w:sz w:val="30"/>
        </w:rPr>
        <w:t>3. Prime par rubrique &amp; contrôle des plafonds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041"/>
            <w:shd w:fill="1B3A28"/>
          </w:tcPr>
          <w:p>
            <w:r/>
            <w:r>
              <w:rPr>
                <w:b/>
                <w:color w:val="FFFFFF"/>
                <w:sz w:val="19"/>
              </w:rPr>
              <w:t>Rubrique</w:t>
            </w:r>
          </w:p>
        </w:tc>
        <w:tc>
          <w:tcPr>
            <w:tcW w:type="dxa" w:w="1247"/>
            <w:shd w:fill="1B3A28"/>
          </w:tcPr>
          <w:p>
            <w:r/>
            <w:r>
              <w:rPr>
                <w:b/>
                <w:color w:val="FFFFFF"/>
                <w:sz w:val="19"/>
              </w:rPr>
              <w:t>Budget TTC</w:t>
            </w:r>
          </w:p>
        </w:tc>
        <w:tc>
          <w:tcPr>
            <w:tcW w:type="dxa" w:w="1587"/>
            <w:shd w:fill="1B3A28"/>
          </w:tcPr>
          <w:p>
            <w:r/>
            <w:r>
              <w:rPr>
                <w:b/>
                <w:color w:val="FFFFFF"/>
                <w:sz w:val="19"/>
              </w:rPr>
              <w:t>Plafond</w:t>
            </w:r>
          </w:p>
        </w:tc>
        <w:tc>
          <w:tcPr>
            <w:tcW w:type="dxa" w:w="907"/>
            <w:shd w:fill="1B3A28"/>
          </w:tcPr>
          <w:p>
            <w:r/>
            <w:r>
              <w:rPr>
                <w:b/>
                <w:color w:val="FFFFFF"/>
                <w:sz w:val="19"/>
              </w:rPr>
              <w:t>% projet</w:t>
            </w:r>
          </w:p>
        </w:tc>
        <w:tc>
          <w:tcPr>
            <w:tcW w:type="dxa" w:w="1134"/>
            <w:shd w:fill="1B3A28"/>
          </w:tcPr>
          <w:p>
            <w:r/>
            <w:r>
              <w:rPr>
                <w:b/>
                <w:color w:val="FFFFFF"/>
                <w:sz w:val="19"/>
              </w:rPr>
              <w:t>Prime 35%</w:t>
            </w:r>
          </w:p>
        </w:tc>
        <w:tc>
          <w:tcPr>
            <w:tcW w:type="dxa" w:w="1701"/>
            <w:shd w:fill="1B3A28"/>
          </w:tcPr>
          <w:p>
            <w:r/>
            <w:r>
              <w:rPr>
                <w:b/>
                <w:color w:val="FFFFFF"/>
                <w:sz w:val="19"/>
              </w:rPr>
              <w:t>Statut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Frais préliminaires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38 000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≤5% (+divers)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9"/>
              </w:rPr>
              <w:t>4,4%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13 300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Conforme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Constructions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110 000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≤20% projet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9"/>
              </w:rPr>
              <w:t>10,1%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38 500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Conforme (large marge)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Aménagement &amp; infrastructure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410 000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Aucun plafond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9"/>
              </w:rPr>
              <w:t>37,6%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143 500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Aucun risque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Matériel d'équipement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403 000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Aucun plafond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9"/>
              </w:rPr>
              <w:t>36,9%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141 050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Aucun risque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19"/>
              </w:rPr>
              <w:t>Divers &amp; imprévus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  <w:t>10 000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sz w:val="19"/>
              </w:rPr>
              <w:t>≤5% (+frais)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sz w:val="19"/>
              </w:rPr>
              <w:t>4,4%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sz w:val="19"/>
              </w:rPr>
              <w:t>3 500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Conforme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/>
                <w:sz w:val="19"/>
              </w:rPr>
              <w:t>TOTAL PRIMABLE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b/>
                <w:sz w:val="19"/>
              </w:rPr>
              <w:t>971 000</w:t>
            </w:r>
          </w:p>
        </w:tc>
        <w:tc>
          <w:tcPr>
            <w:tcW w:type="dxa" w:w="1587"/>
          </w:tcPr>
          <w:p>
            <w:pPr>
              <w:jc w:val="right"/>
            </w:pPr>
            <w:r/>
            <w:r>
              <w:rPr>
                <w:b/>
                <w:sz w:val="19"/>
              </w:rPr>
              <w:t>—</w:t>
            </w:r>
          </w:p>
        </w:tc>
        <w:tc>
          <w:tcPr>
            <w:tcW w:type="dxa" w:w="907"/>
          </w:tcPr>
          <w:p>
            <w:pPr>
              <w:jc w:val="right"/>
            </w:pPr>
            <w:r/>
            <w:r>
              <w:rPr>
                <w:b/>
                <w:sz w:val="19"/>
              </w:rPr>
              <w:t>89,0%</w:t>
            </w:r>
          </w:p>
        </w:tc>
        <w:tc>
          <w:tcPr>
            <w:tcW w:type="dxa" w:w="1134"/>
          </w:tcPr>
          <w:p>
            <w:pPr>
              <w:jc w:val="right"/>
            </w:pPr>
            <w:r/>
            <w:r>
              <w:rPr>
                <w:b/>
                <w:sz w:val="19"/>
              </w:rPr>
              <w:t>339 850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/>
                <w:sz w:val="19"/>
              </w:rPr>
              <w:t>—</w:t>
            </w:r>
          </w:p>
        </w:tc>
      </w:tr>
    </w:tbl>
    <w:p>
      <w:pPr>
        <w:spacing w:before="240" w:after="120"/>
      </w:pPr>
      <w:r>
        <w:rPr>
          <w:b/>
          <w:color w:val="1B3A28"/>
          <w:sz w:val="30"/>
        </w:rPr>
        <w:t>4. Plan de financement (sans leasing)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69"/>
            <w:shd w:fill="1B3A28"/>
          </w:tcPr>
          <w:p>
            <w:r/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1701"/>
            <w:shd w:fill="1B3A28"/>
          </w:tcPr>
          <w:p>
            <w:r/>
            <w:r>
              <w:rPr>
                <w:b/>
                <w:color w:val="FFFFFF"/>
                <w:sz w:val="19"/>
              </w:rPr>
              <w:t>Montant (DH)</w:t>
            </w:r>
          </w:p>
        </w:tc>
        <w:tc>
          <w:tcPr>
            <w:tcW w:type="dxa" w:w="1417"/>
            <w:shd w:fill="1B3A28"/>
          </w:tcPr>
          <w:p>
            <w:r/>
            <w:r>
              <w:rPr>
                <w:b/>
                <w:color w:val="FFFFFF"/>
                <w:sz w:val="19"/>
              </w:rPr>
              <w:t>%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Prime GO SIYAHA (35% du primable)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339 850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31,1%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CMT bancaire – Al Barid Bank (50% du primable)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485 500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44,5%</w:t>
            </w:r>
          </w:p>
        </w:tc>
      </w:tr>
      <w:tr>
        <w:tc>
          <w:tcPr>
            <w:tcW w:type="dxa" w:w="5669"/>
          </w:tcPr>
          <w:p>
            <w:r/>
            <w:r>
              <w:rPr>
                <w:sz w:val="19"/>
              </w:rPr>
              <w:t>Apport fonds propres / comptes courants d'associés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9"/>
              </w:rPr>
              <w:t>265 650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sz w:val="19"/>
              </w:rPr>
              <w:t>24,4%</w:t>
            </w:r>
          </w:p>
        </w:tc>
      </w:tr>
      <w:tr>
        <w:tc>
          <w:tcPr>
            <w:tcW w:type="dxa" w:w="5669"/>
          </w:tcPr>
          <w:p>
            <w:r/>
            <w:r>
              <w:rPr>
                <w:b/>
                <w:sz w:val="19"/>
              </w:rPr>
              <w:t>TOTAL FINANCEMENT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/>
                <w:sz w:val="19"/>
              </w:rPr>
              <w:t>1 091 000</w:t>
            </w:r>
          </w:p>
        </w:tc>
        <w:tc>
          <w:tcPr>
            <w:tcW w:type="dxa" w:w="1417"/>
          </w:tcPr>
          <w:p>
            <w:pPr>
              <w:jc w:val="right"/>
            </w:pPr>
            <w:r/>
            <w:r>
              <w:rPr>
                <w:b/>
                <w:sz w:val="19"/>
              </w:rPr>
              <w:t>100%</w:t>
            </w:r>
          </w:p>
        </w:tc>
      </w:tr>
    </w:tbl>
    <w:p>
      <w:pPr>
        <w:spacing w:before="240" w:after="120"/>
      </w:pPr>
      <w:r>
        <w:rPr>
          <w:b/>
          <w:color w:val="1B3A28"/>
          <w:sz w:val="30"/>
        </w:rPr>
        <w:t>5. Cahier des travaux — Entreprise de construction &amp; aménagement</w:t>
      </w:r>
    </w:p>
    <w:p>
      <w:pPr>
        <w:spacing w:after="80"/>
      </w:pPr>
      <w:r>
        <w:rPr>
          <w:b w:val="0"/>
          <w:color w:val="555555"/>
          <w:sz w:val="20"/>
        </w:rPr>
        <w:t>Périmètre des travaux de génie civil et d'aménagement à confier à l'entreprise (à chiffrer en devis). Total travaux : 350 000 DH TTC. Les équipements (tente, climatisation, mobilier, sonorisation, paintball, e-bikes, cuisine, solaire, pompe) relèvent de fournisseurs spécialisés et ne font pas partie de ce lot.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6236"/>
            <w:shd w:fill="1B3A28"/>
          </w:tcPr>
          <w:p>
            <w:r/>
            <w:r>
              <w:rPr>
                <w:b/>
                <w:color w:val="FFFFFF"/>
                <w:sz w:val="19"/>
              </w:rPr>
              <w:t>Lot / Prestation</w:t>
            </w:r>
          </w:p>
        </w:tc>
        <w:tc>
          <w:tcPr>
            <w:tcW w:type="dxa" w:w="113"/>
            <w:shd w:fill="1B3A28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1247"/>
            <w:shd w:fill="1B3A28"/>
          </w:tcPr>
          <w:p>
            <w:r/>
            <w:r>
              <w:rPr>
                <w:b/>
                <w:color w:val="FFFFFF"/>
                <w:sz w:val="19"/>
              </w:rPr>
              <w:t>HT (DH)</w:t>
            </w:r>
          </w:p>
        </w:tc>
        <w:tc>
          <w:tcPr>
            <w:tcW w:type="dxa" w:w="1361"/>
            <w:shd w:fill="1B3A28"/>
          </w:tcPr>
          <w:p>
            <w:r/>
            <w:r>
              <w:rPr>
                <w:b/>
                <w:color w:val="FFFFFF"/>
                <w:sz w:val="19"/>
              </w:rPr>
              <w:t>TTC (DH)</w:t>
            </w:r>
          </w:p>
        </w:tc>
      </w:tr>
      <w:tr>
        <w:tc>
          <w:tcPr>
            <w:tcW w:type="dxa" w:w="6236"/>
          </w:tcPr>
          <w:p>
            <w:r/>
            <w:r>
              <w:rPr>
                <w:b/>
                <w:sz w:val="19"/>
              </w:rPr>
              <w:t>LOT 1 — Terrassement &amp; VRD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b/>
                <w:sz w:val="19"/>
              </w:rPr>
              <w:t>25 000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30 000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 xml:space="preserve">  Décapage, nivellement, terrassement général du site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 xml:space="preserve">  Plateformes (bâtiment, tente, zones d'activité), tranchées réseaux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r/>
            <w:r>
              <w:rPr>
                <w:b/>
                <w:sz w:val="19"/>
              </w:rPr>
              <w:t>LOT 2 — Bâtiment accueil / sanitaires / vestiaires (clé en main)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b/>
                <w:sz w:val="19"/>
              </w:rPr>
              <w:t>66 667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80 000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 xml:space="preserve">  Fondations + dallage + maçonnerie / élévation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 xml:space="preserve">  Sanitaires + vestiaires (plomberie, carrelage, faïence)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 xml:space="preserve">  Toiture / étanchéité / menuiseries / peinture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r/>
            <w:r>
              <w:rPr>
                <w:b/>
                <w:sz w:val="19"/>
              </w:rPr>
              <w:t>LOT 3 — Forage puits + infrastructure hydraulique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b/>
                <w:sz w:val="19"/>
              </w:rPr>
              <w:t>83 333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100 000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 xml:space="preserve">  Forage / sondage / tubage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 xml:space="preserve">  Réservoir / bâche à eau + raccordements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 xml:space="preserve">  Réseau de distribution / irrigation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r/>
            <w:r>
              <w:rPr>
                <w:b/>
                <w:sz w:val="19"/>
              </w:rPr>
              <w:t>LOT 4 — Réseaux, électricité extérieure &amp; paysager (communs)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b/>
                <w:sz w:val="19"/>
              </w:rPr>
              <w:t>41 667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50 000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 xml:space="preserve">  Réseau électrique enterré + tableau + éclairage extérieur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 xml:space="preserve">  Réseau d'eau / assainissement, plantations &amp; zones ombragées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r/>
            <w:r>
              <w:rPr>
                <w:b/>
                <w:sz w:val="19"/>
              </w:rPr>
              <w:t>LOT 5 — Voirie, allées, parking, clôtures, signalétique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b/>
                <w:sz w:val="19"/>
              </w:rPr>
              <w:t>50 000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60 000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 xml:space="preserve">  Allées piétonnes, parking stabilisé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 xml:space="preserve">  Clôture périmétrique + portail + signalétique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r/>
            <w:r>
              <w:rPr>
                <w:b/>
                <w:sz w:val="19"/>
              </w:rPr>
              <w:t>LOT 6 — Espace « du jardin à l'assiette »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b/>
                <w:sz w:val="19"/>
              </w:rPr>
              <w:t>25 000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30 000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sz w:val="19"/>
              </w:rPr>
              <w:t xml:space="preserve">  Bacs potagers, irrigation, pergola / zone atelier extérieure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9"/>
              </w:rPr>
            </w:r>
          </w:p>
        </w:tc>
      </w:tr>
      <w:tr>
        <w:tc>
          <w:tcPr>
            <w:tcW w:type="dxa" w:w="6236"/>
          </w:tcPr>
          <w:p>
            <w:r/>
            <w:r>
              <w:rPr>
                <w:b/>
                <w:sz w:val="19"/>
              </w:rPr>
              <w:t>TOTAL TRAVAUX CONSTRUCTION &amp; AMÉNAGEMENT</w:t>
            </w:r>
          </w:p>
        </w:tc>
        <w:tc>
          <w:tcPr>
            <w:tcW w:type="dxa" w:w="113"/>
          </w:tcPr>
          <w:p>
            <w:pPr>
              <w:jc w:val="right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b/>
                <w:sz w:val="19"/>
              </w:rPr>
              <w:t>291 667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b/>
                <w:sz w:val="19"/>
              </w:rPr>
              <w:t>350 000</w:t>
            </w:r>
          </w:p>
        </w:tc>
      </w:tr>
    </w:tbl>
    <w:p>
      <w:pPr>
        <w:spacing w:after="80"/>
      </w:pPr>
      <w:r>
        <w:rPr>
          <w:b w:val="0"/>
          <w:color w:val="555555"/>
          <w:sz w:val="19"/>
        </w:rPr>
        <w:t>Tous les travaux : état NEUF, facture au nom de DA21 SARL AU, règlement par le compte bancaire de la société. Devis détaillé par lot demandé, daté/signé/cacheté.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