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B3A28"/>
          <w:sz w:val="30"/>
          <w:szCs w:val="30"/>
        </w:rPr>
        <w:t xml:space="preserve">VOYAGES</w:t>
      </w:r>
      <w:r>
        <w:rPr>
          <w:rFonts w:ascii="Georgia" w:cs="Georgia" w:eastAsia="Georgia" w:hAnsi="Georgia"/>
          <w:b/>
          <w:bCs/>
          <w:color w:val="C8A440"/>
          <w:sz w:val="30"/>
          <w:szCs w:val="30"/>
        </w:rPr>
        <w:t xml:space="preserve">21</w:t>
      </w:r>
    </w:p>
    <w:p>
      <w:pPr>
        <w:spacing w:after="200"/>
        <w:jc w:val="center"/>
      </w:pPr>
      <w:r>
        <w:rPr>
          <w:rFonts w:ascii="Calibri" w:cs="Calibri" w:eastAsia="Calibri" w:hAnsi="Calibri"/>
          <w:caps/>
          <w:color w:val="C8A440"/>
          <w:sz w:val="15"/>
          <w:szCs w:val="15"/>
        </w:rPr>
        <w:t xml:space="preserve">LE VOYAGE COUSU MAIN</w:t>
      </w:r>
    </w:p>
    <w:p>
      <w:pPr>
        <w:spacing w:after="40"/>
        <w:jc w:val="center"/>
      </w:pPr>
      <w:r>
        <w:rPr>
          <w:rFonts w:ascii="Georgia" w:cs="Georgia" w:eastAsia="Georgia" w:hAnsi="Georgia"/>
          <w:b/>
          <w:bCs/>
          <w:color w:val="1B3A28"/>
          <w:sz w:val="34"/>
          <w:szCs w:val="34"/>
        </w:rPr>
        <w:t xml:space="preserve">Contrat d'apporteur d'affaires</w:t>
      </w:r>
    </w:p>
    <w:p>
      <w:pPr>
        <w:spacing w:after="60"/>
        <w:jc w:val="center"/>
      </w:pPr>
      <w:r>
        <w:rPr>
          <w:rFonts w:ascii="Calibri" w:cs="Calibri" w:eastAsia="Calibri" w:hAnsi="Calibri"/>
          <w:i/>
          <w:iCs/>
          <w:color w:val="444444"/>
          <w:sz w:val="18"/>
          <w:szCs w:val="18"/>
        </w:rPr>
        <w:t xml:space="preserve">Entre l'Agence et l'Apporteur</w:t>
      </w:r>
    </w:p>
    <w:p>
      <w:pPr>
        <w:pBdr>
          <w:bottom w:val="single" w:color="C8A440" w:sz="8" w:space="4"/>
        </w:pBdr>
        <w:spacing w:after="120" w:before="120"/>
      </w:pPr>
    </w:p>
    <w:p>
      <w:pPr>
        <w:pBdr>
          <w:top w:val="single" w:color="C8A440" w:sz="4"/>
          <w:bottom w:val="single" w:color="C8A440" w:sz="4"/>
          <w:left w:val="single" w:color="C8A440" w:sz="4"/>
          <w:right w:val="single" w:color="C8A440" w:sz="4"/>
        </w:pBdr>
        <w:shd w:fill="F5F0E8" w:val="clear"/>
        <w:spacing w:after="160" w:before="100"/>
        <w:jc w:val="left"/>
      </w:pPr>
      <w:r>
        <w:rPr>
          <w:rFonts w:ascii="Calibri" w:cs="Calibri" w:eastAsia="Calibri" w:hAnsi="Calibri"/>
          <w:i/>
          <w:iCs/>
          <w:color w:val="444444"/>
          <w:sz w:val="17"/>
          <w:szCs w:val="17"/>
        </w:rPr>
        <w:t xml:space="preserve">⚠️  Modèle — première version. À personnaliser (champs entre [ ]) puis à faire valider par un avocat et un comptable au Maroc avant signature.</w:t>
      </w:r>
    </w:p>
    <w:p>
      <w:pPr>
        <w:spacing w:after="100" w:line="264"/>
        <w:jc w:val="both"/>
      </w:pPr>
      <w:r>
        <w:rPr>
          <w:rFonts w:ascii="Calibri" w:cs="Calibri" w:eastAsia="Calibri" w:hAnsi="Calibri"/>
          <w:b/>
          <w:bCs/>
          <w:color w:val="222222"/>
          <w:sz w:val="21"/>
          <w:szCs w:val="21"/>
        </w:rPr>
        <w:t xml:space="preserve">ENTRE LES SOUSSIGNÉS :</w:t>
      </w:r>
    </w:p>
    <w:p>
      <w:pPr>
        <w:spacing w:after="120" w:line="264"/>
        <w:jc w:val="both"/>
      </w:pPr>
      <w:r>
        <w:rPr>
          <w:rFonts w:ascii="Calibri" w:cs="Calibri" w:eastAsia="Calibri" w:hAnsi="Calibri"/>
          <w:b/>
          <w:bCs/>
          <w:color w:val="222222"/>
          <w:sz w:val="21"/>
          <w:szCs w:val="21"/>
        </w:rPr>
        <w:t xml:space="preserve">L'AGENCE</w:t>
      </w:r>
      <w:r>
        <w:rPr>
          <w:rFonts w:ascii="Calibri" w:cs="Calibri" w:eastAsia="Calibri" w:hAnsi="Calibri"/>
          <w:color w:val="222222"/>
          <w:sz w:val="21"/>
          <w:szCs w:val="21"/>
        </w:rPr>
        <w:t xml:space="preserve"> — [Dénomination / raison sociale de l'agence], agence de voyages titulaire de la licence n° [   ], immatriculée [RC / ICE / IF], dont le siège est [adresse], représentée par [nom, qualité], ci-après « </w:t>
      </w:r>
      <w:r>
        <w:rPr>
          <w:rFonts w:ascii="Calibri" w:cs="Calibri" w:eastAsia="Calibri" w:hAnsi="Calibri"/>
          <w:b/>
          <w:bCs/>
          <w:color w:val="222222"/>
          <w:sz w:val="21"/>
          <w:szCs w:val="21"/>
        </w:rPr>
        <w:t xml:space="preserve">l'Agence</w:t>
      </w:r>
      <w:r>
        <w:rPr>
          <w:rFonts w:ascii="Calibri" w:cs="Calibri" w:eastAsia="Calibri" w:hAnsi="Calibri"/>
          <w:color w:val="222222"/>
          <w:sz w:val="21"/>
          <w:szCs w:val="21"/>
        </w:rPr>
        <w:t xml:space="preserve"> »,</w:t>
      </w:r>
    </w:p>
    <w:p>
      <w:pPr>
        <w:spacing w:after="100" w:line="264"/>
        <w:jc w:val="both"/>
      </w:pPr>
      <w:r>
        <w:rPr>
          <w:rFonts w:ascii="Calibri" w:cs="Calibri" w:eastAsia="Calibri" w:hAnsi="Calibri"/>
          <w:b/>
          <w:bCs/>
          <w:color w:val="222222"/>
          <w:sz w:val="21"/>
          <w:szCs w:val="21"/>
        </w:rPr>
        <w:t xml:space="preserve">ET</w:t>
      </w:r>
    </w:p>
    <w:p>
      <w:pPr>
        <w:spacing w:after="120" w:line="264"/>
        <w:jc w:val="both"/>
      </w:pPr>
      <w:r>
        <w:rPr>
          <w:rFonts w:ascii="Calibri" w:cs="Calibri" w:eastAsia="Calibri" w:hAnsi="Calibri"/>
          <w:b/>
          <w:bCs/>
          <w:color w:val="222222"/>
          <w:sz w:val="21"/>
          <w:szCs w:val="21"/>
        </w:rPr>
        <w:t xml:space="preserve">L'APPORTEUR</w:t>
      </w:r>
      <w:r>
        <w:rPr>
          <w:rFonts w:ascii="Calibri" w:cs="Calibri" w:eastAsia="Calibri" w:hAnsi="Calibri"/>
          <w:color w:val="222222"/>
          <w:sz w:val="21"/>
          <w:szCs w:val="21"/>
        </w:rPr>
        <w:t xml:space="preserve"> — [Nom / raison sociale — ex. Karim Zoubdane], [statut : auto-entrepreneur / société], [RC / ICE / IF le cas échéant], domicilié·e à [adresse], ci-après « </w:t>
      </w:r>
      <w:r>
        <w:rPr>
          <w:rFonts w:ascii="Calibri" w:cs="Calibri" w:eastAsia="Calibri" w:hAnsi="Calibri"/>
          <w:b/>
          <w:bCs/>
          <w:color w:val="222222"/>
          <w:sz w:val="21"/>
          <w:szCs w:val="21"/>
        </w:rPr>
        <w:t xml:space="preserve">l'Apporteur</w:t>
      </w:r>
      <w:r>
        <w:rPr>
          <w:rFonts w:ascii="Calibri" w:cs="Calibri" w:eastAsia="Calibri" w:hAnsi="Calibri"/>
          <w:color w:val="222222"/>
          <w:sz w:val="21"/>
          <w:szCs w:val="21"/>
        </w:rPr>
        <w:t xml:space="preserve"> »,</w:t>
      </w:r>
    </w:p>
    <w:p>
      <w:pPr>
        <w:spacing w:after="120" w:line="264"/>
        <w:jc w:val="both"/>
      </w:pPr>
      <w:r>
        <w:rPr>
          <w:rFonts w:ascii="Calibri" w:cs="Calibri" w:eastAsia="Calibri" w:hAnsi="Calibri"/>
          <w:color w:val="222222"/>
          <w:sz w:val="21"/>
          <w:szCs w:val="21"/>
        </w:rPr>
        <w:t xml:space="preserve">Ensemble « les Parties ».</w:t>
      </w:r>
    </w:p>
    <w:p>
      <w:pPr>
        <w:pBdr>
          <w:bottom w:val="single" w:color="C8A440" w:sz="8" w:space="4"/>
        </w:pBdr>
        <w:spacing w:after="120" w:before="120"/>
      </w:pPr>
    </w:p>
    <w:p>
      <w:pPr>
        <w:spacing w:after="100" w:before="220"/>
      </w:pPr>
      <w:r>
        <w:rPr>
          <w:rFonts w:ascii="Georgia" w:cs="Georgia" w:eastAsia="Georgia" w:hAnsi="Georgia"/>
          <w:b/>
          <w:bCs/>
          <w:color w:val="C8A440"/>
          <w:sz w:val="22"/>
          <w:szCs w:val="22"/>
        </w:rPr>
        <w:t xml:space="preserve">Article 1 — </w:t>
      </w:r>
      <w:r>
        <w:rPr>
          <w:rFonts w:ascii="Georgia" w:cs="Georgia" w:eastAsia="Georgia" w:hAnsi="Georgia"/>
          <w:b/>
          <w:bCs/>
          <w:color w:val="1B3A28"/>
          <w:sz w:val="22"/>
          <w:szCs w:val="22"/>
        </w:rPr>
        <w:t xml:space="preserve">Objet</w:t>
      </w:r>
    </w:p>
    <w:p>
      <w:pPr>
        <w:spacing w:after="120" w:line="264"/>
        <w:jc w:val="both"/>
      </w:pPr>
      <w:r>
        <w:rPr>
          <w:rFonts w:ascii="Calibri" w:cs="Calibri" w:eastAsia="Calibri" w:hAnsi="Calibri"/>
          <w:color w:val="222222"/>
          <w:sz w:val="21"/>
          <w:szCs w:val="21"/>
        </w:rPr>
        <w:t xml:space="preserve">Le présent contrat définit les conditions dans lesquelles l'Apporteur met en relation l'Agence avec des clients (particuliers, entreprises, associations, groupes, organisateurs d'événements…) en vue de la réalisation, par l'Agence, de prestations de voyage et services touristiques, moyennant une </w:t>
      </w:r>
      <w:r>
        <w:rPr>
          <w:rFonts w:ascii="Calibri" w:cs="Calibri" w:eastAsia="Calibri" w:hAnsi="Calibri"/>
          <w:b/>
          <w:bCs/>
          <w:color w:val="222222"/>
          <w:sz w:val="21"/>
          <w:szCs w:val="21"/>
        </w:rPr>
        <w:t xml:space="preserve">commission d'apport d'affaires</w:t>
      </w:r>
      <w:r>
        <w:rPr>
          <w:rFonts w:ascii="Calibri" w:cs="Calibri" w:eastAsia="Calibri" w:hAnsi="Calibri"/>
          <w:color w:val="222222"/>
          <w:sz w:val="21"/>
          <w:szCs w:val="21"/>
        </w:rPr>
        <w:t xml:space="preserve">.</w:t>
      </w:r>
    </w:p>
    <w:p>
      <w:pPr>
        <w:spacing w:after="100" w:before="220"/>
      </w:pPr>
      <w:r>
        <w:rPr>
          <w:rFonts w:ascii="Georgia" w:cs="Georgia" w:eastAsia="Georgia" w:hAnsi="Georgia"/>
          <w:b/>
          <w:bCs/>
          <w:color w:val="C8A440"/>
          <w:sz w:val="22"/>
          <w:szCs w:val="22"/>
        </w:rPr>
        <w:t xml:space="preserve">Article 2 — </w:t>
      </w:r>
      <w:r>
        <w:rPr>
          <w:rFonts w:ascii="Georgia" w:cs="Georgia" w:eastAsia="Georgia" w:hAnsi="Georgia"/>
          <w:b/>
          <w:bCs/>
          <w:color w:val="1B3A28"/>
          <w:sz w:val="22"/>
          <w:szCs w:val="22"/>
        </w:rPr>
        <w:t xml:space="preserve">Mission de l'Apporteur</w:t>
      </w:r>
    </w:p>
    <w:p>
      <w:pPr>
        <w:spacing w:after="120" w:line="264"/>
        <w:jc w:val="both"/>
      </w:pPr>
      <w:r>
        <w:rPr>
          <w:rFonts w:ascii="Calibri" w:cs="Calibri" w:eastAsia="Calibri" w:hAnsi="Calibri"/>
          <w:color w:val="222222"/>
          <w:sz w:val="21"/>
          <w:szCs w:val="21"/>
        </w:rPr>
        <w:t xml:space="preserve">2.1. L'Apporteur prospecte, identifie et présente à l'Agence des clients potentiels (« Clients Apportés ») et, le cas échéant, négocie et fait signer des conventions de partenariat / contrats-cadres pour le compte de l'Agence, dans la limite du mandat écrit qui lui est confié.</w:t>
      </w:r>
    </w:p>
    <w:p>
      <w:pPr>
        <w:spacing w:after="120" w:line="264"/>
        <w:jc w:val="both"/>
      </w:pPr>
      <w:r>
        <w:rPr>
          <w:rFonts w:ascii="Calibri" w:cs="Calibri" w:eastAsia="Calibri" w:hAnsi="Calibri"/>
          <w:color w:val="222222"/>
          <w:sz w:val="21"/>
          <w:szCs w:val="21"/>
        </w:rPr>
        <w:t xml:space="preserve">2.2. </w:t>
      </w:r>
      <w:r>
        <w:rPr>
          <w:rFonts w:ascii="Calibri" w:cs="Calibri" w:eastAsia="Calibri" w:hAnsi="Calibri"/>
          <w:b/>
          <w:bCs/>
          <w:color w:val="222222"/>
          <w:sz w:val="21"/>
          <w:szCs w:val="21"/>
        </w:rPr>
        <w:t xml:space="preserve">L'Apporteur n'encaisse aucune somme</w:t>
      </w:r>
      <w:r>
        <w:rPr>
          <w:rFonts w:ascii="Calibri" w:cs="Calibri" w:eastAsia="Calibri" w:hAnsi="Calibri"/>
          <w:color w:val="222222"/>
          <w:sz w:val="21"/>
          <w:szCs w:val="21"/>
        </w:rPr>
        <w:t xml:space="preserve"> au titre des ventes de voyage : il n'agit pas comme agence de voyages et ne dispose pas de licence à cet effet. Toute vente, facturation et encaissement relèvent exclusivement de l'Agence.</w:t>
      </w:r>
    </w:p>
    <w:p>
      <w:pPr>
        <w:spacing w:after="120" w:line="264"/>
        <w:jc w:val="both"/>
      </w:pPr>
      <w:r>
        <w:rPr>
          <w:rFonts w:ascii="Calibri" w:cs="Calibri" w:eastAsia="Calibri" w:hAnsi="Calibri"/>
          <w:color w:val="222222"/>
          <w:sz w:val="21"/>
          <w:szCs w:val="21"/>
        </w:rPr>
        <w:t xml:space="preserve">2.3. L'Apporteur exerce sa mission en toute indépendance ; le présent contrat ne crée aucun lien de subordination ni contrat de travail.</w:t>
      </w:r>
    </w:p>
    <w:p>
      <w:pPr>
        <w:spacing w:after="100" w:before="220"/>
      </w:pPr>
      <w:r>
        <w:rPr>
          <w:rFonts w:ascii="Georgia" w:cs="Georgia" w:eastAsia="Georgia" w:hAnsi="Georgia"/>
          <w:b/>
          <w:bCs/>
          <w:color w:val="C8A440"/>
          <w:sz w:val="22"/>
          <w:szCs w:val="22"/>
        </w:rPr>
        <w:t xml:space="preserve">Article 3 — </w:t>
      </w:r>
      <w:r>
        <w:rPr>
          <w:rFonts w:ascii="Georgia" w:cs="Georgia" w:eastAsia="Georgia" w:hAnsi="Georgia"/>
          <w:b/>
          <w:bCs/>
          <w:color w:val="1B3A28"/>
          <w:sz w:val="22"/>
          <w:szCs w:val="22"/>
        </w:rPr>
        <w:t xml:space="preserve">Non-exclusivité</w:t>
      </w:r>
    </w:p>
    <w:p>
      <w:pPr>
        <w:spacing w:after="120" w:line="264"/>
        <w:jc w:val="both"/>
      </w:pPr>
      <w:r>
        <w:rPr>
          <w:rFonts w:ascii="Calibri" w:cs="Calibri" w:eastAsia="Calibri" w:hAnsi="Calibri"/>
          <w:color w:val="222222"/>
          <w:sz w:val="21"/>
          <w:szCs w:val="21"/>
        </w:rPr>
        <w:t xml:space="preserve">Sauf stipulation contraire, le présent contrat est </w:t>
      </w:r>
      <w:r>
        <w:rPr>
          <w:rFonts w:ascii="Calibri" w:cs="Calibri" w:eastAsia="Calibri" w:hAnsi="Calibri"/>
          <w:b/>
          <w:bCs/>
          <w:color w:val="222222"/>
          <w:sz w:val="21"/>
          <w:szCs w:val="21"/>
        </w:rPr>
        <w:t xml:space="preserve">non exclusif</w:t>
      </w:r>
      <w:r>
        <w:rPr>
          <w:rFonts w:ascii="Calibri" w:cs="Calibri" w:eastAsia="Calibri" w:hAnsi="Calibri"/>
          <w:color w:val="222222"/>
          <w:sz w:val="21"/>
          <w:szCs w:val="21"/>
        </w:rPr>
        <w:t xml:space="preserve"> : chaque Partie reste libre de travailler avec d'autres partenaires. (Option exclusivité : préciser périmètre géographique / segment / durée.)</w:t>
      </w:r>
    </w:p>
    <w:p>
      <w:pPr>
        <w:spacing w:after="100" w:before="220"/>
      </w:pPr>
      <w:r>
        <w:rPr>
          <w:rFonts w:ascii="Georgia" w:cs="Georgia" w:eastAsia="Georgia" w:hAnsi="Georgia"/>
          <w:b/>
          <w:bCs/>
          <w:color w:val="C8A440"/>
          <w:sz w:val="22"/>
          <w:szCs w:val="22"/>
        </w:rPr>
        <w:t xml:space="preserve">Article 4 — </w:t>
      </w:r>
      <w:r>
        <w:rPr>
          <w:rFonts w:ascii="Georgia" w:cs="Georgia" w:eastAsia="Georgia" w:hAnsi="Georgia"/>
          <w:b/>
          <w:bCs/>
          <w:color w:val="1B3A28"/>
          <w:sz w:val="22"/>
          <w:szCs w:val="22"/>
        </w:rPr>
        <w:t xml:space="preserve">Rémunération (commission)</w:t>
      </w:r>
    </w:p>
    <w:p>
      <w:pPr>
        <w:spacing w:after="120" w:line="264"/>
        <w:jc w:val="both"/>
      </w:pPr>
      <w:r>
        <w:rPr>
          <w:rFonts w:ascii="Calibri" w:cs="Calibri" w:eastAsia="Calibri" w:hAnsi="Calibri"/>
          <w:color w:val="222222"/>
          <w:sz w:val="21"/>
          <w:szCs w:val="21"/>
        </w:rPr>
        <w:t xml:space="preserve">4.1. </w:t>
      </w:r>
      <w:r>
        <w:rPr>
          <w:rFonts w:ascii="Calibri" w:cs="Calibri" w:eastAsia="Calibri" w:hAnsi="Calibri"/>
          <w:b/>
          <w:bCs/>
          <w:color w:val="222222"/>
          <w:sz w:val="21"/>
          <w:szCs w:val="21"/>
        </w:rPr>
        <w:t xml:space="preserve">Base de commission</w:t>
      </w:r>
      <w:r>
        <w:rPr>
          <w:rFonts w:ascii="Calibri" w:cs="Calibri" w:eastAsia="Calibri" w:hAnsi="Calibri"/>
          <w:color w:val="222222"/>
          <w:sz w:val="21"/>
          <w:szCs w:val="21"/>
        </w:rPr>
        <w:t xml:space="preserve"> (retenir une seule option — voir Annexe 1) : ☐ % de la marge nette du dossier : [__] %  ;  ☐ % du chiffre d'affaires HT du dossier : [__] %.</w:t>
      </w:r>
    </w:p>
    <w:p>
      <w:pPr>
        <w:spacing w:after="120" w:line="264"/>
        <w:jc w:val="both"/>
      </w:pPr>
      <w:r>
        <w:rPr>
          <w:rFonts w:ascii="Calibri" w:cs="Calibri" w:eastAsia="Calibri" w:hAnsi="Calibri"/>
          <w:color w:val="222222"/>
          <w:sz w:val="21"/>
          <w:szCs w:val="21"/>
        </w:rPr>
        <w:t xml:space="preserve">4.2. </w:t>
      </w:r>
      <w:r>
        <w:rPr>
          <w:rFonts w:ascii="Calibri" w:cs="Calibri" w:eastAsia="Calibri" w:hAnsi="Calibri"/>
          <w:b/>
          <w:bCs/>
          <w:color w:val="222222"/>
          <w:sz w:val="21"/>
          <w:szCs w:val="21"/>
        </w:rPr>
        <w:t xml:space="preserve">Fait générateur</w:t>
      </w:r>
      <w:r>
        <w:rPr>
          <w:rFonts w:ascii="Calibri" w:cs="Calibri" w:eastAsia="Calibri" w:hAnsi="Calibri"/>
          <w:color w:val="222222"/>
          <w:sz w:val="21"/>
          <w:szCs w:val="21"/>
        </w:rPr>
        <w:t xml:space="preserve"> : la commission est </w:t>
      </w:r>
      <w:r>
        <w:rPr>
          <w:rFonts w:ascii="Calibri" w:cs="Calibri" w:eastAsia="Calibri" w:hAnsi="Calibri"/>
          <w:b/>
          <w:bCs/>
          <w:color w:val="222222"/>
          <w:sz w:val="21"/>
          <w:szCs w:val="21"/>
        </w:rPr>
        <w:t xml:space="preserve">due à l'encaissement effectif</w:t>
      </w:r>
      <w:r>
        <w:rPr>
          <w:rFonts w:ascii="Calibri" w:cs="Calibri" w:eastAsia="Calibri" w:hAnsi="Calibri"/>
          <w:color w:val="222222"/>
          <w:sz w:val="21"/>
          <w:szCs w:val="21"/>
        </w:rPr>
        <w:t xml:space="preserve"> du Client Apporté par l'Agence (prorata en cas de paiements échelonnés).</w:t>
      </w:r>
    </w:p>
    <w:p>
      <w:pPr>
        <w:spacing w:after="120" w:line="264"/>
        <w:jc w:val="both"/>
      </w:pPr>
      <w:r>
        <w:rPr>
          <w:rFonts w:ascii="Calibri" w:cs="Calibri" w:eastAsia="Calibri" w:hAnsi="Calibri"/>
          <w:color w:val="222222"/>
          <w:sz w:val="21"/>
          <w:szCs w:val="21"/>
        </w:rPr>
        <w:t xml:space="preserve">4.3. </w:t>
      </w:r>
      <w:r>
        <w:rPr>
          <w:rFonts w:ascii="Calibri" w:cs="Calibri" w:eastAsia="Calibri" w:hAnsi="Calibri"/>
          <w:b/>
          <w:bCs/>
          <w:color w:val="222222"/>
          <w:sz w:val="21"/>
          <w:szCs w:val="21"/>
        </w:rPr>
        <w:t xml:space="preserve">Délai de règlement</w:t>
      </w:r>
      <w:r>
        <w:rPr>
          <w:rFonts w:ascii="Calibri" w:cs="Calibri" w:eastAsia="Calibri" w:hAnsi="Calibri"/>
          <w:color w:val="222222"/>
          <w:sz w:val="21"/>
          <w:szCs w:val="21"/>
        </w:rPr>
        <w:t xml:space="preserve"> : l'Agence règle l'Apporteur sous [15] jours suivant chaque encaissement client, sur présentation de la facture de l'Apporteur.</w:t>
      </w:r>
    </w:p>
    <w:p>
      <w:pPr>
        <w:spacing w:after="120" w:line="264"/>
        <w:jc w:val="both"/>
      </w:pPr>
      <w:r>
        <w:rPr>
          <w:rFonts w:ascii="Calibri" w:cs="Calibri" w:eastAsia="Calibri" w:hAnsi="Calibri"/>
          <w:color w:val="222222"/>
          <w:sz w:val="21"/>
          <w:szCs w:val="21"/>
        </w:rPr>
        <w:t xml:space="preserve">4.4. </w:t>
      </w:r>
      <w:r>
        <w:rPr>
          <w:rFonts w:ascii="Calibri" w:cs="Calibri" w:eastAsia="Calibri" w:hAnsi="Calibri"/>
          <w:b/>
          <w:bCs/>
          <w:color w:val="222222"/>
          <w:sz w:val="21"/>
          <w:szCs w:val="21"/>
        </w:rPr>
        <w:t xml:space="preserve">Annulation / remboursement</w:t>
      </w:r>
      <w:r>
        <w:rPr>
          <w:rFonts w:ascii="Calibri" w:cs="Calibri" w:eastAsia="Calibri" w:hAnsi="Calibri"/>
          <w:color w:val="222222"/>
          <w:sz w:val="21"/>
          <w:szCs w:val="21"/>
        </w:rPr>
        <w:t xml:space="preserve"> : la commission est recalculée au prorata des sommes définitivement conservées par l'Agence.</w:t>
      </w:r>
    </w:p>
    <w:p>
      <w:pPr>
        <w:spacing w:after="120" w:line="264"/>
        <w:jc w:val="both"/>
      </w:pPr>
      <w:r>
        <w:rPr>
          <w:rFonts w:ascii="Calibri" w:cs="Calibri" w:eastAsia="Calibri" w:hAnsi="Calibri"/>
          <w:color w:val="222222"/>
          <w:sz w:val="21"/>
          <w:szCs w:val="21"/>
        </w:rPr>
        <w:t xml:space="preserve">4.5. La grille détaillée figure en </w:t>
      </w:r>
      <w:r>
        <w:rPr>
          <w:rFonts w:ascii="Calibri" w:cs="Calibri" w:eastAsia="Calibri" w:hAnsi="Calibri"/>
          <w:b/>
          <w:bCs/>
          <w:color w:val="222222"/>
          <w:sz w:val="21"/>
          <w:szCs w:val="21"/>
        </w:rPr>
        <w:t xml:space="preserve">Annexe 1</w:t>
      </w:r>
      <w:r>
        <w:rPr>
          <w:rFonts w:ascii="Calibri" w:cs="Calibri" w:eastAsia="Calibri" w:hAnsi="Calibri"/>
          <w:color w:val="222222"/>
          <w:sz w:val="21"/>
          <w:szCs w:val="21"/>
        </w:rPr>
        <w:t xml:space="preserve">.</w:t>
      </w:r>
    </w:p>
    <w:p>
      <w:pPr>
        <w:spacing w:after="100" w:before="220"/>
      </w:pPr>
      <w:r>
        <w:rPr>
          <w:rFonts w:ascii="Georgia" w:cs="Georgia" w:eastAsia="Georgia" w:hAnsi="Georgia"/>
          <w:b/>
          <w:bCs/>
          <w:color w:val="C8A440"/>
          <w:sz w:val="22"/>
          <w:szCs w:val="22"/>
        </w:rPr>
        <w:t xml:space="preserve">Article 5 — </w:t>
      </w:r>
      <w:r>
        <w:rPr>
          <w:rFonts w:ascii="Georgia" w:cs="Georgia" w:eastAsia="Georgia" w:hAnsi="Georgia"/>
          <w:b/>
          <w:bCs/>
          <w:color w:val="1B3A28"/>
          <w:sz w:val="22"/>
          <w:szCs w:val="22"/>
        </w:rPr>
        <w:t xml:space="preserve">Facturation</w:t>
      </w:r>
    </w:p>
    <w:p>
      <w:pPr>
        <w:spacing w:after="120" w:line="264"/>
        <w:jc w:val="both"/>
      </w:pPr>
      <w:r>
        <w:rPr>
          <w:rFonts w:ascii="Calibri" w:cs="Calibri" w:eastAsia="Calibri" w:hAnsi="Calibri"/>
          <w:color w:val="222222"/>
          <w:sz w:val="21"/>
          <w:szCs w:val="21"/>
        </w:rPr>
        <w:t xml:space="preserve">5.1. L'Apporteur émet une </w:t>
      </w:r>
      <w:r>
        <w:rPr>
          <w:rFonts w:ascii="Calibri" w:cs="Calibri" w:eastAsia="Calibri" w:hAnsi="Calibri"/>
          <w:b/>
          <w:bCs/>
          <w:color w:val="222222"/>
          <w:sz w:val="21"/>
          <w:szCs w:val="21"/>
        </w:rPr>
        <w:t xml:space="preserve">facture (ou note d'honoraires)</w:t>
      </w:r>
      <w:r>
        <w:rPr>
          <w:rFonts w:ascii="Calibri" w:cs="Calibri" w:eastAsia="Calibri" w:hAnsi="Calibri"/>
          <w:color w:val="222222"/>
          <w:sz w:val="21"/>
          <w:szCs w:val="21"/>
        </w:rPr>
        <w:t xml:space="preserve"> à l'Agence portant l'objet : « Commission d'apport d'affaires — dossier [réf. Client] ».</w:t>
      </w:r>
    </w:p>
    <w:p>
      <w:pPr>
        <w:spacing w:after="120" w:line="264"/>
        <w:jc w:val="both"/>
      </w:pPr>
      <w:r>
        <w:rPr>
          <w:rFonts w:ascii="Calibri" w:cs="Calibri" w:eastAsia="Calibri" w:hAnsi="Calibri"/>
          <w:color w:val="222222"/>
          <w:sz w:val="21"/>
          <w:szCs w:val="21"/>
        </w:rPr>
        <w:t xml:space="preserve">5.2. Les mentions légales et la TVA applicable relèvent du statut de l'Apporteur.</w:t>
      </w:r>
    </w:p>
    <w:p>
      <w:pPr>
        <w:spacing w:after="100" w:before="220"/>
      </w:pPr>
      <w:r>
        <w:rPr>
          <w:rFonts w:ascii="Georgia" w:cs="Georgia" w:eastAsia="Georgia" w:hAnsi="Georgia"/>
          <w:b/>
          <w:bCs/>
          <w:color w:val="C8A440"/>
          <w:sz w:val="22"/>
          <w:szCs w:val="22"/>
        </w:rPr>
        <w:t xml:space="preserve">Article 6 — </w:t>
      </w:r>
      <w:r>
        <w:rPr>
          <w:rFonts w:ascii="Georgia" w:cs="Georgia" w:eastAsia="Georgia" w:hAnsi="Georgia"/>
          <w:b/>
          <w:bCs/>
          <w:color w:val="1B3A28"/>
          <w:sz w:val="22"/>
          <w:szCs w:val="22"/>
        </w:rPr>
        <w:t xml:space="preserve">Rattachement des Clients Apportés (traçabilité)</w:t>
      </w:r>
    </w:p>
    <w:p>
      <w:pPr>
        <w:spacing w:after="120" w:line="264"/>
        <w:jc w:val="both"/>
      </w:pPr>
      <w:r>
        <w:rPr>
          <w:rFonts w:ascii="Calibri" w:cs="Calibri" w:eastAsia="Calibri" w:hAnsi="Calibri"/>
          <w:color w:val="222222"/>
          <w:sz w:val="21"/>
          <w:szCs w:val="21"/>
        </w:rPr>
        <w:t xml:space="preserve">6.1. Un Client est réputé « Apporté » dès lors qu'il figure sur une </w:t>
      </w:r>
      <w:r>
        <w:rPr>
          <w:rFonts w:ascii="Calibri" w:cs="Calibri" w:eastAsia="Calibri" w:hAnsi="Calibri"/>
          <w:b/>
          <w:bCs/>
          <w:color w:val="222222"/>
          <w:sz w:val="21"/>
          <w:szCs w:val="21"/>
        </w:rPr>
        <w:t xml:space="preserve">fiche d'apport datée</w:t>
      </w:r>
      <w:r>
        <w:rPr>
          <w:rFonts w:ascii="Calibri" w:cs="Calibri" w:eastAsia="Calibri" w:hAnsi="Calibri"/>
          <w:color w:val="222222"/>
          <w:sz w:val="21"/>
          <w:szCs w:val="21"/>
        </w:rPr>
        <w:t xml:space="preserve">, transmise par l'Apporteur et </w:t>
      </w:r>
      <w:r>
        <w:rPr>
          <w:rFonts w:ascii="Calibri" w:cs="Calibri" w:eastAsia="Calibri" w:hAnsi="Calibri"/>
          <w:b/>
          <w:bCs/>
          <w:color w:val="222222"/>
          <w:sz w:val="21"/>
          <w:szCs w:val="21"/>
        </w:rPr>
        <w:t xml:space="preserve">accusée réception</w:t>
      </w:r>
      <w:r>
        <w:rPr>
          <w:rFonts w:ascii="Calibri" w:cs="Calibri" w:eastAsia="Calibri" w:hAnsi="Calibri"/>
          <w:color w:val="222222"/>
          <w:sz w:val="21"/>
          <w:szCs w:val="21"/>
        </w:rPr>
        <w:t xml:space="preserve"> par l'Agence (écrit horodaté faisant foi de l'antériorité).</w:t>
      </w:r>
    </w:p>
    <w:p>
      <w:pPr>
        <w:spacing w:after="120" w:line="264"/>
        <w:jc w:val="both"/>
      </w:pPr>
      <w:r>
        <w:rPr>
          <w:rFonts w:ascii="Calibri" w:cs="Calibri" w:eastAsia="Calibri" w:hAnsi="Calibri"/>
          <w:color w:val="222222"/>
          <w:sz w:val="21"/>
          <w:szCs w:val="21"/>
        </w:rPr>
        <w:t xml:space="preserve">6.2. </w:t>
      </w:r>
      <w:r>
        <w:rPr>
          <w:rFonts w:ascii="Calibri" w:cs="Calibri" w:eastAsia="Calibri" w:hAnsi="Calibri"/>
          <w:b/>
          <w:bCs/>
          <w:color w:val="222222"/>
          <w:sz w:val="21"/>
          <w:szCs w:val="21"/>
        </w:rPr>
        <w:t xml:space="preserve">Code apporteur</w:t>
      </w:r>
      <w:r>
        <w:rPr>
          <w:rFonts w:ascii="Calibri" w:cs="Calibri" w:eastAsia="Calibri" w:hAnsi="Calibri"/>
          <w:color w:val="222222"/>
          <w:sz w:val="21"/>
          <w:szCs w:val="21"/>
        </w:rPr>
        <w:t xml:space="preserve"> : chaque devis / dossier du Client Apporté porte le code [CODE-APPORTEUR] (suivi via [Rewardful / HubSpot / registre partagé]).</w:t>
      </w:r>
    </w:p>
    <w:p>
      <w:pPr>
        <w:spacing w:after="120" w:line="264"/>
        <w:jc w:val="both"/>
      </w:pPr>
      <w:r>
        <w:rPr>
          <w:rFonts w:ascii="Calibri" w:cs="Calibri" w:eastAsia="Calibri" w:hAnsi="Calibri"/>
          <w:color w:val="222222"/>
          <w:sz w:val="21"/>
          <w:szCs w:val="21"/>
        </w:rPr>
        <w:t xml:space="preserve">6.3. </w:t>
      </w:r>
      <w:r>
        <w:rPr>
          <w:rFonts w:ascii="Calibri" w:cs="Calibri" w:eastAsia="Calibri" w:hAnsi="Calibri"/>
          <w:b/>
          <w:bCs/>
          <w:color w:val="222222"/>
          <w:sz w:val="21"/>
          <w:szCs w:val="21"/>
        </w:rPr>
        <w:t xml:space="preserve">Durée de rattachement</w:t>
      </w:r>
      <w:r>
        <w:rPr>
          <w:rFonts w:ascii="Calibri" w:cs="Calibri" w:eastAsia="Calibri" w:hAnsi="Calibri"/>
          <w:color w:val="222222"/>
          <w:sz w:val="21"/>
          <w:szCs w:val="21"/>
        </w:rPr>
        <w:t xml:space="preserve"> : le Client reste rattaché à l'Apporteur pendant [12 / 24 / 36] mois, </w:t>
      </w:r>
      <w:r>
        <w:rPr>
          <w:rFonts w:ascii="Calibri" w:cs="Calibri" w:eastAsia="Calibri" w:hAnsi="Calibri"/>
          <w:b/>
          <w:bCs/>
          <w:color w:val="222222"/>
          <w:sz w:val="21"/>
          <w:szCs w:val="21"/>
        </w:rPr>
        <w:t xml:space="preserve">y compris pour ses commandes répétées</w:t>
      </w:r>
      <w:r>
        <w:rPr>
          <w:rFonts w:ascii="Calibri" w:cs="Calibri" w:eastAsia="Calibri" w:hAnsi="Calibri"/>
          <w:color w:val="222222"/>
          <w:sz w:val="21"/>
          <w:szCs w:val="21"/>
        </w:rPr>
        <w:t xml:space="preserve"> sur cette période, qui ouvrent droit à commission dans les mêmes conditions.</w:t>
      </w:r>
    </w:p>
    <w:p>
      <w:pPr>
        <w:spacing w:after="100" w:before="220"/>
      </w:pPr>
      <w:r>
        <w:rPr>
          <w:rFonts w:ascii="Georgia" w:cs="Georgia" w:eastAsia="Georgia" w:hAnsi="Georgia"/>
          <w:b/>
          <w:bCs/>
          <w:color w:val="C8A440"/>
          <w:sz w:val="22"/>
          <w:szCs w:val="22"/>
        </w:rPr>
        <w:t xml:space="preserve">Article 7 — </w:t>
      </w:r>
      <w:r>
        <w:rPr>
          <w:rFonts w:ascii="Georgia" w:cs="Georgia" w:eastAsia="Georgia" w:hAnsi="Georgia"/>
          <w:b/>
          <w:bCs/>
          <w:color w:val="1B3A28"/>
          <w:sz w:val="22"/>
          <w:szCs w:val="22"/>
        </w:rPr>
        <w:t xml:space="preserve">Non-contournement</w:t>
      </w:r>
    </w:p>
    <w:p>
      <w:pPr>
        <w:spacing w:after="120" w:line="264"/>
        <w:jc w:val="both"/>
      </w:pPr>
      <w:r>
        <w:rPr>
          <w:rFonts w:ascii="Calibri" w:cs="Calibri" w:eastAsia="Calibri" w:hAnsi="Calibri"/>
          <w:color w:val="222222"/>
          <w:sz w:val="21"/>
          <w:szCs w:val="21"/>
        </w:rPr>
        <w:t xml:space="preserve">L'Agence s'interdit, pendant l'exécution du contrat et pendant [__] mois après son terme, de traiter directement ou indirectement avec un Client Apporté en vue d'éviter le paiement de la commission due à l'Apporteur.</w:t>
      </w:r>
    </w:p>
    <w:p>
      <w:pPr>
        <w:spacing w:after="100" w:before="220"/>
      </w:pPr>
      <w:r>
        <w:rPr>
          <w:rFonts w:ascii="Georgia" w:cs="Georgia" w:eastAsia="Georgia" w:hAnsi="Georgia"/>
          <w:b/>
          <w:bCs/>
          <w:color w:val="C8A440"/>
          <w:sz w:val="22"/>
          <w:szCs w:val="22"/>
        </w:rPr>
        <w:t xml:space="preserve">Article 8 — </w:t>
      </w:r>
      <w:r>
        <w:rPr>
          <w:rFonts w:ascii="Georgia" w:cs="Georgia" w:eastAsia="Georgia" w:hAnsi="Georgia"/>
          <w:b/>
          <w:bCs/>
          <w:color w:val="1B3A28"/>
          <w:sz w:val="22"/>
          <w:szCs w:val="22"/>
        </w:rPr>
        <w:t xml:space="preserve">Reporting &amp; droit de regard</w:t>
      </w:r>
    </w:p>
    <w:p>
      <w:pPr>
        <w:spacing w:after="120" w:line="264"/>
        <w:jc w:val="both"/>
      </w:pPr>
      <w:r>
        <w:rPr>
          <w:rFonts w:ascii="Calibri" w:cs="Calibri" w:eastAsia="Calibri" w:hAnsi="Calibri"/>
          <w:color w:val="222222"/>
          <w:sz w:val="21"/>
          <w:szCs w:val="21"/>
        </w:rPr>
        <w:t xml:space="preserve">L'Agence communique à l'Apporteur, mensuellement, l'état des dossiers des Clients Apportés (statut : devis / confirmé / encaissé, et montants). L'Apporteur dispose d'un droit de regard sur ces éléments aux fins de vérification des commissions.</w:t>
      </w:r>
    </w:p>
    <w:p>
      <w:pPr>
        <w:spacing w:after="100" w:before="220"/>
      </w:pPr>
      <w:r>
        <w:rPr>
          <w:rFonts w:ascii="Georgia" w:cs="Georgia" w:eastAsia="Georgia" w:hAnsi="Georgia"/>
          <w:b/>
          <w:bCs/>
          <w:color w:val="C8A440"/>
          <w:sz w:val="22"/>
          <w:szCs w:val="22"/>
        </w:rPr>
        <w:t xml:space="preserve">Article 9 — </w:t>
      </w:r>
      <w:r>
        <w:rPr>
          <w:rFonts w:ascii="Georgia" w:cs="Georgia" w:eastAsia="Georgia" w:hAnsi="Georgia"/>
          <w:b/>
          <w:bCs/>
          <w:color w:val="1B3A28"/>
          <w:sz w:val="22"/>
          <w:szCs w:val="22"/>
        </w:rPr>
        <w:t xml:space="preserve">Confidentialité &amp; données personnelles</w:t>
      </w:r>
    </w:p>
    <w:p>
      <w:pPr>
        <w:spacing w:after="120" w:line="264"/>
        <w:jc w:val="both"/>
      </w:pPr>
      <w:r>
        <w:rPr>
          <w:rFonts w:ascii="Calibri" w:cs="Calibri" w:eastAsia="Calibri" w:hAnsi="Calibri"/>
          <w:color w:val="222222"/>
          <w:sz w:val="21"/>
          <w:szCs w:val="21"/>
        </w:rPr>
        <w:t xml:space="preserve">Chaque Partie garde confidentielles les informations échangées. Les données des Clients sont traitées conformément à la réglementation applicable (Maroc — loi 09-08 ; RGPD si clients UE). L'Agence est responsable de traitement pour la prestation de voyage.</w:t>
      </w:r>
    </w:p>
    <w:p>
      <w:pPr>
        <w:spacing w:after="100" w:before="220"/>
      </w:pPr>
      <w:r>
        <w:rPr>
          <w:rFonts w:ascii="Georgia" w:cs="Georgia" w:eastAsia="Georgia" w:hAnsi="Georgia"/>
          <w:b/>
          <w:bCs/>
          <w:color w:val="C8A440"/>
          <w:sz w:val="22"/>
          <w:szCs w:val="22"/>
        </w:rPr>
        <w:t xml:space="preserve">Article 10 — </w:t>
      </w:r>
      <w:r>
        <w:rPr>
          <w:rFonts w:ascii="Georgia" w:cs="Georgia" w:eastAsia="Georgia" w:hAnsi="Georgia"/>
          <w:b/>
          <w:bCs/>
          <w:color w:val="1B3A28"/>
          <w:sz w:val="22"/>
          <w:szCs w:val="22"/>
        </w:rPr>
        <w:t xml:space="preserve">Durée, renouvellement, résiliation</w:t>
      </w:r>
    </w:p>
    <w:p>
      <w:pPr>
        <w:spacing w:after="120" w:line="264"/>
        <w:jc w:val="both"/>
      </w:pPr>
      <w:r>
        <w:rPr>
          <w:rFonts w:ascii="Calibri" w:cs="Calibri" w:eastAsia="Calibri" w:hAnsi="Calibri"/>
          <w:color w:val="222222"/>
          <w:sz w:val="21"/>
          <w:szCs w:val="21"/>
        </w:rPr>
        <w:t xml:space="preserve">10.1. Durée : [12] mois à compter de la signature, renouvelable par tacite reconduction.</w:t>
      </w:r>
    </w:p>
    <w:p>
      <w:pPr>
        <w:spacing w:after="120" w:line="264"/>
        <w:jc w:val="both"/>
      </w:pPr>
      <w:r>
        <w:rPr>
          <w:rFonts w:ascii="Calibri" w:cs="Calibri" w:eastAsia="Calibri" w:hAnsi="Calibri"/>
          <w:color w:val="222222"/>
          <w:sz w:val="21"/>
          <w:szCs w:val="21"/>
        </w:rPr>
        <w:t xml:space="preserve">10.2. Résiliation par l'une des Parties avec un préavis de [30] jours par écrit.</w:t>
      </w:r>
    </w:p>
    <w:p>
      <w:pPr>
        <w:spacing w:after="120" w:line="264"/>
        <w:jc w:val="both"/>
      </w:pPr>
      <w:r>
        <w:rPr>
          <w:rFonts w:ascii="Calibri" w:cs="Calibri" w:eastAsia="Calibri" w:hAnsi="Calibri"/>
          <w:color w:val="222222"/>
          <w:sz w:val="21"/>
          <w:szCs w:val="21"/>
        </w:rPr>
        <w:t xml:space="preserve">10.3. Les commissions sur dossiers en cours et sur Clients rattachés (Art. 6.3) restent dues après la fin du contrat.</w:t>
      </w:r>
    </w:p>
    <w:p>
      <w:pPr>
        <w:spacing w:after="100" w:before="220"/>
      </w:pPr>
      <w:r>
        <w:rPr>
          <w:rFonts w:ascii="Georgia" w:cs="Georgia" w:eastAsia="Georgia" w:hAnsi="Georgia"/>
          <w:b/>
          <w:bCs/>
          <w:color w:val="C8A440"/>
          <w:sz w:val="22"/>
          <w:szCs w:val="22"/>
        </w:rPr>
        <w:t xml:space="preserve">Article 11 — </w:t>
      </w:r>
      <w:r>
        <w:rPr>
          <w:rFonts w:ascii="Georgia" w:cs="Georgia" w:eastAsia="Georgia" w:hAnsi="Georgia"/>
          <w:b/>
          <w:bCs/>
          <w:color w:val="1B3A28"/>
          <w:sz w:val="22"/>
          <w:szCs w:val="22"/>
        </w:rPr>
        <w:t xml:space="preserve">Responsabilité</w:t>
      </w:r>
    </w:p>
    <w:p>
      <w:pPr>
        <w:spacing w:after="120" w:line="264"/>
        <w:jc w:val="both"/>
      </w:pPr>
      <w:r>
        <w:rPr>
          <w:rFonts w:ascii="Calibri" w:cs="Calibri" w:eastAsia="Calibri" w:hAnsi="Calibri"/>
          <w:color w:val="222222"/>
          <w:sz w:val="21"/>
          <w:szCs w:val="21"/>
        </w:rPr>
        <w:t xml:space="preserve">L'Apporteur n'est pas responsable de l'exécution des prestations de voyage, qui incombe exclusivement à l'Agence. L'Apporteur s'engage à ne diffuser aucune information mensongère sur les prestations de l'Agence.</w:t>
      </w:r>
    </w:p>
    <w:p>
      <w:pPr>
        <w:spacing w:after="100" w:before="220"/>
      </w:pPr>
      <w:r>
        <w:rPr>
          <w:rFonts w:ascii="Georgia" w:cs="Georgia" w:eastAsia="Georgia" w:hAnsi="Georgia"/>
          <w:b/>
          <w:bCs/>
          <w:color w:val="C8A440"/>
          <w:sz w:val="22"/>
          <w:szCs w:val="22"/>
        </w:rPr>
        <w:t xml:space="preserve">Article 12 — </w:t>
      </w:r>
      <w:r>
        <w:rPr>
          <w:rFonts w:ascii="Georgia" w:cs="Georgia" w:eastAsia="Georgia" w:hAnsi="Georgia"/>
          <w:b/>
          <w:bCs/>
          <w:color w:val="1B3A28"/>
          <w:sz w:val="22"/>
          <w:szCs w:val="22"/>
        </w:rPr>
        <w:t xml:space="preserve">Droit applicable &amp; litiges</w:t>
      </w:r>
    </w:p>
    <w:p>
      <w:pPr>
        <w:spacing w:after="120" w:line="264"/>
        <w:jc w:val="both"/>
      </w:pPr>
      <w:r>
        <w:rPr>
          <w:rFonts w:ascii="Calibri" w:cs="Calibri" w:eastAsia="Calibri" w:hAnsi="Calibri"/>
          <w:color w:val="222222"/>
          <w:sz w:val="21"/>
          <w:szCs w:val="21"/>
        </w:rPr>
        <w:t xml:space="preserve">Le présent contrat est régi par le </w:t>
      </w:r>
      <w:r>
        <w:rPr>
          <w:rFonts w:ascii="Calibri" w:cs="Calibri" w:eastAsia="Calibri" w:hAnsi="Calibri"/>
          <w:b/>
          <w:bCs/>
          <w:color w:val="222222"/>
          <w:sz w:val="21"/>
          <w:szCs w:val="21"/>
        </w:rPr>
        <w:t xml:space="preserve">droit marocain</w:t>
      </w:r>
      <w:r>
        <w:rPr>
          <w:rFonts w:ascii="Calibri" w:cs="Calibri" w:eastAsia="Calibri" w:hAnsi="Calibri"/>
          <w:color w:val="222222"/>
          <w:sz w:val="21"/>
          <w:szCs w:val="21"/>
        </w:rPr>
        <w:t xml:space="preserve">. À défaut de règlement amiable, tout litige relève des tribunaux compétents de [ville].</w:t>
      </w:r>
    </w:p>
    <w:p>
      <w:pPr>
        <w:pBdr>
          <w:bottom w:val="single" w:color="C8A440" w:sz="8" w:space="4"/>
        </w:pBdr>
        <w:spacing w:after="120" w:before="120"/>
      </w:pPr>
    </w:p>
    <w:p>
      <w:pPr>
        <w:spacing w:after="160" w:line="264"/>
        <w:jc w:val="both"/>
      </w:pPr>
      <w:r>
        <w:rPr>
          <w:rFonts w:ascii="Calibri" w:cs="Calibri" w:eastAsia="Calibri" w:hAnsi="Calibri"/>
          <w:color w:val="222222"/>
          <w:sz w:val="21"/>
          <w:szCs w:val="21"/>
        </w:rPr>
        <w:t xml:space="preserve">Fait à [ville], le [date], en deux exemplaires originaux.</w:t>
      </w:r>
    </w:p>
    <w:tbl>
      <w:tblPr>
        <w:tblW w:type="dxa" w:w="9360"/>
        <w:tblBorders>
          <w:top w:val="single" w:color="D8CFC0" w:sz="4"/>
          <w:left w:val="single" w:color="D8CFC0" w:sz="4"/>
          <w:bottom w:val="single" w:color="D8CFC0" w:sz="4"/>
          <w:right w:val="single" w:color="D8CFC0" w:sz="4"/>
          <w:insideH w:val="single" w:color="D8CFC0" w:sz="4"/>
          <w:insideV w:val="single" w:color="D8CFC0" w:sz="4"/>
        </w:tblBorders>
      </w:tblPr>
      <w:tblGrid>
        <w:gridCol w:w="4680"/>
        <w:gridCol w:w="4680"/>
      </w:tblGrid>
      <w:tr>
        <w:tc>
          <w:tcPr>
            <w:tcW w:type="dxa" w:w="4680"/>
            <w:tcMar>
              <w:top w:type="dxa" w:w="120"/>
              <w:left w:type="dxa" w:w="120"/>
              <w:bottom w:type="dxa" w:w="400"/>
              <w:right w:type="dxa" w:w="120"/>
            </w:tcMar>
          </w:tcPr>
          <w:p>
            <w:pPr>
              <w:spacing w:after="200"/>
            </w:pPr>
            <w:r>
              <w:rPr>
                <w:rFonts w:ascii="Calibri" w:cs="Calibri" w:eastAsia="Calibri" w:hAnsi="Calibri"/>
                <w:b/>
                <w:bCs/>
                <w:color w:val="1B3A28"/>
                <w:sz w:val="20"/>
                <w:szCs w:val="20"/>
              </w:rPr>
              <w:t xml:space="preserve">L'Agence</w:t>
            </w:r>
          </w:p>
          <w:p>
            <w:pPr>
              <w:spacing w:after="120"/>
            </w:pPr>
            <w:r>
              <w:rPr>
                <w:rFonts w:ascii="Calibri" w:cs="Calibri" w:eastAsia="Calibri" w:hAnsi="Calibri"/>
                <w:color w:val="222222"/>
                <w:sz w:val="19"/>
                <w:szCs w:val="19"/>
              </w:rPr>
              <w:t xml:space="preserve">Nom : ____________________</w:t>
            </w:r>
          </w:p>
          <w:p>
            <w:pPr>
              <w:spacing w:after="120"/>
            </w:pPr>
            <w:r>
              <w:rPr>
                <w:rFonts w:ascii="Calibri" w:cs="Calibri" w:eastAsia="Calibri" w:hAnsi="Calibri"/>
                <w:color w:val="222222"/>
                <w:sz w:val="19"/>
                <w:szCs w:val="19"/>
              </w:rPr>
              <w:t xml:space="preserve">Qualité : _________________</w:t>
            </w:r>
          </w:p>
          <w:p>
            <w:pPr>
              <w:spacing w:after="120"/>
            </w:pPr>
            <w:r>
              <w:rPr>
                <w:rFonts w:ascii="Calibri" w:cs="Calibri" w:eastAsia="Calibri" w:hAnsi="Calibri"/>
                <w:color w:val="222222"/>
                <w:sz w:val="19"/>
                <w:szCs w:val="19"/>
              </w:rPr>
              <w:t xml:space="preserve">Date : ___________________</w:t>
            </w:r>
          </w:p>
          <w:p>
            <w:r>
              <w:rPr>
                <w:rFonts w:ascii="Calibri" w:cs="Calibri" w:eastAsia="Calibri" w:hAnsi="Calibri"/>
                <w:color w:val="444444"/>
                <w:sz w:val="19"/>
                <w:szCs w:val="19"/>
              </w:rPr>
              <w:t xml:space="preserve">Signature + cachet :</w:t>
            </w:r>
          </w:p>
        </w:tc>
        <w:tc>
          <w:tcPr>
            <w:tcW w:type="dxa" w:w="4680"/>
            <w:tcMar>
              <w:top w:type="dxa" w:w="120"/>
              <w:left w:type="dxa" w:w="120"/>
              <w:bottom w:type="dxa" w:w="400"/>
              <w:right w:type="dxa" w:w="120"/>
            </w:tcMar>
          </w:tcPr>
          <w:p>
            <w:pPr>
              <w:spacing w:after="200"/>
            </w:pPr>
            <w:r>
              <w:rPr>
                <w:rFonts w:ascii="Calibri" w:cs="Calibri" w:eastAsia="Calibri" w:hAnsi="Calibri"/>
                <w:b/>
                <w:bCs/>
                <w:color w:val="1B3A28"/>
                <w:sz w:val="20"/>
                <w:szCs w:val="20"/>
              </w:rPr>
              <w:t xml:space="preserve">L'Apporteur</w:t>
            </w:r>
          </w:p>
          <w:p>
            <w:pPr>
              <w:spacing w:after="120"/>
            </w:pPr>
            <w:r>
              <w:rPr>
                <w:rFonts w:ascii="Calibri" w:cs="Calibri" w:eastAsia="Calibri" w:hAnsi="Calibri"/>
                <w:color w:val="222222"/>
                <w:sz w:val="19"/>
                <w:szCs w:val="19"/>
              </w:rPr>
              <w:t xml:space="preserve">Nom : ____________________</w:t>
            </w:r>
          </w:p>
          <w:p>
            <w:pPr>
              <w:spacing w:after="120"/>
            </w:pPr>
            <w:r>
              <w:rPr>
                <w:rFonts w:ascii="Calibri" w:cs="Calibri" w:eastAsia="Calibri" w:hAnsi="Calibri"/>
                <w:color w:val="222222"/>
                <w:sz w:val="19"/>
                <w:szCs w:val="19"/>
              </w:rPr>
              <w:t xml:space="preserve">Qualité : _________________</w:t>
            </w:r>
          </w:p>
          <w:p>
            <w:pPr>
              <w:spacing w:after="120"/>
            </w:pPr>
            <w:r>
              <w:rPr>
                <w:rFonts w:ascii="Calibri" w:cs="Calibri" w:eastAsia="Calibri" w:hAnsi="Calibri"/>
                <w:color w:val="222222"/>
                <w:sz w:val="19"/>
                <w:szCs w:val="19"/>
              </w:rPr>
              <w:t xml:space="preserve">Date : ___________________</w:t>
            </w:r>
          </w:p>
          <w:p>
            <w:r>
              <w:rPr>
                <w:rFonts w:ascii="Calibri" w:cs="Calibri" w:eastAsia="Calibri" w:hAnsi="Calibri"/>
                <w:color w:val="444444"/>
                <w:sz w:val="19"/>
                <w:szCs w:val="19"/>
              </w:rPr>
              <w:t xml:space="preserve">Signature + cachet :</w:t>
            </w:r>
          </w:p>
        </w:tc>
      </w:tr>
    </w:tbl>
    <w:p>
      <w:r>
        <w:br w:type="page"/>
      </w:r>
    </w:p>
    <w:p>
      <w:pPr>
        <w:spacing w:after="100" w:before="200"/>
      </w:pPr>
      <w:r>
        <w:rPr>
          <w:rFonts w:ascii="Georgia" w:cs="Georgia" w:eastAsia="Georgia" w:hAnsi="Georgia"/>
          <w:b/>
          <w:bCs/>
          <w:color w:val="1B3A28"/>
          <w:sz w:val="22"/>
          <w:szCs w:val="22"/>
        </w:rPr>
        <w:t xml:space="preserve">Annexe 1 — Grille de commissions de l'Apporteur</w:t>
      </w:r>
    </w:p>
    <w:p>
      <w:pPr>
        <w:spacing w:after="80"/>
        <w:jc w:val="left"/>
      </w:pPr>
      <w:r>
        <w:rPr>
          <w:rFonts w:ascii="Calibri" w:cs="Calibri" w:eastAsia="Calibri" w:hAnsi="Calibri"/>
          <w:i/>
          <w:iCs/>
          <w:color w:val="444444"/>
          <w:sz w:val="17"/>
          <w:szCs w:val="17"/>
        </w:rPr>
        <w:t xml:space="preserve">Valeurs indicatives à valider (Karim + comptable). Retenir une seule base (Art. 4.1).</w:t>
      </w:r>
    </w:p>
    <w:p>
      <w:pPr>
        <w:spacing w:after="80" w:line="264"/>
        <w:jc w:val="both"/>
      </w:pPr>
      <w:r>
        <w:rPr>
          <w:rFonts w:ascii="Calibri" w:cs="Calibri" w:eastAsia="Calibri" w:hAnsi="Calibri"/>
          <w:b/>
          <w:bCs/>
          <w:color w:val="222222"/>
          <w:sz w:val="21"/>
          <w:szCs w:val="21"/>
        </w:rPr>
        <w:t xml:space="preserve">Option 1 — % de la marge nette du dossier</w:t>
      </w:r>
      <w:r>
        <w:rPr>
          <w:rFonts w:ascii="Calibri" w:cs="Calibri" w:eastAsia="Calibri" w:hAnsi="Calibri"/>
          <w:color w:val="222222"/>
          <w:sz w:val="21"/>
          <w:szCs w:val="21"/>
        </w:rPr>
        <w:t xml:space="preserve"> (recommandé pour le sur-mesure)</w:t>
      </w:r>
    </w:p>
    <w:tbl>
      <w:tblPr>
        <w:tblW w:type="dxa" w:w="9360"/>
        <w:tblBorders>
          <w:top w:val="single" w:color="D8CFC0" w:sz="4"/>
          <w:left w:val="single" w:color="D8CFC0" w:sz="4"/>
          <w:bottom w:val="single" w:color="D8CFC0" w:sz="4"/>
          <w:right w:val="single" w:color="D8CFC0" w:sz="4"/>
          <w:insideH w:val="single" w:color="D8CFC0" w:sz="4"/>
          <w:insideV w:val="single" w:color="D8CFC0" w:sz="4"/>
        </w:tblBorders>
      </w:tblPr>
      <w:tblGrid>
        <w:gridCol w:w="5600"/>
        <w:gridCol w:w="3760"/>
      </w:tblGrid>
      <w:tr>
        <w:trPr>
          <w:tblHeader/>
        </w:trPr>
        <w:tc>
          <w:tcPr>
            <w:tcW w:type="dxa" w:w="5600"/>
            <w:shd w:fill="1B3A28"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Marge nette du dossier</w:t>
            </w:r>
          </w:p>
        </w:tc>
        <w:tc>
          <w:tcPr>
            <w:tcW w:type="dxa" w:w="3760"/>
            <w:shd w:fill="1B3A28"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Commission apporteur</w:t>
            </w:r>
          </w:p>
        </w:tc>
      </w:tr>
      <w:tr>
        <w:tc>
          <w:tcPr>
            <w:tcW w:type="dxa" w:w="560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Standard</w:t>
            </w:r>
          </w:p>
        </w:tc>
        <w:tc>
          <w:tcPr>
            <w:tcW w:type="dxa" w:w="376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[25] % de la marge nette</w:t>
            </w:r>
          </w:p>
        </w:tc>
      </w:tr>
      <w:tr>
        <w:tc>
          <w:tcPr>
            <w:tcW w:type="dxa" w:w="560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Gros dossier / groupe (&gt; [__] MAD)</w:t>
            </w:r>
          </w:p>
        </w:tc>
        <w:tc>
          <w:tcPr>
            <w:tcW w:type="dxa" w:w="376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[30] %</w:t>
            </w:r>
          </w:p>
        </w:tc>
      </w:tr>
      <w:tr>
        <w:tc>
          <w:tcPr>
            <w:tcW w:type="dxa" w:w="560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Dossier stratégique / récurrent</w:t>
            </w:r>
          </w:p>
        </w:tc>
        <w:tc>
          <w:tcPr>
            <w:tcW w:type="dxa" w:w="376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[35-40] % (à négocier)</w:t>
            </w:r>
          </w:p>
        </w:tc>
      </w:tr>
    </w:tbl>
    <w:p>
      <w:pPr>
        <w:spacing w:after="60" w:line="264"/>
        <w:jc w:val="both"/>
      </w:pPr>
    </w:p>
    <w:p>
      <w:pPr>
        <w:spacing w:after="80" w:line="264"/>
        <w:jc w:val="both"/>
      </w:pPr>
      <w:r>
        <w:rPr>
          <w:rFonts w:ascii="Calibri" w:cs="Calibri" w:eastAsia="Calibri" w:hAnsi="Calibri"/>
          <w:b/>
          <w:bCs/>
          <w:color w:val="222222"/>
          <w:sz w:val="21"/>
          <w:szCs w:val="21"/>
        </w:rPr>
        <w:t xml:space="preserve">Option 2 — % du chiffre d'affaires HT</w:t>
      </w:r>
      <w:r>
        <w:rPr>
          <w:rFonts w:ascii="Calibri" w:cs="Calibri" w:eastAsia="Calibri" w:hAnsi="Calibri"/>
          <w:color w:val="222222"/>
          <w:sz w:val="21"/>
          <w:szCs w:val="21"/>
        </w:rPr>
        <w:t xml:space="preserve"> (recommandé pour le volume / forfaits)</w:t>
      </w:r>
    </w:p>
    <w:tbl>
      <w:tblPr>
        <w:tblW w:type="dxa" w:w="9360"/>
        <w:tblBorders>
          <w:top w:val="single" w:color="D8CFC0" w:sz="4"/>
          <w:left w:val="single" w:color="D8CFC0" w:sz="4"/>
          <w:bottom w:val="single" w:color="D8CFC0" w:sz="4"/>
          <w:right w:val="single" w:color="D8CFC0" w:sz="4"/>
          <w:insideH w:val="single" w:color="D8CFC0" w:sz="4"/>
          <w:insideV w:val="single" w:color="D8CFC0" w:sz="4"/>
        </w:tblBorders>
      </w:tblPr>
      <w:tblGrid>
        <w:gridCol w:w="5600"/>
        <w:gridCol w:w="3760"/>
      </w:tblGrid>
      <w:tr>
        <w:trPr>
          <w:tblHeader/>
        </w:trPr>
        <w:tc>
          <w:tcPr>
            <w:tcW w:type="dxa" w:w="5600"/>
            <w:shd w:fill="1B3A28"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CA HT annuel apporté</w:t>
            </w:r>
          </w:p>
        </w:tc>
        <w:tc>
          <w:tcPr>
            <w:tcW w:type="dxa" w:w="3760"/>
            <w:shd w:fill="1B3A28"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Commission apporteur</w:t>
            </w:r>
          </w:p>
        </w:tc>
      </w:tr>
      <w:tr>
        <w:tc>
          <w:tcPr>
            <w:tcW w:type="dxa" w:w="560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Jusqu'à [__] MAD</w:t>
            </w:r>
          </w:p>
        </w:tc>
        <w:tc>
          <w:tcPr>
            <w:tcW w:type="dxa" w:w="376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[8] %</w:t>
            </w:r>
          </w:p>
        </w:tc>
      </w:tr>
      <w:tr>
        <w:tc>
          <w:tcPr>
            <w:tcW w:type="dxa" w:w="560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De [__] à [__] MAD</w:t>
            </w:r>
          </w:p>
        </w:tc>
        <w:tc>
          <w:tcPr>
            <w:tcW w:type="dxa" w:w="376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[10] %</w:t>
            </w:r>
          </w:p>
        </w:tc>
      </w:tr>
      <w:tr>
        <w:tc>
          <w:tcPr>
            <w:tcW w:type="dxa" w:w="560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Au-delà de [__] MAD</w:t>
            </w:r>
          </w:p>
        </w:tc>
        <w:tc>
          <w:tcPr>
            <w:tcW w:type="dxa" w:w="376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[12-15] %</w:t>
            </w:r>
          </w:p>
        </w:tc>
      </w:tr>
    </w:tbl>
    <w:p>
      <w:pPr>
        <w:spacing w:after="60" w:line="264"/>
        <w:jc w:val="both"/>
      </w:pPr>
    </w:p>
    <w:p>
      <w:pPr>
        <w:spacing w:after="120" w:line="264"/>
        <w:jc w:val="both"/>
      </w:pPr>
      <w:r>
        <w:rPr>
          <w:rFonts w:ascii="Calibri" w:cs="Calibri" w:eastAsia="Calibri" w:hAnsi="Calibri"/>
          <w:b/>
          <w:bCs/>
          <w:color w:val="222222"/>
          <w:sz w:val="21"/>
          <w:szCs w:val="21"/>
        </w:rPr>
        <w:t xml:space="preserve">Règles communes</w:t>
      </w:r>
      <w:r>
        <w:rPr>
          <w:rFonts w:ascii="Calibri" w:cs="Calibri" w:eastAsia="Calibri" w:hAnsi="Calibri"/>
          <w:color w:val="222222"/>
          <w:sz w:val="21"/>
          <w:szCs w:val="21"/>
        </w:rPr>
        <w:t xml:space="preserve"> — Fait générateur : encaissement effectif du Client. Règlement sous [15] jours. Rattachement : commandes répétées commissionnées pendant [24] mois. Annulation : commission au prorata des sommes conservées.</w:t>
      </w:r>
    </w:p>
    <w:p>
      <w:pPr>
        <w:spacing w:after="100" w:before="200"/>
      </w:pPr>
      <w:r>
        <w:rPr>
          <w:rFonts w:ascii="Georgia" w:cs="Georgia" w:eastAsia="Georgia" w:hAnsi="Georgia"/>
          <w:b/>
          <w:bCs/>
          <w:color w:val="1B3A28"/>
          <w:sz w:val="22"/>
          <w:szCs w:val="22"/>
        </w:rPr>
        <w:t xml:space="preserve">Annexe 2 — Modèle de fiche d'apport</w:t>
      </w:r>
    </w:p>
    <w:tbl>
      <w:tblPr>
        <w:tblW w:type="dxa" w:w="9360"/>
        <w:tblBorders>
          <w:top w:val="single" w:color="D8CFC0" w:sz="4"/>
          <w:left w:val="single" w:color="D8CFC0" w:sz="4"/>
          <w:bottom w:val="single" w:color="D8CFC0" w:sz="4"/>
          <w:right w:val="single" w:color="D8CFC0" w:sz="4"/>
          <w:insideH w:val="single" w:color="D8CFC0" w:sz="4"/>
          <w:insideV w:val="single" w:color="D8CFC0" w:sz="4"/>
        </w:tblBorders>
      </w:tblPr>
      <w:tblGrid>
        <w:gridCol w:w="4680"/>
        <w:gridCol w:w="4680"/>
      </w:tblGrid>
      <w:tr>
        <w:trPr>
          <w:tblHeader/>
        </w:trPr>
        <w:tc>
          <w:tcPr>
            <w:tcW w:type="dxa" w:w="4680"/>
            <w:shd w:fill="1B3A28"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Champ</w:t>
            </w:r>
          </w:p>
        </w:tc>
        <w:tc>
          <w:tcPr>
            <w:tcW w:type="dxa" w:w="4680"/>
            <w:shd w:fill="1B3A28"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Valeur</w:t>
            </w:r>
          </w:p>
        </w:tc>
      </w:tr>
      <w:tr>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Nom / société du Client Apporté</w:t>
            </w:r>
          </w:p>
        </w:tc>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   ]</w:t>
            </w:r>
          </w:p>
        </w:tc>
      </w:tr>
      <w:tr>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Date de présentation</w:t>
            </w:r>
          </w:p>
        </w:tc>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[jj/mm/aaaa]</w:t>
            </w:r>
          </w:p>
        </w:tc>
      </w:tr>
      <w:tr>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Code apporteur</w:t>
            </w:r>
          </w:p>
        </w:tc>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[CODE-APPORTEUR]</w:t>
            </w:r>
          </w:p>
        </w:tc>
      </w:tr>
      <w:tr>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Canal (email / WhatsApp / réunion)</w:t>
            </w:r>
          </w:p>
        </w:tc>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   ]</w:t>
            </w:r>
          </w:p>
        </w:tc>
      </w:tr>
      <w:tr>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Accusé de réception Agence (date)</w:t>
            </w:r>
          </w:p>
        </w:tc>
        <w:tc>
          <w:tcPr>
            <w:tcW w:type="dxa" w:w="4680"/>
            <w:shd w:fill="FFFFFF" w:val="clear"/>
            <w:tcMar>
              <w:top w:type="dxa" w:w="40"/>
              <w:left w:type="dxa" w:w="80"/>
              <w:bottom w:type="dxa" w:w="40"/>
              <w:right w:type="dxa" w:w="80"/>
            </w:tcMar>
          </w:tcPr>
          <w:p>
            <w:pPr>
              <w:spacing w:after="0"/>
            </w:pPr>
            <w:r>
              <w:rPr>
                <w:rFonts w:ascii="Calibri" w:cs="Calibri" w:eastAsia="Calibri" w:hAnsi="Calibri"/>
                <w:b w:val="false"/>
                <w:bCs w:val="false"/>
                <w:color w:val="222222"/>
                <w:sz w:val="18"/>
                <w:szCs w:val="18"/>
              </w:rPr>
              <w:t xml:space="preserve">[   ]</w:t>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2026-07-24T12:13:34.822Z</dcterms:created>
  <dcterms:modified xsi:type="dcterms:W3CDTF">2026-07-24T12:13:34.823Z</dcterms:modified>
</cp:coreProperties>
</file>

<file path=docProps/custom.xml><?xml version="1.0" encoding="utf-8"?>
<Properties xmlns="http://schemas.openxmlformats.org/officeDocument/2006/custom-properties" xmlns:vt="http://schemas.openxmlformats.org/officeDocument/2006/docPropsVTypes"/>
</file>