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color w:val="1B3A28"/>
          <w:sz w:val="60"/>
        </w:rPr>
        <w:t>DA21 SARL AU</w:t>
      </w:r>
    </w:p>
    <w:p>
      <w:pPr>
        <w:spacing w:after="80"/>
        <w:jc w:val="center"/>
      </w:pPr>
      <w:r>
        <w:rPr>
          <w:b/>
          <w:i w:val="0"/>
          <w:color w:val="C8A440"/>
          <w:sz w:val="32"/>
        </w:rPr>
        <w:t>BUSINESS PLAN — PROJET DE DÉVELOPPEMENT</w:t>
      </w:r>
    </w:p>
    <w:p>
      <w:pPr>
        <w:spacing w:after="40"/>
        <w:jc w:val="center"/>
      </w:pPr>
      <w:r>
        <w:rPr>
          <w:b w:val="0"/>
          <w:i/>
          <w:color w:val="555555"/>
          <w:sz w:val="26"/>
        </w:rPr>
        <w:t>Complexe d'animation touristique « De la ferme à l'assiette »</w:t>
      </w:r>
    </w:p>
    <w:p>
      <w:pPr>
        <w:spacing w:after="600"/>
        <w:jc w:val="center"/>
      </w:pPr>
      <w:r>
        <w:rPr>
          <w:b w:val="0"/>
          <w:i w:val="0"/>
          <w:color w:val="555555"/>
          <w:sz w:val="22"/>
        </w:rPr>
        <w:t>Paintball · E-bike / Fatbike · Ateliers cuisine</w:t>
      </w:r>
    </w:p>
    <w:p>
      <w:pPr>
        <w:spacing w:after="40"/>
        <w:jc w:val="center"/>
      </w:pPr>
      <w:r>
        <w:rPr>
          <w:b/>
          <w:i w:val="0"/>
          <w:color w:val="1B3A28"/>
          <w:sz w:val="22"/>
        </w:rPr>
        <w:t>Programme GO SIYAHA — Volet soutien à l'investissement (Istitmar) — Édition 2026</w:t>
      </w:r>
    </w:p>
    <w:p>
      <w:pPr>
        <w:spacing w:after="100"/>
        <w:jc w:val="center"/>
      </w:pPr>
      <w:r>
        <w:rPr>
          <w:b w:val="0"/>
          <w:i w:val="0"/>
          <w:color w:val="555555"/>
          <w:sz w:val="20"/>
        </w:rPr>
        <w:t>ICE 003934997000054  ·  Marrakech, Maroc  ·  Fondateur : Karim Zoubdane</w:t>
      </w:r>
    </w:p>
    <w:p>
      <w:r>
        <w:br w:type="page"/>
      </w:r>
    </w:p>
    <w:p>
      <w:pPr>
        <w:spacing w:after="160"/>
      </w:pPr>
      <w:r>
        <w:rPr>
          <w:b/>
          <w:i w:val="0"/>
          <w:color w:val="1B3A28"/>
          <w:sz w:val="30"/>
        </w:rPr>
        <w:t>SOMMAIRE</w:t>
      </w:r>
    </w:p>
    <w:p>
      <w:pPr>
        <w:spacing w:after="60"/>
      </w:pPr>
      <w:r>
        <w:rPr>
          <w:b w:val="0"/>
          <w:i w:val="0"/>
          <w:sz w:val="22"/>
        </w:rPr>
        <w:t>1.   Synthèse générale</w:t>
      </w:r>
    </w:p>
    <w:p>
      <w:pPr>
        <w:spacing w:after="60"/>
      </w:pPr>
      <w:r>
        <w:rPr>
          <w:b w:val="0"/>
          <w:i w:val="0"/>
          <w:sz w:val="22"/>
        </w:rPr>
        <w:t>2.   Fiche signalétique de l'entreprise</w:t>
      </w:r>
    </w:p>
    <w:p>
      <w:pPr>
        <w:spacing w:after="60"/>
      </w:pPr>
      <w:r>
        <w:rPr>
          <w:b w:val="0"/>
          <w:i w:val="0"/>
          <w:sz w:val="22"/>
        </w:rPr>
        <w:t>3.   Présentation du dirigeant</w:t>
      </w:r>
    </w:p>
    <w:p>
      <w:pPr>
        <w:spacing w:after="60"/>
      </w:pPr>
      <w:r>
        <w:rPr>
          <w:b w:val="0"/>
          <w:i w:val="0"/>
          <w:sz w:val="22"/>
        </w:rPr>
        <w:t>4.   Projet de développement</w:t>
      </w:r>
    </w:p>
    <w:p>
      <w:pPr>
        <w:spacing w:after="60"/>
      </w:pPr>
      <w:r>
        <w:rPr>
          <w:b w:val="0"/>
          <w:i w:val="0"/>
          <w:sz w:val="22"/>
        </w:rPr>
        <w:t>5.   Synthèse de l'étude de marché</w:t>
      </w:r>
    </w:p>
    <w:p>
      <w:pPr>
        <w:spacing w:after="60"/>
      </w:pPr>
      <w:r>
        <w:rPr>
          <w:b w:val="0"/>
          <w:i w:val="0"/>
          <w:sz w:val="22"/>
        </w:rPr>
        <w:t>6.   Plan d'affaires — projections et hypothèses</w:t>
      </w:r>
    </w:p>
    <w:p>
      <w:pPr>
        <w:spacing w:after="60"/>
      </w:pPr>
      <w:r>
        <w:rPr>
          <w:b w:val="0"/>
          <w:i w:val="0"/>
          <w:sz w:val="22"/>
        </w:rPr>
        <w:t>7.   Plan d'investissement et de financement</w:t>
      </w:r>
    </w:p>
    <w:p>
      <w:pPr>
        <w:spacing w:after="60"/>
      </w:pPr>
      <w:r>
        <w:rPr>
          <w:b w:val="0"/>
          <w:i w:val="0"/>
          <w:sz w:val="22"/>
        </w:rPr>
        <w:t>8.   Impacts socio-économiques</w:t>
      </w:r>
    </w:p>
    <w:p>
      <w:pPr>
        <w:spacing w:after="60"/>
      </w:pPr>
      <w:r>
        <w:rPr>
          <w:b w:val="0"/>
          <w:i w:val="0"/>
          <w:sz w:val="22"/>
        </w:rPr>
        <w:t>9.   Calendrier de réalisation</w:t>
      </w:r>
    </w:p>
    <w:p>
      <w:r>
        <w:br w:type="page"/>
      </w:r>
    </w:p>
    <w:p>
      <w:pPr>
        <w:spacing w:before="280" w:after="120"/>
        <w:pBdr>
          <w:bottom w:val="single" w:sz="6" w:color="C8A440" w:space="2"/>
        </w:pBdr>
      </w:pPr>
      <w:r>
        <w:rPr>
          <w:b/>
          <w:color w:val="C8A440"/>
          <w:sz w:val="27"/>
        </w:rPr>
        <w:t xml:space="preserve">1.  </w:t>
      </w:r>
      <w:r>
        <w:rPr>
          <w:b/>
          <w:color w:val="1B3A28"/>
          <w:sz w:val="27"/>
        </w:rPr>
        <w:t>SYNTHÈSE GÉNÉRALE</w:t>
      </w:r>
    </w:p>
    <w:p>
      <w:pPr>
        <w:spacing w:after="100"/>
      </w:pPr>
      <w:r>
        <w:rPr>
          <w:b w:val="0"/>
          <w:i w:val="0"/>
          <w:sz w:val="21"/>
        </w:rPr>
        <w:t>DA21 SARL AU porte la création d'un complexe d'animation touristique intégré sur un terrain d'un hectare planté d'oliviers adultes, situé à environ 25 minutes de Marrakech. Le projet s'articule autour d'un concept « de la ferme à l'assiette » et combine trois activités d'animation complémentaires : un parcours d'aventure paintball, des balades en e-bike / Fatbike, et des ateliers de cuisine du terroir. Une tente caïdale / structure éphémère climatisée sert d'espace de restauration des ateliers ; une piscine constitue une prestation complémentaire de détente (financée hors programme primé).</w:t>
      </w:r>
    </w:p>
    <w:p>
      <w:pPr>
        <w:spacing w:after="100"/>
      </w:pPr>
      <w:r>
        <w:rPr>
          <w:b w:val="0"/>
          <w:i w:val="0"/>
          <w:sz w:val="21"/>
        </w:rPr>
        <w:t>Le démarrage de l'exploitation est prévu en juin 2027, l'année 2026 et le premier semestre 2027 étant consacrés à la construction et à l'équipement.</w:t>
      </w:r>
    </w:p>
    <w:tbl>
      <w:tblPr>
        <w:tblStyle w:val="TableGrid"/>
        <w:tblW w:type="auto" w:w="0"/>
        <w:jc w:val="center"/>
        <w:tblLook w:firstColumn="1" w:firstRow="1" w:lastColumn="0" w:lastRow="0" w:noHBand="0" w:noVBand="1" w:val="04A0"/>
      </w:tblPr>
      <w:tblGrid>
        <w:gridCol w:w="4986"/>
        <w:gridCol w:w="4986"/>
      </w:tblGrid>
      <w:tr>
        <w:tc>
          <w:tcPr>
            <w:tcW w:type="dxa" w:w="5102"/>
            <w:shd w:fill="1B3A28"/>
          </w:tcPr>
          <w:p>
            <w:r/>
            <w:r>
              <w:rPr>
                <w:b/>
                <w:color w:val="FFFFFF"/>
                <w:sz w:val="18"/>
              </w:rPr>
              <w:t>Indicateur clé</w:t>
            </w:r>
          </w:p>
        </w:tc>
        <w:tc>
          <w:tcPr>
            <w:tcW w:type="dxa" w:w="3402"/>
            <w:shd w:fill="1B3A28"/>
          </w:tcPr>
          <w:p>
            <w:pPr>
              <w:jc w:val="center"/>
            </w:pPr>
            <w:r/>
            <w:r>
              <w:rPr>
                <w:b/>
                <w:color w:val="FFFFFF"/>
                <w:sz w:val="18"/>
              </w:rPr>
              <w:t>Valeur</w:t>
            </w:r>
          </w:p>
        </w:tc>
      </w:tr>
      <w:tr>
        <w:tc>
          <w:tcPr>
            <w:tcW w:type="dxa" w:w="5102"/>
            <w:shd w:fill="EFE7D2"/>
          </w:tcPr>
          <w:p>
            <w:r/>
            <w:r>
              <w:rPr>
                <w:b/>
                <w:sz w:val="18"/>
              </w:rPr>
              <w:t>Coût total du projet (TTC)</w:t>
            </w:r>
          </w:p>
        </w:tc>
        <w:tc>
          <w:tcPr>
            <w:tcW w:type="dxa" w:w="3402"/>
            <w:shd w:fill="EFE7D2"/>
          </w:tcPr>
          <w:p>
            <w:pPr>
              <w:jc w:val="right"/>
            </w:pPr>
            <w:r/>
            <w:r>
              <w:rPr>
                <w:b/>
                <w:sz w:val="18"/>
              </w:rPr>
              <w:t>1 103 485 DH</w:t>
            </w:r>
          </w:p>
        </w:tc>
      </w:tr>
      <w:tr>
        <w:tc>
          <w:tcPr>
            <w:tcW w:type="dxa" w:w="5102"/>
          </w:tcPr>
          <w:p>
            <w:r/>
            <w:r>
              <w:rPr>
                <w:sz w:val="18"/>
              </w:rPr>
              <w:t>Programme d'investissement primable (TTC)</w:t>
            </w:r>
          </w:p>
        </w:tc>
        <w:tc>
          <w:tcPr>
            <w:tcW w:type="dxa" w:w="3402"/>
          </w:tcPr>
          <w:p>
            <w:pPr>
              <w:jc w:val="right"/>
            </w:pPr>
            <w:r/>
            <w:r>
              <w:rPr>
                <w:sz w:val="18"/>
              </w:rPr>
              <w:t>983 485 DH</w:t>
            </w:r>
          </w:p>
        </w:tc>
      </w:tr>
      <w:tr>
        <w:tc>
          <w:tcPr>
            <w:tcW w:type="dxa" w:w="5102"/>
            <w:shd w:fill="EFE7D2"/>
          </w:tcPr>
          <w:p>
            <w:r/>
            <w:r>
              <w:rPr>
                <w:b/>
                <w:sz w:val="18"/>
              </w:rPr>
              <w:t>Prime GO SIYAHA sollicitée (35 %)</w:t>
            </w:r>
          </w:p>
        </w:tc>
        <w:tc>
          <w:tcPr>
            <w:tcW w:type="dxa" w:w="3402"/>
            <w:shd w:fill="EFE7D2"/>
          </w:tcPr>
          <w:p>
            <w:pPr>
              <w:jc w:val="right"/>
            </w:pPr>
            <w:r/>
            <w:r>
              <w:rPr>
                <w:b/>
                <w:sz w:val="18"/>
              </w:rPr>
              <w:t>344 220 DH</w:t>
            </w:r>
          </w:p>
        </w:tc>
      </w:tr>
      <w:tr>
        <w:tc>
          <w:tcPr>
            <w:tcW w:type="dxa" w:w="5102"/>
          </w:tcPr>
          <w:p>
            <w:r/>
            <w:r>
              <w:rPr>
                <w:sz w:val="18"/>
              </w:rPr>
              <w:t>CMT bancaire (Al Barid Bank, 50 %)</w:t>
            </w:r>
          </w:p>
        </w:tc>
        <w:tc>
          <w:tcPr>
            <w:tcW w:type="dxa" w:w="3402"/>
          </w:tcPr>
          <w:p>
            <w:pPr>
              <w:jc w:val="right"/>
            </w:pPr>
            <w:r/>
            <w:r>
              <w:rPr>
                <w:sz w:val="18"/>
              </w:rPr>
              <w:t>491 743 DH</w:t>
            </w:r>
          </w:p>
        </w:tc>
      </w:tr>
      <w:tr>
        <w:tc>
          <w:tcPr>
            <w:tcW w:type="dxa" w:w="5102"/>
          </w:tcPr>
          <w:p>
            <w:r/>
            <w:r>
              <w:rPr>
                <w:sz w:val="18"/>
              </w:rPr>
              <w:t>Apport fonds propres / CCA</w:t>
            </w:r>
          </w:p>
        </w:tc>
        <w:tc>
          <w:tcPr>
            <w:tcW w:type="dxa" w:w="3402"/>
          </w:tcPr>
          <w:p>
            <w:pPr>
              <w:jc w:val="right"/>
            </w:pPr>
            <w:r/>
            <w:r>
              <w:rPr>
                <w:sz w:val="18"/>
              </w:rPr>
              <w:t>267 523 DH</w:t>
            </w:r>
          </w:p>
        </w:tc>
      </w:tr>
      <w:tr>
        <w:tc>
          <w:tcPr>
            <w:tcW w:type="dxa" w:w="5102"/>
          </w:tcPr>
          <w:p>
            <w:r/>
            <w:r>
              <w:rPr>
                <w:sz w:val="18"/>
              </w:rPr>
              <w:t>Chiffre d'affaires à terme (2031)</w:t>
            </w:r>
          </w:p>
        </w:tc>
        <w:tc>
          <w:tcPr>
            <w:tcW w:type="dxa" w:w="3402"/>
          </w:tcPr>
          <w:p>
            <w:pPr>
              <w:jc w:val="right"/>
            </w:pPr>
            <w:r/>
            <w:r>
              <w:rPr>
                <w:sz w:val="18"/>
              </w:rPr>
              <w:t>1 957 KDH</w:t>
            </w:r>
          </w:p>
        </w:tc>
      </w:tr>
      <w:tr>
        <w:tc>
          <w:tcPr>
            <w:tcW w:type="dxa" w:w="5102"/>
          </w:tcPr>
          <w:p>
            <w:r/>
            <w:r>
              <w:rPr>
                <w:sz w:val="18"/>
              </w:rPr>
              <w:t>Emplois créés</w:t>
            </w:r>
          </w:p>
        </w:tc>
        <w:tc>
          <w:tcPr>
            <w:tcW w:type="dxa" w:w="3402"/>
          </w:tcPr>
          <w:p>
            <w:pPr>
              <w:jc w:val="right"/>
            </w:pPr>
            <w:r/>
            <w:r>
              <w:rPr>
                <w:sz w:val="18"/>
              </w:rPr>
              <w:t>5 permanents + 2 saisonniers</w:t>
            </w:r>
          </w:p>
        </w:tc>
      </w:tr>
    </w:tbl>
    <w:p>
      <w:pPr>
        <w:spacing w:before="280" w:after="120"/>
        <w:pBdr>
          <w:bottom w:val="single" w:sz="6" w:color="C8A440" w:space="2"/>
        </w:pBdr>
      </w:pPr>
      <w:r>
        <w:rPr>
          <w:b/>
          <w:color w:val="C8A440"/>
          <w:sz w:val="27"/>
        </w:rPr>
        <w:t xml:space="preserve">2.  </w:t>
      </w:r>
      <w:r>
        <w:rPr>
          <w:b/>
          <w:color w:val="1B3A28"/>
          <w:sz w:val="27"/>
        </w:rPr>
        <w:t>FICHE SIGNALÉTIQUE DE L'ENTREPRISE</w:t>
      </w:r>
    </w:p>
    <w:tbl>
      <w:tblPr>
        <w:tblStyle w:val="TableGrid"/>
        <w:tblW w:type="auto" w:w="0"/>
        <w:jc w:val="center"/>
        <w:tblLook w:firstColumn="1" w:firstRow="1" w:lastColumn="0" w:lastRow="0" w:noHBand="0" w:noVBand="1" w:val="04A0"/>
      </w:tblPr>
      <w:tblGrid>
        <w:gridCol w:w="4986"/>
        <w:gridCol w:w="4986"/>
      </w:tblGrid>
      <w:tr>
        <w:tc>
          <w:tcPr>
            <w:tcW w:type="dxa" w:w="2835"/>
            <w:shd w:fill="1B3A28"/>
          </w:tcPr>
          <w:p>
            <w:r/>
            <w:r>
              <w:rPr>
                <w:b/>
                <w:color w:val="FFFFFF"/>
                <w:sz w:val="18"/>
              </w:rPr>
              <w:t>Rubrique</w:t>
            </w:r>
          </w:p>
        </w:tc>
        <w:tc>
          <w:tcPr>
            <w:tcW w:type="dxa" w:w="6236"/>
            <w:shd w:fill="1B3A28"/>
          </w:tcPr>
          <w:p>
            <w:pPr>
              <w:jc w:val="center"/>
            </w:pPr>
            <w:r/>
            <w:r>
              <w:rPr>
                <w:b/>
                <w:color w:val="FFFFFF"/>
                <w:sz w:val="18"/>
              </w:rPr>
              <w:t>Information</w:t>
            </w:r>
          </w:p>
        </w:tc>
      </w:tr>
      <w:tr>
        <w:tc>
          <w:tcPr>
            <w:tcW w:type="dxa" w:w="2835"/>
          </w:tcPr>
          <w:p>
            <w:r/>
            <w:r>
              <w:rPr>
                <w:sz w:val="18"/>
              </w:rPr>
              <w:t>Raison sociale</w:t>
            </w:r>
          </w:p>
        </w:tc>
        <w:tc>
          <w:tcPr>
            <w:tcW w:type="dxa" w:w="6236"/>
          </w:tcPr>
          <w:p>
            <w:pPr>
              <w:jc w:val="right"/>
            </w:pPr>
            <w:r/>
            <w:r>
              <w:rPr>
                <w:sz w:val="18"/>
              </w:rPr>
              <w:t>DA21 SARL AU</w:t>
            </w:r>
          </w:p>
        </w:tc>
      </w:tr>
      <w:tr>
        <w:tc>
          <w:tcPr>
            <w:tcW w:type="dxa" w:w="2835"/>
          </w:tcPr>
          <w:p>
            <w:r/>
            <w:r>
              <w:rPr>
                <w:sz w:val="18"/>
              </w:rPr>
              <w:t>Forme juridique</w:t>
            </w:r>
          </w:p>
        </w:tc>
        <w:tc>
          <w:tcPr>
            <w:tcW w:type="dxa" w:w="6236"/>
          </w:tcPr>
          <w:p>
            <w:pPr>
              <w:jc w:val="right"/>
            </w:pPr>
            <w:r/>
            <w:r>
              <w:rPr>
                <w:sz w:val="18"/>
              </w:rPr>
              <w:t>SARL à associé unique</w:t>
            </w:r>
          </w:p>
        </w:tc>
      </w:tr>
      <w:tr>
        <w:tc>
          <w:tcPr>
            <w:tcW w:type="dxa" w:w="2835"/>
          </w:tcPr>
          <w:p>
            <w:r/>
            <w:r>
              <w:rPr>
                <w:sz w:val="18"/>
              </w:rPr>
              <w:t>ICE</w:t>
            </w:r>
          </w:p>
        </w:tc>
        <w:tc>
          <w:tcPr>
            <w:tcW w:type="dxa" w:w="6236"/>
          </w:tcPr>
          <w:p>
            <w:pPr>
              <w:jc w:val="right"/>
            </w:pPr>
            <w:r/>
            <w:r>
              <w:rPr>
                <w:sz w:val="18"/>
              </w:rPr>
              <w:t>003934997000054</w:t>
            </w:r>
          </w:p>
        </w:tc>
      </w:tr>
      <w:tr>
        <w:tc>
          <w:tcPr>
            <w:tcW w:type="dxa" w:w="2835"/>
          </w:tcPr>
          <w:p>
            <w:r/>
            <w:r>
              <w:rPr>
                <w:sz w:val="18"/>
              </w:rPr>
              <w:t>Siège / lieu du projet</w:t>
            </w:r>
          </w:p>
        </w:tc>
        <w:tc>
          <w:tcPr>
            <w:tcW w:type="dxa" w:w="6236"/>
          </w:tcPr>
          <w:p>
            <w:pPr>
              <w:jc w:val="right"/>
            </w:pPr>
            <w:r/>
            <w:r>
              <w:rPr>
                <w:sz w:val="18"/>
              </w:rPr>
              <w:t>Région de Marrakech, Maroc</w:t>
            </w:r>
          </w:p>
        </w:tc>
      </w:tr>
      <w:tr>
        <w:tc>
          <w:tcPr>
            <w:tcW w:type="dxa" w:w="2835"/>
          </w:tcPr>
          <w:p>
            <w:r/>
            <w:r>
              <w:rPr>
                <w:sz w:val="18"/>
              </w:rPr>
              <w:t>Secteur</w:t>
            </w:r>
          </w:p>
        </w:tc>
        <w:tc>
          <w:tcPr>
            <w:tcW w:type="dxa" w:w="6236"/>
          </w:tcPr>
          <w:p>
            <w:pPr>
              <w:jc w:val="right"/>
            </w:pPr>
            <w:r/>
            <w:r>
              <w:rPr>
                <w:sz w:val="18"/>
              </w:rPr>
              <w:t>Tourisme — Animation touristique</w:t>
            </w:r>
          </w:p>
        </w:tc>
      </w:tr>
      <w:tr>
        <w:tc>
          <w:tcPr>
            <w:tcW w:type="dxa" w:w="2835"/>
          </w:tcPr>
          <w:p>
            <w:r/>
            <w:r>
              <w:rPr>
                <w:sz w:val="18"/>
              </w:rPr>
              <w:t>Activité</w:t>
            </w:r>
          </w:p>
        </w:tc>
        <w:tc>
          <w:tcPr>
            <w:tcW w:type="dxa" w:w="6236"/>
          </w:tcPr>
          <w:p>
            <w:pPr>
              <w:jc w:val="right"/>
            </w:pPr>
            <w:r/>
            <w:r>
              <w:rPr>
                <w:sz w:val="18"/>
              </w:rPr>
              <w:t>Animation : paintball, e-bike/Fatbike, ateliers cuisine du terroir</w:t>
            </w:r>
          </w:p>
        </w:tc>
      </w:tr>
      <w:tr>
        <w:tc>
          <w:tcPr>
            <w:tcW w:type="dxa" w:w="2835"/>
          </w:tcPr>
          <w:p>
            <w:r/>
            <w:r>
              <w:rPr>
                <w:sz w:val="18"/>
              </w:rPr>
              <w:t>Banque partenaire</w:t>
            </w:r>
          </w:p>
        </w:tc>
        <w:tc>
          <w:tcPr>
            <w:tcW w:type="dxa" w:w="6236"/>
          </w:tcPr>
          <w:p>
            <w:pPr>
              <w:jc w:val="right"/>
            </w:pPr>
            <w:r/>
            <w:r>
              <w:rPr>
                <w:sz w:val="18"/>
              </w:rPr>
              <w:t>Al Barid Bank</w:t>
            </w:r>
          </w:p>
        </w:tc>
      </w:tr>
      <w:tr>
        <w:tc>
          <w:tcPr>
            <w:tcW w:type="dxa" w:w="2835"/>
          </w:tcPr>
          <w:p>
            <w:r/>
            <w:r>
              <w:rPr>
                <w:sz w:val="18"/>
              </w:rPr>
              <w:t>Capital social / apport</w:t>
            </w:r>
          </w:p>
        </w:tc>
        <w:tc>
          <w:tcPr>
            <w:tcW w:type="dxa" w:w="6236"/>
          </w:tcPr>
          <w:p>
            <w:pPr>
              <w:jc w:val="right"/>
            </w:pPr>
            <w:r/>
            <w:r>
              <w:rPr>
                <w:sz w:val="18"/>
              </w:rPr>
              <w:t>Fonds propres + comptes courants d'associés</w:t>
            </w:r>
          </w:p>
        </w:tc>
      </w:tr>
      <w:tr>
        <w:tc>
          <w:tcPr>
            <w:tcW w:type="dxa" w:w="2835"/>
          </w:tcPr>
          <w:p>
            <w:r/>
            <w:r>
              <w:rPr>
                <w:sz w:val="18"/>
              </w:rPr>
              <w:t>Nature du projet</w:t>
            </w:r>
          </w:p>
        </w:tc>
        <w:tc>
          <w:tcPr>
            <w:tcW w:type="dxa" w:w="6236"/>
          </w:tcPr>
          <w:p>
            <w:pPr>
              <w:jc w:val="right"/>
            </w:pPr>
            <w:r/>
            <w:r>
              <w:rPr>
                <w:sz w:val="18"/>
              </w:rPr>
              <w:t>Création / amorçage d'activité</w:t>
            </w:r>
          </w:p>
        </w:tc>
      </w:tr>
    </w:tbl>
    <w:p>
      <w:pPr>
        <w:spacing w:before="280" w:after="120"/>
        <w:pBdr>
          <w:bottom w:val="single" w:sz="6" w:color="C8A440" w:space="2"/>
        </w:pBdr>
      </w:pPr>
      <w:r>
        <w:rPr>
          <w:b/>
          <w:color w:val="C8A440"/>
          <w:sz w:val="27"/>
        </w:rPr>
        <w:t xml:space="preserve">3.  </w:t>
      </w:r>
      <w:r>
        <w:rPr>
          <w:b/>
          <w:color w:val="1B3A28"/>
          <w:sz w:val="27"/>
        </w:rPr>
        <w:t>PRÉSENTATION DU DIRIGEANT</w:t>
      </w:r>
    </w:p>
    <w:p>
      <w:pPr>
        <w:spacing w:after="100"/>
      </w:pPr>
      <w:r>
        <w:rPr>
          <w:b w:val="0"/>
          <w:i w:val="0"/>
          <w:sz w:val="21"/>
        </w:rPr>
        <w:t>Le projet est porté par M. Karim Zoubdane, fondateur de Voyages21, agence de voyages sur mesure au Maroc active depuis l'an 2000. Fort de plus de deux décennies d'expérience dans la conception et la commercialisation d'expériences touristiques, le dirigeant maîtrise la chaîne de valeur du tourisme marocain : sourcing, relation clientèle nationale et internationale, distribution et gestion opérationnelle. Cette expertise constitue un socle solide pour le lancement et la montée en charge du complexe d'animation DA21.</w:t>
      </w:r>
    </w:p>
    <w:p>
      <w:pPr>
        <w:spacing w:before="280" w:after="120"/>
        <w:pBdr>
          <w:bottom w:val="single" w:sz="6" w:color="C8A440" w:space="2"/>
        </w:pBdr>
      </w:pPr>
      <w:r>
        <w:rPr>
          <w:b/>
          <w:color w:val="C8A440"/>
          <w:sz w:val="27"/>
        </w:rPr>
        <w:t xml:space="preserve">4.  </w:t>
      </w:r>
      <w:r>
        <w:rPr>
          <w:b/>
          <w:color w:val="1B3A28"/>
          <w:sz w:val="27"/>
        </w:rPr>
        <w:t>PROJET DE DÉVELOPPEMENT</w:t>
      </w:r>
    </w:p>
    <w:p>
      <w:pPr>
        <w:spacing w:before="160" w:after="60"/>
      </w:pPr>
      <w:r>
        <w:rPr>
          <w:b/>
          <w:color w:val="1B3A28"/>
          <w:sz w:val="22"/>
        </w:rPr>
        <w:t>Synthèse du projet</w:t>
      </w:r>
    </w:p>
    <w:p>
      <w:pPr>
        <w:spacing w:after="100"/>
      </w:pPr>
      <w:r>
        <w:rPr>
          <w:b w:val="0"/>
          <w:i w:val="0"/>
          <w:sz w:val="21"/>
        </w:rPr>
        <w:t>DA21 développe un lieu d'expérience où le visiteur enchaîne activités sportives et ludiques de plein air et atelier culinaire valorisant les produits de la ferme. Le concept « de la ferme à l'assiette » relie la production locale (oliveraie, potager pédagogique) à un atelier de cuisine animé, créant une offre différenciante et authentique à proximité immédiate de Marrakech.</w:t>
      </w:r>
    </w:p>
    <w:p>
      <w:pPr>
        <w:spacing w:before="160" w:after="60"/>
      </w:pPr>
      <w:r>
        <w:rPr>
          <w:b/>
          <w:color w:val="1B3A28"/>
          <w:sz w:val="22"/>
        </w:rPr>
        <w:t>Gamme de services</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1B3A28"/>
          </w:tcPr>
          <w:p>
            <w:r/>
            <w:r>
              <w:rPr>
                <w:b/>
                <w:color w:val="FFFFFF"/>
                <w:sz w:val="18"/>
              </w:rPr>
              <w:t>Activité</w:t>
            </w:r>
          </w:p>
        </w:tc>
        <w:tc>
          <w:tcPr>
            <w:tcW w:type="dxa" w:w="1417"/>
            <w:shd w:fill="1B3A28"/>
          </w:tcPr>
          <w:p>
            <w:pPr>
              <w:jc w:val="center"/>
            </w:pPr>
            <w:r/>
            <w:r>
              <w:rPr>
                <w:b/>
                <w:color w:val="FFFFFF"/>
                <w:sz w:val="18"/>
              </w:rPr>
              <w:t>Capacité</w:t>
            </w:r>
          </w:p>
        </w:tc>
        <w:tc>
          <w:tcPr>
            <w:tcW w:type="dxa" w:w="5102"/>
            <w:shd w:fill="1B3A28"/>
          </w:tcPr>
          <w:p>
            <w:pPr>
              <w:jc w:val="center"/>
            </w:pPr>
            <w:r/>
            <w:r>
              <w:rPr>
                <w:b/>
                <w:color w:val="FFFFFF"/>
                <w:sz w:val="18"/>
              </w:rPr>
              <w:t>Description</w:t>
            </w:r>
          </w:p>
        </w:tc>
      </w:tr>
      <w:tr>
        <w:tc>
          <w:tcPr>
            <w:tcW w:type="dxa" w:w="2551"/>
          </w:tcPr>
          <w:p>
            <w:r/>
            <w:r>
              <w:rPr>
                <w:sz w:val="18"/>
              </w:rPr>
              <w:t>Paintball (plein air)</w:t>
            </w:r>
          </w:p>
        </w:tc>
        <w:tc>
          <w:tcPr>
            <w:tcW w:type="dxa" w:w="1417"/>
          </w:tcPr>
          <w:p>
            <w:pPr>
              <w:jc w:val="right"/>
            </w:pPr>
            <w:r/>
            <w:r>
              <w:rPr>
                <w:sz w:val="18"/>
              </w:rPr>
              <w:t>20 joueurs</w:t>
            </w:r>
          </w:p>
        </w:tc>
        <w:tc>
          <w:tcPr>
            <w:tcW w:type="dxa" w:w="5102"/>
          </w:tcPr>
          <w:p>
            <w:pPr>
              <w:jc w:val="right"/>
            </w:pPr>
            <w:r/>
            <w:r>
              <w:rPr>
                <w:sz w:val="18"/>
              </w:rPr>
              <w:t>Aire de jeu aménagée, jour et nocturne UV, équipement complet</w:t>
            </w:r>
          </w:p>
        </w:tc>
      </w:tr>
      <w:tr>
        <w:tc>
          <w:tcPr>
            <w:tcW w:type="dxa" w:w="2551"/>
          </w:tcPr>
          <w:p>
            <w:r/>
            <w:r>
              <w:rPr>
                <w:sz w:val="18"/>
              </w:rPr>
              <w:t>E-bike / Fatbike</w:t>
            </w:r>
          </w:p>
        </w:tc>
        <w:tc>
          <w:tcPr>
            <w:tcW w:type="dxa" w:w="1417"/>
          </w:tcPr>
          <w:p>
            <w:pPr>
              <w:jc w:val="right"/>
            </w:pPr>
            <w:r/>
            <w:r>
              <w:rPr>
                <w:sz w:val="18"/>
              </w:rPr>
              <w:t>15 vélos</w:t>
            </w:r>
          </w:p>
        </w:tc>
        <w:tc>
          <w:tcPr>
            <w:tcW w:type="dxa" w:w="5102"/>
          </w:tcPr>
          <w:p>
            <w:pPr>
              <w:jc w:val="right"/>
            </w:pPr>
            <w:r/>
            <w:r>
              <w:rPr>
                <w:sz w:val="18"/>
              </w:rPr>
              <w:t>Balades guidées dans l'oliveraie et les circuits environnants</w:t>
            </w:r>
          </w:p>
        </w:tc>
      </w:tr>
      <w:tr>
        <w:tc>
          <w:tcPr>
            <w:tcW w:type="dxa" w:w="2551"/>
          </w:tcPr>
          <w:p>
            <w:r/>
            <w:r>
              <w:rPr>
                <w:sz w:val="18"/>
              </w:rPr>
              <w:t>Ateliers cuisine</w:t>
            </w:r>
          </w:p>
        </w:tc>
        <w:tc>
          <w:tcPr>
            <w:tcW w:type="dxa" w:w="1417"/>
          </w:tcPr>
          <w:p>
            <w:pPr>
              <w:jc w:val="right"/>
            </w:pPr>
            <w:r/>
            <w:r>
              <w:rPr>
                <w:sz w:val="18"/>
              </w:rPr>
              <w:t>15 places</w:t>
            </w:r>
          </w:p>
        </w:tc>
        <w:tc>
          <w:tcPr>
            <w:tcW w:type="dxa" w:w="5102"/>
          </w:tcPr>
          <w:p>
            <w:pPr>
              <w:jc w:val="right"/>
            </w:pPr>
            <w:r/>
            <w:r>
              <w:rPr>
                <w:sz w:val="18"/>
              </w:rPr>
              <w:t>Atelier « de la ferme à l'assiette », produits du terroir, économat</w:t>
            </w:r>
          </w:p>
        </w:tc>
      </w:tr>
      <w:tr>
        <w:tc>
          <w:tcPr>
            <w:tcW w:type="dxa" w:w="2551"/>
          </w:tcPr>
          <w:p>
            <w:r/>
            <w:r>
              <w:rPr>
                <w:sz w:val="18"/>
              </w:rPr>
              <w:t>Restauration des ateliers</w:t>
            </w:r>
          </w:p>
        </w:tc>
        <w:tc>
          <w:tcPr>
            <w:tcW w:type="dxa" w:w="1417"/>
          </w:tcPr>
          <w:p>
            <w:pPr>
              <w:jc w:val="right"/>
            </w:pPr>
            <w:r/>
            <w:r>
              <w:rPr>
                <w:sz w:val="18"/>
              </w:rPr>
              <w:t>—</w:t>
            </w:r>
          </w:p>
        </w:tc>
        <w:tc>
          <w:tcPr>
            <w:tcW w:type="dxa" w:w="5102"/>
          </w:tcPr>
          <w:p>
            <w:pPr>
              <w:jc w:val="right"/>
            </w:pPr>
            <w:r/>
            <w:r>
              <w:rPr>
                <w:sz w:val="18"/>
              </w:rPr>
              <w:t>Tente caïdale / structure éphémère climatisée + terrasse extérieure</w:t>
            </w:r>
          </w:p>
        </w:tc>
      </w:tr>
      <w:tr>
        <w:tc>
          <w:tcPr>
            <w:tcW w:type="dxa" w:w="2551"/>
          </w:tcPr>
          <w:p>
            <w:r/>
            <w:r>
              <w:rPr>
                <w:sz w:val="18"/>
              </w:rPr>
              <w:t>Piscine (agrément)</w:t>
            </w:r>
          </w:p>
        </w:tc>
        <w:tc>
          <w:tcPr>
            <w:tcW w:type="dxa" w:w="1417"/>
          </w:tcPr>
          <w:p>
            <w:pPr>
              <w:jc w:val="right"/>
            </w:pPr>
            <w:r/>
            <w:r>
              <w:rPr>
                <w:sz w:val="18"/>
              </w:rPr>
              <w:t>—</w:t>
            </w:r>
          </w:p>
        </w:tc>
        <w:tc>
          <w:tcPr>
            <w:tcW w:type="dxa" w:w="5102"/>
          </w:tcPr>
          <w:p>
            <w:pPr>
              <w:jc w:val="right"/>
            </w:pPr>
            <w:r/>
            <w:r>
              <w:rPr>
                <w:sz w:val="18"/>
              </w:rPr>
              <w:t>Prestation complémentaire de détente (hors programme primé)</w:t>
            </w:r>
          </w:p>
        </w:tc>
      </w:tr>
    </w:tbl>
    <w:p>
      <w:pPr>
        <w:spacing w:before="280" w:after="120"/>
        <w:pBdr>
          <w:bottom w:val="single" w:sz="6" w:color="C8A440" w:space="2"/>
        </w:pBdr>
      </w:pPr>
      <w:r>
        <w:rPr>
          <w:b/>
          <w:color w:val="C8A440"/>
          <w:sz w:val="27"/>
        </w:rPr>
        <w:t xml:space="preserve">5.  </w:t>
      </w:r>
      <w:r>
        <w:rPr>
          <w:b/>
          <w:color w:val="1B3A28"/>
          <w:sz w:val="27"/>
        </w:rPr>
        <w:t>SYNTHÈSE DE L'ÉTUDE DE MARCHÉ</w:t>
      </w:r>
    </w:p>
    <w:p>
      <w:pPr>
        <w:spacing w:before="160" w:after="60"/>
      </w:pPr>
      <w:r>
        <w:rPr>
          <w:b/>
          <w:color w:val="1B3A28"/>
          <w:sz w:val="22"/>
        </w:rPr>
        <w:t>Opportunité du marché cible</w:t>
      </w:r>
    </w:p>
    <w:p>
      <w:pPr>
        <w:spacing w:after="100"/>
      </w:pPr>
      <w:r>
        <w:rPr>
          <w:b w:val="0"/>
          <w:i w:val="0"/>
          <w:sz w:val="21"/>
        </w:rPr>
        <w:t>Marrakech est la première destination touristique du Maroc et un bassin de clientèle nationale et internationale en forte demande d'expériences authentiques et d'activités de plein air. L'offre d'animation structurée « nature + terroir + sport » reste peu développée en périphérie immédiate, alors que la feuille de route du tourisme 2023-2026 priorise précisément la diversification de l'animation touristique.</w:t>
      </w:r>
    </w:p>
    <w:p>
      <w:pPr>
        <w:spacing w:before="160" w:after="60"/>
      </w:pPr>
      <w:r>
        <w:rPr>
          <w:b/>
          <w:color w:val="1B3A28"/>
          <w:sz w:val="22"/>
        </w:rPr>
        <w:t>Stratégie de l'entreprise</w:t>
      </w:r>
    </w:p>
    <w:p>
      <w:pPr>
        <w:spacing w:after="100"/>
      </w:pPr>
      <w:r>
        <w:rPr>
          <w:b w:val="0"/>
          <w:i w:val="0"/>
          <w:sz w:val="21"/>
        </w:rPr>
        <w:t>Positionnement sur une offre d'animation thématique premium-accessible, combinant plusieurs activités sur un même site pour maximiser le panier moyen et la durée de visite. Montée en charge progressive du taux d'occupation de 18 % (2027) à 38 % (2031).</w:t>
      </w:r>
    </w:p>
    <w:p>
      <w:pPr>
        <w:spacing w:before="160" w:after="60"/>
      </w:pPr>
      <w:r>
        <w:rPr>
          <w:b/>
          <w:color w:val="1B3A28"/>
          <w:sz w:val="22"/>
        </w:rPr>
        <w:t>Approvisionnement</w:t>
      </w:r>
    </w:p>
    <w:p>
      <w:pPr>
        <w:spacing w:after="100"/>
      </w:pPr>
      <w:r>
        <w:rPr>
          <w:b w:val="0"/>
          <w:i w:val="0"/>
          <w:sz w:val="21"/>
        </w:rPr>
        <w:t>Produits du terroir issus de la ferme et de fournisseurs locaux (circuit court). Équipements neufs acquis auprès de fournisseurs spécialisés (mobilité, sport/loisir, équipement cuisine, solaire).</w:t>
      </w:r>
    </w:p>
    <w:p>
      <w:pPr>
        <w:spacing w:before="160" w:after="60"/>
      </w:pPr>
      <w:r>
        <w:rPr>
          <w:b/>
          <w:color w:val="1B3A28"/>
          <w:sz w:val="22"/>
        </w:rPr>
        <w:t>Commercialisation et distribution</w:t>
      </w:r>
    </w:p>
    <w:p>
      <w:pPr>
        <w:spacing w:after="100"/>
      </w:pPr>
      <w:r>
        <w:rPr>
          <w:b w:val="0"/>
          <w:i w:val="0"/>
          <w:sz w:val="21"/>
        </w:rPr>
        <w:t>Commercialisation directe (réservation en ligne, réseaux sociaux) et via le réseau et la notoriété de Voyages21 (agences, partenaires, clientèle existante), B2C et B2B (séminaires, groupes, team-building).</w:t>
      </w:r>
    </w:p>
    <w:p>
      <w:pPr>
        <w:spacing w:before="160" w:after="60"/>
      </w:pPr>
      <w:r>
        <w:rPr>
          <w:b/>
          <w:color w:val="1B3A28"/>
          <w:sz w:val="22"/>
        </w:rPr>
        <w:t>Facteurs de différenciation</w:t>
      </w:r>
    </w:p>
    <w:p>
      <w:pPr>
        <w:pStyle w:val="ListBullet"/>
      </w:pPr>
      <w:r>
        <w:rPr>
          <w:sz w:val="21"/>
        </w:rPr>
        <w:t>Concept intégré « de la ferme à l'assiette » unique à proximité de Marrakech.</w:t>
      </w:r>
    </w:p>
    <w:p>
      <w:pPr>
        <w:pStyle w:val="ListBullet"/>
      </w:pPr>
      <w:r>
        <w:rPr>
          <w:sz w:val="21"/>
        </w:rPr>
        <w:t>Multi-activités sur un seul site (panier moyen et durée de visite supérieurs).</w:t>
      </w:r>
    </w:p>
    <w:p>
      <w:pPr>
        <w:pStyle w:val="ListBullet"/>
      </w:pPr>
      <w:r>
        <w:rPr>
          <w:sz w:val="21"/>
        </w:rPr>
        <w:t>Ancrage durable : énergie solaire, forage/eau, circuit court, oliveraie préservée.</w:t>
      </w:r>
    </w:p>
    <w:p>
      <w:pPr>
        <w:pStyle w:val="ListBullet"/>
      </w:pPr>
      <w:r>
        <w:rPr>
          <w:sz w:val="21"/>
        </w:rPr>
        <w:t>Adossement à l'expertise et au réseau de Voyages21 (depuis 2000).</w:t>
      </w:r>
    </w:p>
    <w:p>
      <w:pPr>
        <w:spacing w:before="280" w:after="120"/>
        <w:pBdr>
          <w:bottom w:val="single" w:sz="6" w:color="C8A440" w:space="2"/>
        </w:pBdr>
      </w:pPr>
      <w:r>
        <w:rPr>
          <w:b/>
          <w:color w:val="C8A440"/>
          <w:sz w:val="27"/>
        </w:rPr>
        <w:t xml:space="preserve">6.  </w:t>
      </w:r>
      <w:r>
        <w:rPr>
          <w:b/>
          <w:color w:val="1B3A28"/>
          <w:sz w:val="27"/>
        </w:rPr>
        <w:t>PLAN D'AFFAIRES — PROJECTIONS ET HYPOTHÈSES</w:t>
      </w:r>
    </w:p>
    <w:p>
      <w:pPr>
        <w:spacing w:before="160" w:after="60"/>
      </w:pPr>
      <w:r>
        <w:rPr>
          <w:b/>
          <w:color w:val="1B3A28"/>
          <w:sz w:val="22"/>
        </w:rPr>
        <w:t>Capacité et taux d'occupation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814"/>
            <w:shd w:fill="1B3A28"/>
          </w:tcPr>
          <w:p>
            <w:r/>
            <w:r>
              <w:rPr>
                <w:b/>
                <w:color w:val="FFFFFF"/>
                <w:sz w:val="18"/>
              </w:rPr>
              <w:t>Activité</w:t>
            </w:r>
          </w:p>
        </w:tc>
        <w:tc>
          <w:tcPr>
            <w:tcW w:type="dxa" w:w="1361"/>
            <w:shd w:fill="1B3A28"/>
          </w:tcPr>
          <w:p>
            <w:pPr>
              <w:jc w:val="center"/>
            </w:pPr>
            <w:r/>
            <w:r>
              <w:rPr>
                <w:b/>
                <w:color w:val="FFFFFF"/>
                <w:sz w:val="18"/>
              </w:rPr>
              <w:t>Capacité</w:t>
            </w:r>
          </w:p>
        </w:tc>
        <w:tc>
          <w:tcPr>
            <w:tcW w:type="dxa" w:w="1077"/>
            <w:shd w:fill="1B3A28"/>
          </w:tcPr>
          <w:p>
            <w:pPr>
              <w:jc w:val="center"/>
            </w:pPr>
            <w:r/>
            <w:r>
              <w:rPr>
                <w:b/>
                <w:color w:val="FFFFFF"/>
                <w:sz w:val="18"/>
              </w:rPr>
              <w:t>2027*</w:t>
            </w:r>
          </w:p>
        </w:tc>
        <w:tc>
          <w:tcPr>
            <w:tcW w:type="dxa" w:w="1077"/>
            <w:shd w:fill="1B3A28"/>
          </w:tcPr>
          <w:p>
            <w:pPr>
              <w:jc w:val="center"/>
            </w:pPr>
            <w:r/>
            <w:r>
              <w:rPr>
                <w:b/>
                <w:color w:val="FFFFFF"/>
                <w:sz w:val="18"/>
              </w:rPr>
              <w:t>2028</w:t>
            </w:r>
          </w:p>
        </w:tc>
        <w:tc>
          <w:tcPr>
            <w:tcW w:type="dxa" w:w="1077"/>
            <w:shd w:fill="1B3A28"/>
          </w:tcPr>
          <w:p>
            <w:pPr>
              <w:jc w:val="center"/>
            </w:pPr>
            <w:r/>
            <w:r>
              <w:rPr>
                <w:b/>
                <w:color w:val="FFFFFF"/>
                <w:sz w:val="18"/>
              </w:rPr>
              <w:t>2029</w:t>
            </w:r>
          </w:p>
        </w:tc>
        <w:tc>
          <w:tcPr>
            <w:tcW w:type="dxa" w:w="1077"/>
            <w:shd w:fill="1B3A28"/>
          </w:tcPr>
          <w:p>
            <w:pPr>
              <w:jc w:val="center"/>
            </w:pPr>
            <w:r/>
            <w:r>
              <w:rPr>
                <w:b/>
                <w:color w:val="FFFFFF"/>
                <w:sz w:val="18"/>
              </w:rPr>
              <w:t>2030</w:t>
            </w:r>
          </w:p>
        </w:tc>
        <w:tc>
          <w:tcPr>
            <w:tcW w:type="dxa" w:w="1077"/>
            <w:shd w:fill="1B3A28"/>
          </w:tcPr>
          <w:p>
            <w:pPr>
              <w:jc w:val="center"/>
            </w:pPr>
            <w:r/>
            <w:r>
              <w:rPr>
                <w:b/>
                <w:color w:val="FFFFFF"/>
                <w:sz w:val="18"/>
              </w:rPr>
              <w:t>2031</w:t>
            </w:r>
          </w:p>
        </w:tc>
      </w:tr>
      <w:tr>
        <w:tc>
          <w:tcPr>
            <w:tcW w:type="dxa" w:w="1814"/>
          </w:tcPr>
          <w:p>
            <w:r/>
            <w:r>
              <w:rPr>
                <w:sz w:val="18"/>
              </w:rPr>
              <w:t>E-bike</w:t>
            </w:r>
          </w:p>
        </w:tc>
        <w:tc>
          <w:tcPr>
            <w:tcW w:type="dxa" w:w="1361"/>
          </w:tcPr>
          <w:p>
            <w:pPr>
              <w:jc w:val="right"/>
            </w:pPr>
            <w:r/>
            <w:r>
              <w:rPr>
                <w:sz w:val="18"/>
              </w:rPr>
              <w:t>15 vélos</w:t>
            </w:r>
          </w:p>
        </w:tc>
        <w:tc>
          <w:tcPr>
            <w:tcW w:type="dxa" w:w="1077"/>
          </w:tcPr>
          <w:p>
            <w:pPr>
              <w:jc w:val="right"/>
            </w:pPr>
            <w:r/>
            <w:r>
              <w:rPr>
                <w:sz w:val="18"/>
              </w:rPr>
              <w:t>18 %</w:t>
            </w:r>
          </w:p>
        </w:tc>
        <w:tc>
          <w:tcPr>
            <w:tcW w:type="dxa" w:w="1077"/>
          </w:tcPr>
          <w:p>
            <w:pPr>
              <w:jc w:val="right"/>
            </w:pPr>
            <w:r/>
            <w:r>
              <w:rPr>
                <w:sz w:val="18"/>
              </w:rPr>
              <w:t>23 %</w:t>
            </w:r>
          </w:p>
        </w:tc>
        <w:tc>
          <w:tcPr>
            <w:tcW w:type="dxa" w:w="1077"/>
          </w:tcPr>
          <w:p>
            <w:pPr>
              <w:jc w:val="right"/>
            </w:pPr>
            <w:r/>
            <w:r>
              <w:rPr>
                <w:sz w:val="18"/>
              </w:rPr>
              <w:t>28 %</w:t>
            </w:r>
          </w:p>
        </w:tc>
        <w:tc>
          <w:tcPr>
            <w:tcW w:type="dxa" w:w="1077"/>
          </w:tcPr>
          <w:p>
            <w:pPr>
              <w:jc w:val="right"/>
            </w:pPr>
            <w:r/>
            <w:r>
              <w:rPr>
                <w:sz w:val="18"/>
              </w:rPr>
              <w:t>33 %</w:t>
            </w:r>
          </w:p>
        </w:tc>
        <w:tc>
          <w:tcPr>
            <w:tcW w:type="dxa" w:w="1077"/>
          </w:tcPr>
          <w:p>
            <w:pPr>
              <w:jc w:val="right"/>
            </w:pPr>
            <w:r/>
            <w:r>
              <w:rPr>
                <w:sz w:val="18"/>
              </w:rPr>
              <w:t>38 %</w:t>
            </w:r>
          </w:p>
        </w:tc>
      </w:tr>
      <w:tr>
        <w:tc>
          <w:tcPr>
            <w:tcW w:type="dxa" w:w="1814"/>
          </w:tcPr>
          <w:p>
            <w:r/>
            <w:r>
              <w:rPr>
                <w:sz w:val="18"/>
              </w:rPr>
              <w:t>Paintball</w:t>
            </w:r>
          </w:p>
        </w:tc>
        <w:tc>
          <w:tcPr>
            <w:tcW w:type="dxa" w:w="1361"/>
          </w:tcPr>
          <w:p>
            <w:pPr>
              <w:jc w:val="right"/>
            </w:pPr>
            <w:r/>
            <w:r>
              <w:rPr>
                <w:sz w:val="18"/>
              </w:rPr>
              <w:t>20 joueurs</w:t>
            </w:r>
          </w:p>
        </w:tc>
        <w:tc>
          <w:tcPr>
            <w:tcW w:type="dxa" w:w="1077"/>
          </w:tcPr>
          <w:p>
            <w:pPr>
              <w:jc w:val="right"/>
            </w:pPr>
            <w:r/>
            <w:r>
              <w:rPr>
                <w:sz w:val="18"/>
              </w:rPr>
              <w:t>18 %</w:t>
            </w:r>
          </w:p>
        </w:tc>
        <w:tc>
          <w:tcPr>
            <w:tcW w:type="dxa" w:w="1077"/>
          </w:tcPr>
          <w:p>
            <w:pPr>
              <w:jc w:val="right"/>
            </w:pPr>
            <w:r/>
            <w:r>
              <w:rPr>
                <w:sz w:val="18"/>
              </w:rPr>
              <w:t>23 %</w:t>
            </w:r>
          </w:p>
        </w:tc>
        <w:tc>
          <w:tcPr>
            <w:tcW w:type="dxa" w:w="1077"/>
          </w:tcPr>
          <w:p>
            <w:pPr>
              <w:jc w:val="right"/>
            </w:pPr>
            <w:r/>
            <w:r>
              <w:rPr>
                <w:sz w:val="18"/>
              </w:rPr>
              <w:t>28 %</w:t>
            </w:r>
          </w:p>
        </w:tc>
        <w:tc>
          <w:tcPr>
            <w:tcW w:type="dxa" w:w="1077"/>
          </w:tcPr>
          <w:p>
            <w:pPr>
              <w:jc w:val="right"/>
            </w:pPr>
            <w:r/>
            <w:r>
              <w:rPr>
                <w:sz w:val="18"/>
              </w:rPr>
              <w:t>33 %</w:t>
            </w:r>
          </w:p>
        </w:tc>
        <w:tc>
          <w:tcPr>
            <w:tcW w:type="dxa" w:w="1077"/>
          </w:tcPr>
          <w:p>
            <w:pPr>
              <w:jc w:val="right"/>
            </w:pPr>
            <w:r/>
            <w:r>
              <w:rPr>
                <w:sz w:val="18"/>
              </w:rPr>
              <w:t>38 %</w:t>
            </w:r>
          </w:p>
        </w:tc>
      </w:tr>
      <w:tr>
        <w:tc>
          <w:tcPr>
            <w:tcW w:type="dxa" w:w="1814"/>
          </w:tcPr>
          <w:p>
            <w:r/>
            <w:r>
              <w:rPr>
                <w:sz w:val="18"/>
              </w:rPr>
              <w:t>Ateliers cuisine</w:t>
            </w:r>
          </w:p>
        </w:tc>
        <w:tc>
          <w:tcPr>
            <w:tcW w:type="dxa" w:w="1361"/>
          </w:tcPr>
          <w:p>
            <w:pPr>
              <w:jc w:val="right"/>
            </w:pPr>
            <w:r/>
            <w:r>
              <w:rPr>
                <w:sz w:val="18"/>
              </w:rPr>
              <w:t>15 places</w:t>
            </w:r>
          </w:p>
        </w:tc>
        <w:tc>
          <w:tcPr>
            <w:tcW w:type="dxa" w:w="1077"/>
          </w:tcPr>
          <w:p>
            <w:pPr>
              <w:jc w:val="right"/>
            </w:pPr>
            <w:r/>
            <w:r>
              <w:rPr>
                <w:sz w:val="18"/>
              </w:rPr>
              <w:t>18 %</w:t>
            </w:r>
          </w:p>
        </w:tc>
        <w:tc>
          <w:tcPr>
            <w:tcW w:type="dxa" w:w="1077"/>
          </w:tcPr>
          <w:p>
            <w:pPr>
              <w:jc w:val="right"/>
            </w:pPr>
            <w:r/>
            <w:r>
              <w:rPr>
                <w:sz w:val="18"/>
              </w:rPr>
              <w:t>23 %</w:t>
            </w:r>
          </w:p>
        </w:tc>
        <w:tc>
          <w:tcPr>
            <w:tcW w:type="dxa" w:w="1077"/>
          </w:tcPr>
          <w:p>
            <w:pPr>
              <w:jc w:val="right"/>
            </w:pPr>
            <w:r/>
            <w:r>
              <w:rPr>
                <w:sz w:val="18"/>
              </w:rPr>
              <w:t>28 %</w:t>
            </w:r>
          </w:p>
        </w:tc>
        <w:tc>
          <w:tcPr>
            <w:tcW w:type="dxa" w:w="1077"/>
          </w:tcPr>
          <w:p>
            <w:pPr>
              <w:jc w:val="right"/>
            </w:pPr>
            <w:r/>
            <w:r>
              <w:rPr>
                <w:sz w:val="18"/>
              </w:rPr>
              <w:t>33 %</w:t>
            </w:r>
          </w:p>
        </w:tc>
        <w:tc>
          <w:tcPr>
            <w:tcW w:type="dxa" w:w="1077"/>
          </w:tcPr>
          <w:p>
            <w:pPr>
              <w:jc w:val="right"/>
            </w:pPr>
            <w:r/>
            <w:r>
              <w:rPr>
                <w:sz w:val="18"/>
              </w:rPr>
              <w:t>38 %</w:t>
            </w:r>
          </w:p>
        </w:tc>
      </w:tr>
    </w:tbl>
    <w:p>
      <w:pPr>
        <w:spacing w:after="100"/>
      </w:pPr>
      <w:r>
        <w:rPr>
          <w:b w:val="0"/>
          <w:i w:val="0"/>
          <w:color w:val="555555"/>
          <w:sz w:val="18"/>
        </w:rPr>
        <w:t>* 2027 : taux annuel sur 7 mois d'activité (démarrage juin 2027 — prorata 7/12).</w:t>
      </w:r>
    </w:p>
    <w:p>
      <w:pPr>
        <w:spacing w:before="160" w:after="60"/>
      </w:pPr>
      <w:r>
        <w:rPr>
          <w:b/>
          <w:color w:val="1B3A28"/>
          <w:sz w:val="22"/>
        </w:rPr>
        <w:t>Chiffre d'affaires prévisionnel (KDH)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268"/>
            <w:shd w:fill="1B3A28"/>
          </w:tcPr>
          <w:p>
            <w:r/>
            <w:r>
              <w:rPr>
                <w:b/>
                <w:color w:val="FFFFFF"/>
                <w:sz w:val="18"/>
              </w:rPr>
              <w:t>Activité (CA)</w:t>
            </w:r>
          </w:p>
        </w:tc>
        <w:tc>
          <w:tcPr>
            <w:tcW w:type="dxa" w:w="1304"/>
            <w:shd w:fill="1B3A28"/>
          </w:tcPr>
          <w:p>
            <w:pPr>
              <w:jc w:val="center"/>
            </w:pPr>
            <w:r/>
            <w:r>
              <w:rPr>
                <w:b/>
                <w:color w:val="FFFFFF"/>
                <w:sz w:val="18"/>
              </w:rPr>
              <w:t>2027</w:t>
            </w:r>
          </w:p>
        </w:tc>
        <w:tc>
          <w:tcPr>
            <w:tcW w:type="dxa" w:w="1304"/>
            <w:shd w:fill="1B3A28"/>
          </w:tcPr>
          <w:p>
            <w:pPr>
              <w:jc w:val="center"/>
            </w:pPr>
            <w:r/>
            <w:r>
              <w:rPr>
                <w:b/>
                <w:color w:val="FFFFFF"/>
                <w:sz w:val="18"/>
              </w:rPr>
              <w:t>2028</w:t>
            </w:r>
          </w:p>
        </w:tc>
        <w:tc>
          <w:tcPr>
            <w:tcW w:type="dxa" w:w="1304"/>
            <w:shd w:fill="1B3A28"/>
          </w:tcPr>
          <w:p>
            <w:pPr>
              <w:jc w:val="center"/>
            </w:pPr>
            <w:r/>
            <w:r>
              <w:rPr>
                <w:b/>
                <w:color w:val="FFFFFF"/>
                <w:sz w:val="18"/>
              </w:rPr>
              <w:t>2029</w:t>
            </w:r>
          </w:p>
        </w:tc>
        <w:tc>
          <w:tcPr>
            <w:tcW w:type="dxa" w:w="1304"/>
            <w:shd w:fill="1B3A28"/>
          </w:tcPr>
          <w:p>
            <w:pPr>
              <w:jc w:val="center"/>
            </w:pPr>
            <w:r/>
            <w:r>
              <w:rPr>
                <w:b/>
                <w:color w:val="FFFFFF"/>
                <w:sz w:val="18"/>
              </w:rPr>
              <w:t>2030</w:t>
            </w:r>
          </w:p>
        </w:tc>
        <w:tc>
          <w:tcPr>
            <w:tcW w:type="dxa" w:w="1304"/>
            <w:shd w:fill="1B3A28"/>
          </w:tcPr>
          <w:p>
            <w:pPr>
              <w:jc w:val="center"/>
            </w:pPr>
            <w:r/>
            <w:r>
              <w:rPr>
                <w:b/>
                <w:color w:val="FFFFFF"/>
                <w:sz w:val="18"/>
              </w:rPr>
              <w:t>2031</w:t>
            </w:r>
          </w:p>
        </w:tc>
      </w:tr>
      <w:tr>
        <w:tc>
          <w:tcPr>
            <w:tcW w:type="dxa" w:w="2268"/>
          </w:tcPr>
          <w:p>
            <w:r/>
            <w:r>
              <w:rPr>
                <w:sz w:val="18"/>
              </w:rPr>
              <w:t>E-bike (15 vélos)</w:t>
            </w:r>
          </w:p>
        </w:tc>
        <w:tc>
          <w:tcPr>
            <w:tcW w:type="dxa" w:w="1304"/>
          </w:tcPr>
          <w:p>
            <w:pPr>
              <w:jc w:val="right"/>
            </w:pPr>
            <w:r/>
            <w:r>
              <w:rPr>
                <w:sz w:val="18"/>
              </w:rPr>
              <w:t>200</w:t>
            </w:r>
          </w:p>
        </w:tc>
        <w:tc>
          <w:tcPr>
            <w:tcW w:type="dxa" w:w="1304"/>
          </w:tcPr>
          <w:p>
            <w:pPr>
              <w:jc w:val="right"/>
            </w:pPr>
            <w:r/>
            <w:r>
              <w:rPr>
                <w:sz w:val="18"/>
              </w:rPr>
              <w:t>455</w:t>
            </w:r>
          </w:p>
        </w:tc>
        <w:tc>
          <w:tcPr>
            <w:tcW w:type="dxa" w:w="1304"/>
          </w:tcPr>
          <w:p>
            <w:pPr>
              <w:jc w:val="right"/>
            </w:pPr>
            <w:r/>
            <w:r>
              <w:rPr>
                <w:sz w:val="18"/>
              </w:rPr>
              <w:t>555</w:t>
            </w:r>
          </w:p>
        </w:tc>
        <w:tc>
          <w:tcPr>
            <w:tcW w:type="dxa" w:w="1304"/>
          </w:tcPr>
          <w:p>
            <w:pPr>
              <w:jc w:val="right"/>
            </w:pPr>
            <w:r/>
            <w:r>
              <w:rPr>
                <w:sz w:val="18"/>
              </w:rPr>
              <w:t>654</w:t>
            </w:r>
          </w:p>
        </w:tc>
        <w:tc>
          <w:tcPr>
            <w:tcW w:type="dxa" w:w="1304"/>
          </w:tcPr>
          <w:p>
            <w:pPr>
              <w:jc w:val="right"/>
            </w:pPr>
            <w:r/>
            <w:r>
              <w:rPr>
                <w:sz w:val="18"/>
              </w:rPr>
              <w:t>753</w:t>
            </w:r>
          </w:p>
        </w:tc>
      </w:tr>
      <w:tr>
        <w:tc>
          <w:tcPr>
            <w:tcW w:type="dxa" w:w="2268"/>
          </w:tcPr>
          <w:p>
            <w:r/>
            <w:r>
              <w:rPr>
                <w:sz w:val="18"/>
              </w:rPr>
              <w:t>Paintball</w:t>
            </w:r>
          </w:p>
        </w:tc>
        <w:tc>
          <w:tcPr>
            <w:tcW w:type="dxa" w:w="1304"/>
          </w:tcPr>
          <w:p>
            <w:pPr>
              <w:jc w:val="right"/>
            </w:pPr>
            <w:r/>
            <w:r>
              <w:rPr>
                <w:sz w:val="18"/>
              </w:rPr>
              <w:t>160</w:t>
            </w:r>
          </w:p>
        </w:tc>
        <w:tc>
          <w:tcPr>
            <w:tcW w:type="dxa" w:w="1304"/>
          </w:tcPr>
          <w:p>
            <w:pPr>
              <w:jc w:val="right"/>
            </w:pPr>
            <w:r/>
            <w:r>
              <w:rPr>
                <w:sz w:val="18"/>
              </w:rPr>
              <w:t>364</w:t>
            </w:r>
          </w:p>
        </w:tc>
        <w:tc>
          <w:tcPr>
            <w:tcW w:type="dxa" w:w="1304"/>
          </w:tcPr>
          <w:p>
            <w:pPr>
              <w:jc w:val="right"/>
            </w:pPr>
            <w:r/>
            <w:r>
              <w:rPr>
                <w:sz w:val="18"/>
              </w:rPr>
              <w:t>444</w:t>
            </w:r>
          </w:p>
        </w:tc>
        <w:tc>
          <w:tcPr>
            <w:tcW w:type="dxa" w:w="1304"/>
          </w:tcPr>
          <w:p>
            <w:pPr>
              <w:jc w:val="right"/>
            </w:pPr>
            <w:r/>
            <w:r>
              <w:rPr>
                <w:sz w:val="18"/>
              </w:rPr>
              <w:t>523</w:t>
            </w:r>
          </w:p>
        </w:tc>
        <w:tc>
          <w:tcPr>
            <w:tcW w:type="dxa" w:w="1304"/>
          </w:tcPr>
          <w:p>
            <w:pPr>
              <w:jc w:val="right"/>
            </w:pPr>
            <w:r/>
            <w:r>
              <w:rPr>
                <w:sz w:val="18"/>
              </w:rPr>
              <w:t>602</w:t>
            </w:r>
          </w:p>
        </w:tc>
      </w:tr>
      <w:tr>
        <w:tc>
          <w:tcPr>
            <w:tcW w:type="dxa" w:w="2268"/>
          </w:tcPr>
          <w:p>
            <w:r/>
            <w:r>
              <w:rPr>
                <w:sz w:val="18"/>
              </w:rPr>
              <w:t>Ateliers cuisine</w:t>
            </w:r>
          </w:p>
        </w:tc>
        <w:tc>
          <w:tcPr>
            <w:tcW w:type="dxa" w:w="1304"/>
          </w:tcPr>
          <w:p>
            <w:pPr>
              <w:jc w:val="right"/>
            </w:pPr>
            <w:r/>
            <w:r>
              <w:rPr>
                <w:sz w:val="18"/>
              </w:rPr>
              <w:t>160</w:t>
            </w:r>
          </w:p>
        </w:tc>
        <w:tc>
          <w:tcPr>
            <w:tcW w:type="dxa" w:w="1304"/>
          </w:tcPr>
          <w:p>
            <w:pPr>
              <w:jc w:val="right"/>
            </w:pPr>
            <w:r/>
            <w:r>
              <w:rPr>
                <w:sz w:val="18"/>
              </w:rPr>
              <w:t>364</w:t>
            </w:r>
          </w:p>
        </w:tc>
        <w:tc>
          <w:tcPr>
            <w:tcW w:type="dxa" w:w="1304"/>
          </w:tcPr>
          <w:p>
            <w:pPr>
              <w:jc w:val="right"/>
            </w:pPr>
            <w:r/>
            <w:r>
              <w:rPr>
                <w:sz w:val="18"/>
              </w:rPr>
              <w:t>444</w:t>
            </w:r>
          </w:p>
        </w:tc>
        <w:tc>
          <w:tcPr>
            <w:tcW w:type="dxa" w:w="1304"/>
          </w:tcPr>
          <w:p>
            <w:pPr>
              <w:jc w:val="right"/>
            </w:pPr>
            <w:r/>
            <w:r>
              <w:rPr>
                <w:sz w:val="18"/>
              </w:rPr>
              <w:t>523</w:t>
            </w:r>
          </w:p>
        </w:tc>
        <w:tc>
          <w:tcPr>
            <w:tcW w:type="dxa" w:w="1304"/>
          </w:tcPr>
          <w:p>
            <w:pPr>
              <w:jc w:val="right"/>
            </w:pPr>
            <w:r/>
            <w:r>
              <w:rPr>
                <w:sz w:val="18"/>
              </w:rPr>
              <w:t>602</w:t>
            </w:r>
          </w:p>
        </w:tc>
      </w:tr>
      <w:tr>
        <w:tc>
          <w:tcPr>
            <w:tcW w:type="dxa" w:w="2268"/>
            <w:shd w:fill="EFE7D2"/>
          </w:tcPr>
          <w:p>
            <w:r/>
            <w:r>
              <w:rPr>
                <w:b/>
                <w:sz w:val="18"/>
              </w:rPr>
              <w:t>CA Animation total</w:t>
            </w:r>
          </w:p>
        </w:tc>
        <w:tc>
          <w:tcPr>
            <w:tcW w:type="dxa" w:w="1304"/>
            <w:shd w:fill="EFE7D2"/>
          </w:tcPr>
          <w:p>
            <w:pPr>
              <w:jc w:val="right"/>
            </w:pPr>
            <w:r/>
            <w:r>
              <w:rPr>
                <w:b/>
                <w:sz w:val="18"/>
              </w:rPr>
              <w:t>520</w:t>
            </w:r>
          </w:p>
        </w:tc>
        <w:tc>
          <w:tcPr>
            <w:tcW w:type="dxa" w:w="1304"/>
            <w:shd w:fill="EFE7D2"/>
          </w:tcPr>
          <w:p>
            <w:pPr>
              <w:jc w:val="right"/>
            </w:pPr>
            <w:r/>
            <w:r>
              <w:rPr>
                <w:b/>
                <w:sz w:val="18"/>
              </w:rPr>
              <w:t>1 184</w:t>
            </w:r>
          </w:p>
        </w:tc>
        <w:tc>
          <w:tcPr>
            <w:tcW w:type="dxa" w:w="1304"/>
            <w:shd w:fill="EFE7D2"/>
          </w:tcPr>
          <w:p>
            <w:pPr>
              <w:jc w:val="right"/>
            </w:pPr>
            <w:r/>
            <w:r>
              <w:rPr>
                <w:b/>
                <w:sz w:val="18"/>
              </w:rPr>
              <w:t>1 443</w:t>
            </w:r>
          </w:p>
        </w:tc>
        <w:tc>
          <w:tcPr>
            <w:tcW w:type="dxa" w:w="1304"/>
            <w:shd w:fill="EFE7D2"/>
          </w:tcPr>
          <w:p>
            <w:pPr>
              <w:jc w:val="right"/>
            </w:pPr>
            <w:r/>
            <w:r>
              <w:rPr>
                <w:b/>
                <w:sz w:val="18"/>
              </w:rPr>
              <w:t>1 700</w:t>
            </w:r>
          </w:p>
        </w:tc>
        <w:tc>
          <w:tcPr>
            <w:tcW w:type="dxa" w:w="1304"/>
            <w:shd w:fill="EFE7D2"/>
          </w:tcPr>
          <w:p>
            <w:pPr>
              <w:jc w:val="right"/>
            </w:pPr>
            <w:r/>
            <w:r>
              <w:rPr>
                <w:b/>
                <w:sz w:val="18"/>
              </w:rPr>
              <w:t>1 957</w:t>
            </w:r>
          </w:p>
        </w:tc>
      </w:tr>
    </w:tbl>
    <w:p>
      <w:pPr>
        <w:spacing w:before="160" w:after="60"/>
      </w:pPr>
      <w:r>
        <w:rPr>
          <w:b/>
          <w:color w:val="1B3A28"/>
          <w:sz w:val="22"/>
        </w:rPr>
        <w:t>Compte de produits et charges prévisionnel — consolidé (KDH)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2381"/>
            <w:shd w:fill="1B3A28"/>
          </w:tcPr>
          <w:p>
            <w:r/>
            <w:r>
              <w:rPr>
                <w:b/>
                <w:color w:val="FFFFFF"/>
                <w:sz w:val="18"/>
              </w:rPr>
              <w:t>Indicateur</w:t>
            </w:r>
          </w:p>
        </w:tc>
        <w:tc>
          <w:tcPr>
            <w:tcW w:type="dxa" w:w="1247"/>
            <w:shd w:fill="1B3A28"/>
          </w:tcPr>
          <w:p>
            <w:pPr>
              <w:jc w:val="center"/>
            </w:pPr>
            <w:r/>
            <w:r>
              <w:rPr>
                <w:b/>
                <w:color w:val="FFFFFF"/>
                <w:sz w:val="18"/>
              </w:rPr>
              <w:t>2027</w:t>
            </w:r>
          </w:p>
        </w:tc>
        <w:tc>
          <w:tcPr>
            <w:tcW w:type="dxa" w:w="1247"/>
            <w:shd w:fill="1B3A28"/>
          </w:tcPr>
          <w:p>
            <w:pPr>
              <w:jc w:val="center"/>
            </w:pPr>
            <w:r/>
            <w:r>
              <w:rPr>
                <w:b/>
                <w:color w:val="FFFFFF"/>
                <w:sz w:val="18"/>
              </w:rPr>
              <w:t>2028</w:t>
            </w:r>
          </w:p>
        </w:tc>
        <w:tc>
          <w:tcPr>
            <w:tcW w:type="dxa" w:w="1247"/>
            <w:shd w:fill="1B3A28"/>
          </w:tcPr>
          <w:p>
            <w:pPr>
              <w:jc w:val="center"/>
            </w:pPr>
            <w:r/>
            <w:r>
              <w:rPr>
                <w:b/>
                <w:color w:val="FFFFFF"/>
                <w:sz w:val="18"/>
              </w:rPr>
              <w:t>2029</w:t>
            </w:r>
          </w:p>
        </w:tc>
        <w:tc>
          <w:tcPr>
            <w:tcW w:type="dxa" w:w="1247"/>
            <w:shd w:fill="1B3A28"/>
          </w:tcPr>
          <w:p>
            <w:pPr>
              <w:jc w:val="center"/>
            </w:pPr>
            <w:r/>
            <w:r>
              <w:rPr>
                <w:b/>
                <w:color w:val="FFFFFF"/>
                <w:sz w:val="18"/>
              </w:rPr>
              <w:t>2030</w:t>
            </w:r>
          </w:p>
        </w:tc>
        <w:tc>
          <w:tcPr>
            <w:tcW w:type="dxa" w:w="1247"/>
            <w:shd w:fill="1B3A28"/>
          </w:tcPr>
          <w:p>
            <w:pPr>
              <w:jc w:val="center"/>
            </w:pPr>
            <w:r/>
            <w:r>
              <w:rPr>
                <w:b/>
                <w:color w:val="FFFFFF"/>
                <w:sz w:val="18"/>
              </w:rPr>
              <w:t>2031</w:t>
            </w:r>
          </w:p>
        </w:tc>
      </w:tr>
      <w:tr>
        <w:tc>
          <w:tcPr>
            <w:tcW w:type="dxa" w:w="2381"/>
            <w:shd w:fill="EFE7D2"/>
          </w:tcPr>
          <w:p>
            <w:r/>
            <w:r>
              <w:rPr>
                <w:b/>
                <w:sz w:val="18"/>
              </w:rPr>
              <w:t>Chiffre d'affaires</w:t>
            </w:r>
          </w:p>
        </w:tc>
        <w:tc>
          <w:tcPr>
            <w:tcW w:type="dxa" w:w="1247"/>
            <w:shd w:fill="EFE7D2"/>
          </w:tcPr>
          <w:p>
            <w:pPr>
              <w:jc w:val="right"/>
            </w:pPr>
            <w:r/>
            <w:r>
              <w:rPr>
                <w:b/>
                <w:sz w:val="18"/>
              </w:rPr>
              <w:t>520</w:t>
            </w:r>
          </w:p>
        </w:tc>
        <w:tc>
          <w:tcPr>
            <w:tcW w:type="dxa" w:w="1247"/>
            <w:shd w:fill="EFE7D2"/>
          </w:tcPr>
          <w:p>
            <w:pPr>
              <w:jc w:val="right"/>
            </w:pPr>
            <w:r/>
            <w:r>
              <w:rPr>
                <w:b/>
                <w:sz w:val="18"/>
              </w:rPr>
              <w:t>1 184</w:t>
            </w:r>
          </w:p>
        </w:tc>
        <w:tc>
          <w:tcPr>
            <w:tcW w:type="dxa" w:w="1247"/>
            <w:shd w:fill="EFE7D2"/>
          </w:tcPr>
          <w:p>
            <w:pPr>
              <w:jc w:val="right"/>
            </w:pPr>
            <w:r/>
            <w:r>
              <w:rPr>
                <w:b/>
                <w:sz w:val="18"/>
              </w:rPr>
              <w:t>1 443</w:t>
            </w:r>
          </w:p>
        </w:tc>
        <w:tc>
          <w:tcPr>
            <w:tcW w:type="dxa" w:w="1247"/>
            <w:shd w:fill="EFE7D2"/>
          </w:tcPr>
          <w:p>
            <w:pPr>
              <w:jc w:val="right"/>
            </w:pPr>
            <w:r/>
            <w:r>
              <w:rPr>
                <w:b/>
                <w:sz w:val="18"/>
              </w:rPr>
              <w:t>1 700</w:t>
            </w:r>
          </w:p>
        </w:tc>
        <w:tc>
          <w:tcPr>
            <w:tcW w:type="dxa" w:w="1247"/>
            <w:shd w:fill="EFE7D2"/>
          </w:tcPr>
          <w:p>
            <w:pPr>
              <w:jc w:val="right"/>
            </w:pPr>
            <w:r/>
            <w:r>
              <w:rPr>
                <w:b/>
                <w:sz w:val="18"/>
              </w:rPr>
              <w:t>1 957</w:t>
            </w:r>
          </w:p>
        </w:tc>
      </w:tr>
      <w:tr>
        <w:tc>
          <w:tcPr>
            <w:tcW w:type="dxa" w:w="2381"/>
          </w:tcPr>
          <w:p>
            <w:r/>
            <w:r>
              <w:rPr>
                <w:sz w:val="18"/>
              </w:rPr>
              <w:t>Total charges d'exploitation</w:t>
            </w:r>
          </w:p>
        </w:tc>
        <w:tc>
          <w:tcPr>
            <w:tcW w:type="dxa" w:w="1247"/>
          </w:tcPr>
          <w:p>
            <w:pPr>
              <w:jc w:val="right"/>
            </w:pPr>
            <w:r/>
            <w:r>
              <w:rPr>
                <w:sz w:val="18"/>
              </w:rPr>
              <w:t>481</w:t>
            </w:r>
          </w:p>
        </w:tc>
        <w:tc>
          <w:tcPr>
            <w:tcW w:type="dxa" w:w="1247"/>
          </w:tcPr>
          <w:p>
            <w:pPr>
              <w:jc w:val="right"/>
            </w:pPr>
            <w:r/>
            <w:r>
              <w:rPr>
                <w:sz w:val="18"/>
              </w:rPr>
              <w:t>881</w:t>
            </w:r>
          </w:p>
        </w:tc>
        <w:tc>
          <w:tcPr>
            <w:tcW w:type="dxa" w:w="1247"/>
          </w:tcPr>
          <w:p>
            <w:pPr>
              <w:jc w:val="right"/>
            </w:pPr>
            <w:r/>
            <w:r>
              <w:rPr>
                <w:sz w:val="18"/>
              </w:rPr>
              <w:t>974</w:t>
            </w:r>
          </w:p>
        </w:tc>
        <w:tc>
          <w:tcPr>
            <w:tcW w:type="dxa" w:w="1247"/>
          </w:tcPr>
          <w:p>
            <w:pPr>
              <w:jc w:val="right"/>
            </w:pPr>
            <w:r/>
            <w:r>
              <w:rPr>
                <w:sz w:val="18"/>
              </w:rPr>
              <w:t>1 070</w:t>
            </w:r>
          </w:p>
        </w:tc>
        <w:tc>
          <w:tcPr>
            <w:tcW w:type="dxa" w:w="1247"/>
          </w:tcPr>
          <w:p>
            <w:pPr>
              <w:jc w:val="right"/>
            </w:pPr>
            <w:r/>
            <w:r>
              <w:rPr>
                <w:sz w:val="18"/>
              </w:rPr>
              <w:t>1 172</w:t>
            </w:r>
          </w:p>
        </w:tc>
      </w:tr>
      <w:tr>
        <w:tc>
          <w:tcPr>
            <w:tcW w:type="dxa" w:w="2381"/>
            <w:shd w:fill="EFE7D2"/>
          </w:tcPr>
          <w:p>
            <w:r/>
            <w:r>
              <w:rPr>
                <w:b/>
                <w:sz w:val="18"/>
              </w:rPr>
              <w:t>EBE</w:t>
            </w:r>
          </w:p>
        </w:tc>
        <w:tc>
          <w:tcPr>
            <w:tcW w:type="dxa" w:w="1247"/>
            <w:shd w:fill="EFE7D2"/>
          </w:tcPr>
          <w:p>
            <w:pPr>
              <w:jc w:val="right"/>
            </w:pPr>
            <w:r/>
            <w:r>
              <w:rPr>
                <w:b/>
                <w:sz w:val="18"/>
              </w:rPr>
              <w:t>118</w:t>
            </w:r>
          </w:p>
        </w:tc>
        <w:tc>
          <w:tcPr>
            <w:tcW w:type="dxa" w:w="1247"/>
            <w:shd w:fill="EFE7D2"/>
          </w:tcPr>
          <w:p>
            <w:pPr>
              <w:jc w:val="right"/>
            </w:pPr>
            <w:r/>
            <w:r>
              <w:rPr>
                <w:b/>
                <w:sz w:val="18"/>
              </w:rPr>
              <w:t>438</w:t>
            </w:r>
          </w:p>
        </w:tc>
        <w:tc>
          <w:tcPr>
            <w:tcW w:type="dxa" w:w="1247"/>
            <w:shd w:fill="EFE7D2"/>
          </w:tcPr>
          <w:p>
            <w:pPr>
              <w:jc w:val="right"/>
            </w:pPr>
            <w:r/>
            <w:r>
              <w:rPr>
                <w:b/>
                <w:sz w:val="18"/>
              </w:rPr>
              <w:t>605</w:t>
            </w:r>
          </w:p>
        </w:tc>
        <w:tc>
          <w:tcPr>
            <w:tcW w:type="dxa" w:w="1247"/>
            <w:shd w:fill="EFE7D2"/>
          </w:tcPr>
          <w:p>
            <w:pPr>
              <w:jc w:val="right"/>
            </w:pPr>
            <w:r/>
            <w:r>
              <w:rPr>
                <w:b/>
                <w:sz w:val="18"/>
              </w:rPr>
              <w:t>765</w:t>
            </w:r>
          </w:p>
        </w:tc>
        <w:tc>
          <w:tcPr>
            <w:tcW w:type="dxa" w:w="1247"/>
            <w:shd w:fill="EFE7D2"/>
          </w:tcPr>
          <w:p>
            <w:pPr>
              <w:jc w:val="right"/>
            </w:pPr>
            <w:r/>
            <w:r>
              <w:rPr>
                <w:b/>
                <w:sz w:val="18"/>
              </w:rPr>
              <w:t>921</w:t>
            </w:r>
          </w:p>
        </w:tc>
      </w:tr>
      <w:tr>
        <w:tc>
          <w:tcPr>
            <w:tcW w:type="dxa" w:w="2381"/>
          </w:tcPr>
          <w:p>
            <w:r/>
            <w:r>
              <w:rPr>
                <w:sz w:val="18"/>
              </w:rPr>
              <w:t>Résultat avant impôts</w:t>
            </w:r>
          </w:p>
        </w:tc>
        <w:tc>
          <w:tcPr>
            <w:tcW w:type="dxa" w:w="1247"/>
          </w:tcPr>
          <w:p>
            <w:pPr>
              <w:jc w:val="right"/>
            </w:pPr>
            <w:r/>
            <w:r>
              <w:rPr>
                <w:sz w:val="18"/>
              </w:rPr>
              <w:t>34</w:t>
            </w:r>
          </w:p>
        </w:tc>
        <w:tc>
          <w:tcPr>
            <w:tcW w:type="dxa" w:w="1247"/>
          </w:tcPr>
          <w:p>
            <w:pPr>
              <w:jc w:val="right"/>
            </w:pPr>
            <w:r/>
            <w:r>
              <w:rPr>
                <w:sz w:val="18"/>
              </w:rPr>
              <w:t>294</w:t>
            </w:r>
          </w:p>
        </w:tc>
        <w:tc>
          <w:tcPr>
            <w:tcW w:type="dxa" w:w="1247"/>
          </w:tcPr>
          <w:p>
            <w:pPr>
              <w:jc w:val="right"/>
            </w:pPr>
            <w:r/>
            <w:r>
              <w:rPr>
                <w:sz w:val="18"/>
              </w:rPr>
              <w:t>462</w:t>
            </w:r>
          </w:p>
        </w:tc>
        <w:tc>
          <w:tcPr>
            <w:tcW w:type="dxa" w:w="1247"/>
          </w:tcPr>
          <w:p>
            <w:pPr>
              <w:jc w:val="right"/>
            </w:pPr>
            <w:r/>
            <w:r>
              <w:rPr>
                <w:sz w:val="18"/>
              </w:rPr>
              <w:t>624</w:t>
            </w:r>
          </w:p>
        </w:tc>
        <w:tc>
          <w:tcPr>
            <w:tcW w:type="dxa" w:w="1247"/>
          </w:tcPr>
          <w:p>
            <w:pPr>
              <w:jc w:val="right"/>
            </w:pPr>
            <w:r/>
            <w:r>
              <w:rPr>
                <w:sz w:val="18"/>
              </w:rPr>
              <w:t>781</w:t>
            </w:r>
          </w:p>
        </w:tc>
      </w:tr>
      <w:tr>
        <w:tc>
          <w:tcPr>
            <w:tcW w:type="dxa" w:w="2381"/>
          </w:tcPr>
          <w:p>
            <w:r/>
            <w:r>
              <w:rPr>
                <w:sz w:val="18"/>
              </w:rPr>
              <w:t>IS (20 %)</w:t>
            </w:r>
          </w:p>
        </w:tc>
        <w:tc>
          <w:tcPr>
            <w:tcW w:type="dxa" w:w="1247"/>
          </w:tcPr>
          <w:p>
            <w:pPr>
              <w:jc w:val="right"/>
            </w:pPr>
            <w:r/>
            <w:r>
              <w:rPr>
                <w:sz w:val="18"/>
              </w:rPr>
              <w:t>7</w:t>
            </w:r>
          </w:p>
        </w:tc>
        <w:tc>
          <w:tcPr>
            <w:tcW w:type="dxa" w:w="1247"/>
          </w:tcPr>
          <w:p>
            <w:pPr>
              <w:jc w:val="right"/>
            </w:pPr>
            <w:r/>
            <w:r>
              <w:rPr>
                <w:sz w:val="18"/>
              </w:rPr>
              <w:t>59</w:t>
            </w:r>
          </w:p>
        </w:tc>
        <w:tc>
          <w:tcPr>
            <w:tcW w:type="dxa" w:w="1247"/>
          </w:tcPr>
          <w:p>
            <w:pPr>
              <w:jc w:val="right"/>
            </w:pPr>
            <w:r/>
            <w:r>
              <w:rPr>
                <w:sz w:val="18"/>
              </w:rPr>
              <w:t>92</w:t>
            </w:r>
          </w:p>
        </w:tc>
        <w:tc>
          <w:tcPr>
            <w:tcW w:type="dxa" w:w="1247"/>
          </w:tcPr>
          <w:p>
            <w:pPr>
              <w:jc w:val="right"/>
            </w:pPr>
            <w:r/>
            <w:r>
              <w:rPr>
                <w:sz w:val="18"/>
              </w:rPr>
              <w:t>125</w:t>
            </w:r>
          </w:p>
        </w:tc>
        <w:tc>
          <w:tcPr>
            <w:tcW w:type="dxa" w:w="1247"/>
          </w:tcPr>
          <w:p>
            <w:pPr>
              <w:jc w:val="right"/>
            </w:pPr>
            <w:r/>
            <w:r>
              <w:rPr>
                <w:sz w:val="18"/>
              </w:rPr>
              <w:t>156</w:t>
            </w:r>
          </w:p>
        </w:tc>
      </w:tr>
      <w:tr>
        <w:tc>
          <w:tcPr>
            <w:tcW w:type="dxa" w:w="2381"/>
            <w:shd w:fill="EFE7D2"/>
          </w:tcPr>
          <w:p>
            <w:r/>
            <w:r>
              <w:rPr>
                <w:b/>
                <w:sz w:val="18"/>
              </w:rPr>
              <w:t>Résultat net</w:t>
            </w:r>
          </w:p>
        </w:tc>
        <w:tc>
          <w:tcPr>
            <w:tcW w:type="dxa" w:w="1247"/>
            <w:shd w:fill="EFE7D2"/>
          </w:tcPr>
          <w:p>
            <w:pPr>
              <w:jc w:val="right"/>
            </w:pPr>
            <w:r/>
            <w:r>
              <w:rPr>
                <w:b/>
                <w:sz w:val="18"/>
              </w:rPr>
              <w:t>27</w:t>
            </w:r>
          </w:p>
        </w:tc>
        <w:tc>
          <w:tcPr>
            <w:tcW w:type="dxa" w:w="1247"/>
            <w:shd w:fill="EFE7D2"/>
          </w:tcPr>
          <w:p>
            <w:pPr>
              <w:jc w:val="right"/>
            </w:pPr>
            <w:r/>
            <w:r>
              <w:rPr>
                <w:b/>
                <w:sz w:val="18"/>
              </w:rPr>
              <w:t>235</w:t>
            </w:r>
          </w:p>
        </w:tc>
        <w:tc>
          <w:tcPr>
            <w:tcW w:type="dxa" w:w="1247"/>
            <w:shd w:fill="EFE7D2"/>
          </w:tcPr>
          <w:p>
            <w:pPr>
              <w:jc w:val="right"/>
            </w:pPr>
            <w:r/>
            <w:r>
              <w:rPr>
                <w:b/>
                <w:sz w:val="18"/>
              </w:rPr>
              <w:t>370</w:t>
            </w:r>
          </w:p>
        </w:tc>
        <w:tc>
          <w:tcPr>
            <w:tcW w:type="dxa" w:w="1247"/>
            <w:shd w:fill="EFE7D2"/>
          </w:tcPr>
          <w:p>
            <w:pPr>
              <w:jc w:val="right"/>
            </w:pPr>
            <w:r/>
            <w:r>
              <w:rPr>
                <w:b/>
                <w:sz w:val="18"/>
              </w:rPr>
              <w:t>499</w:t>
            </w:r>
          </w:p>
        </w:tc>
        <w:tc>
          <w:tcPr>
            <w:tcW w:type="dxa" w:w="1247"/>
            <w:shd w:fill="EFE7D2"/>
          </w:tcPr>
          <w:p>
            <w:pPr>
              <w:jc w:val="right"/>
            </w:pPr>
            <w:r/>
            <w:r>
              <w:rPr>
                <w:b/>
                <w:sz w:val="18"/>
              </w:rPr>
              <w:t>625</w:t>
            </w:r>
          </w:p>
        </w:tc>
      </w:tr>
      <w:tr>
        <w:tc>
          <w:tcPr>
            <w:tcW w:type="dxa" w:w="2381"/>
            <w:shd w:fill="EFE7D2"/>
          </w:tcPr>
          <w:p>
            <w:r/>
            <w:r>
              <w:rPr>
                <w:b/>
                <w:sz w:val="18"/>
              </w:rPr>
              <w:t>CAF</w:t>
            </w:r>
          </w:p>
        </w:tc>
        <w:tc>
          <w:tcPr>
            <w:tcW w:type="dxa" w:w="1247"/>
            <w:shd w:fill="EFE7D2"/>
          </w:tcPr>
          <w:p>
            <w:pPr>
              <w:jc w:val="right"/>
            </w:pPr>
            <w:r/>
            <w:r>
              <w:rPr>
                <w:b/>
                <w:sz w:val="18"/>
              </w:rPr>
              <w:t>106</w:t>
            </w:r>
          </w:p>
        </w:tc>
        <w:tc>
          <w:tcPr>
            <w:tcW w:type="dxa" w:w="1247"/>
            <w:shd w:fill="EFE7D2"/>
          </w:tcPr>
          <w:p>
            <w:pPr>
              <w:jc w:val="right"/>
            </w:pPr>
            <w:r/>
            <w:r>
              <w:rPr>
                <w:b/>
                <w:sz w:val="18"/>
              </w:rPr>
              <w:t>371</w:t>
            </w:r>
          </w:p>
        </w:tc>
        <w:tc>
          <w:tcPr>
            <w:tcW w:type="dxa" w:w="1247"/>
            <w:shd w:fill="EFE7D2"/>
          </w:tcPr>
          <w:p>
            <w:pPr>
              <w:jc w:val="right"/>
            </w:pPr>
            <w:r/>
            <w:r>
              <w:rPr>
                <w:b/>
                <w:sz w:val="18"/>
              </w:rPr>
              <w:t>506</w:t>
            </w:r>
          </w:p>
        </w:tc>
        <w:tc>
          <w:tcPr>
            <w:tcW w:type="dxa" w:w="1247"/>
            <w:shd w:fill="EFE7D2"/>
          </w:tcPr>
          <w:p>
            <w:pPr>
              <w:jc w:val="right"/>
            </w:pPr>
            <w:r/>
            <w:r>
              <w:rPr>
                <w:b/>
                <w:sz w:val="18"/>
              </w:rPr>
              <w:t>635</w:t>
            </w:r>
          </w:p>
        </w:tc>
        <w:tc>
          <w:tcPr>
            <w:tcW w:type="dxa" w:w="1247"/>
            <w:shd w:fill="EFE7D2"/>
          </w:tcPr>
          <w:p>
            <w:pPr>
              <w:jc w:val="right"/>
            </w:pPr>
            <w:r/>
            <w:r>
              <w:rPr>
                <w:b/>
                <w:sz w:val="18"/>
              </w:rPr>
              <w:t>760</w:t>
            </w:r>
          </w:p>
        </w:tc>
      </w:tr>
    </w:tbl>
    <w:p>
      <w:pPr>
        <w:spacing w:after="100"/>
      </w:pPr>
      <w:r>
        <w:rPr>
          <w:b w:val="0"/>
          <w:i w:val="0"/>
          <w:color w:val="555555"/>
          <w:sz w:val="18"/>
        </w:rPr>
        <w:t>Hypothèses : charges directes 25,2 % du CA ; charges externes et masse salariale fixes ; amortissements et charges financières selon échéanciers ; IS à 20 %. CAF = résultat net + amortissements.</w:t>
      </w:r>
    </w:p>
    <w:p>
      <w:pPr>
        <w:spacing w:before="280" w:after="120"/>
        <w:pBdr>
          <w:bottom w:val="single" w:sz="6" w:color="C8A440" w:space="2"/>
        </w:pBdr>
      </w:pPr>
      <w:r>
        <w:rPr>
          <w:b/>
          <w:color w:val="C8A440"/>
          <w:sz w:val="27"/>
        </w:rPr>
        <w:t xml:space="preserve">7.  </w:t>
      </w:r>
      <w:r>
        <w:rPr>
          <w:b/>
          <w:color w:val="1B3A28"/>
          <w:sz w:val="27"/>
        </w:rPr>
        <w:t>PLAN D'INVESTISSEMENT ET DE FINANCEMENT</w:t>
      </w:r>
    </w:p>
    <w:p>
      <w:pPr>
        <w:spacing w:before="160" w:after="60"/>
      </w:pPr>
      <w:r>
        <w:rPr>
          <w:b/>
          <w:color w:val="1B3A28"/>
          <w:sz w:val="22"/>
        </w:rPr>
        <w:t>Programme d'investissement (TTC)</w:t>
      </w:r>
    </w:p>
    <w:tbl>
      <w:tblPr>
        <w:tblStyle w:val="TableGrid"/>
        <w:tblW w:type="auto" w:w="0"/>
        <w:jc w:val="center"/>
        <w:tblLook w:firstColumn="1" w:firstRow="1" w:lastColumn="0" w:lastRow="0" w:noHBand="0" w:noVBand="1" w:val="04A0"/>
      </w:tblPr>
      <w:tblGrid>
        <w:gridCol w:w="3324"/>
        <w:gridCol w:w="3324"/>
        <w:gridCol w:w="3324"/>
      </w:tblGrid>
      <w:tr>
        <w:tc>
          <w:tcPr>
            <w:tcW w:type="dxa" w:w="4535"/>
            <w:shd w:fill="1B3A28"/>
          </w:tcPr>
          <w:p>
            <w:r/>
            <w:r>
              <w:rPr>
                <w:b/>
                <w:color w:val="FFFFFF"/>
                <w:sz w:val="18"/>
              </w:rPr>
              <w:t>Rubrique</w:t>
            </w:r>
          </w:p>
        </w:tc>
        <w:tc>
          <w:tcPr>
            <w:tcW w:type="dxa" w:w="2268"/>
            <w:shd w:fill="1B3A28"/>
          </w:tcPr>
          <w:p>
            <w:pPr>
              <w:jc w:val="center"/>
            </w:pPr>
            <w:r/>
            <w:r>
              <w:rPr>
                <w:b/>
                <w:color w:val="FFFFFF"/>
                <w:sz w:val="18"/>
              </w:rPr>
              <w:t>TTC (DH)</w:t>
            </w:r>
          </w:p>
        </w:tc>
        <w:tc>
          <w:tcPr>
            <w:tcW w:type="dxa" w:w="1701"/>
            <w:shd w:fill="1B3A28"/>
          </w:tcPr>
          <w:p>
            <w:pPr>
              <w:jc w:val="center"/>
            </w:pPr>
            <w:r/>
            <w:r>
              <w:rPr>
                <w:b/>
                <w:color w:val="FFFFFF"/>
                <w:sz w:val="18"/>
              </w:rPr>
              <w:t>% projet</w:t>
            </w:r>
          </w:p>
        </w:tc>
      </w:tr>
      <w:tr>
        <w:tc>
          <w:tcPr>
            <w:tcW w:type="dxa" w:w="4535"/>
          </w:tcPr>
          <w:p>
            <w:r/>
            <w:r>
              <w:rPr>
                <w:sz w:val="18"/>
              </w:rPr>
              <w:t>Constructions</w:t>
            </w:r>
          </w:p>
        </w:tc>
        <w:tc>
          <w:tcPr>
            <w:tcW w:type="dxa" w:w="2268"/>
          </w:tcPr>
          <w:p>
            <w:pPr>
              <w:jc w:val="right"/>
            </w:pPr>
            <w:r/>
            <w:r>
              <w:rPr>
                <w:sz w:val="18"/>
              </w:rPr>
              <w:t>110 000</w:t>
            </w:r>
          </w:p>
        </w:tc>
        <w:tc>
          <w:tcPr>
            <w:tcW w:type="dxa" w:w="1701"/>
          </w:tcPr>
          <w:p>
            <w:pPr>
              <w:jc w:val="right"/>
            </w:pPr>
            <w:r/>
            <w:r>
              <w:rPr>
                <w:sz w:val="18"/>
              </w:rPr>
              <w:t>10,0 %</w:t>
            </w:r>
          </w:p>
        </w:tc>
      </w:tr>
      <w:tr>
        <w:tc>
          <w:tcPr>
            <w:tcW w:type="dxa" w:w="4535"/>
          </w:tcPr>
          <w:p>
            <w:r/>
            <w:r>
              <w:rPr>
                <w:sz w:val="18"/>
              </w:rPr>
              <w:t>Aménagement &amp; infrastructure</w:t>
            </w:r>
          </w:p>
        </w:tc>
        <w:tc>
          <w:tcPr>
            <w:tcW w:type="dxa" w:w="2268"/>
          </w:tcPr>
          <w:p>
            <w:pPr>
              <w:jc w:val="right"/>
            </w:pPr>
            <w:r/>
            <w:r>
              <w:rPr>
                <w:sz w:val="18"/>
              </w:rPr>
              <w:t>410 000</w:t>
            </w:r>
          </w:p>
        </w:tc>
        <w:tc>
          <w:tcPr>
            <w:tcW w:type="dxa" w:w="1701"/>
          </w:tcPr>
          <w:p>
            <w:pPr>
              <w:jc w:val="right"/>
            </w:pPr>
            <w:r/>
            <w:r>
              <w:rPr>
                <w:sz w:val="18"/>
              </w:rPr>
              <w:t>37,2 %</w:t>
            </w:r>
          </w:p>
        </w:tc>
      </w:tr>
      <w:tr>
        <w:tc>
          <w:tcPr>
            <w:tcW w:type="dxa" w:w="4535"/>
          </w:tcPr>
          <w:p>
            <w:r/>
            <w:r>
              <w:rPr>
                <w:sz w:val="18"/>
              </w:rPr>
              <w:t>Matériel d'équipement</w:t>
            </w:r>
          </w:p>
        </w:tc>
        <w:tc>
          <w:tcPr>
            <w:tcW w:type="dxa" w:w="2268"/>
          </w:tcPr>
          <w:p>
            <w:pPr>
              <w:jc w:val="right"/>
            </w:pPr>
            <w:r/>
            <w:r>
              <w:rPr>
                <w:sz w:val="18"/>
              </w:rPr>
              <w:t>415 485</w:t>
            </w:r>
          </w:p>
        </w:tc>
        <w:tc>
          <w:tcPr>
            <w:tcW w:type="dxa" w:w="1701"/>
          </w:tcPr>
          <w:p>
            <w:pPr>
              <w:jc w:val="right"/>
            </w:pPr>
            <w:r/>
            <w:r>
              <w:rPr>
                <w:sz w:val="18"/>
              </w:rPr>
              <w:t>37,7 %</w:t>
            </w:r>
          </w:p>
        </w:tc>
      </w:tr>
      <w:tr>
        <w:tc>
          <w:tcPr>
            <w:tcW w:type="dxa" w:w="4535"/>
          </w:tcPr>
          <w:p>
            <w:r/>
            <w:r>
              <w:rPr>
                <w:sz w:val="18"/>
              </w:rPr>
              <w:t>Frais préliminaires</w:t>
            </w:r>
          </w:p>
        </w:tc>
        <w:tc>
          <w:tcPr>
            <w:tcW w:type="dxa" w:w="2268"/>
          </w:tcPr>
          <w:p>
            <w:pPr>
              <w:jc w:val="right"/>
            </w:pPr>
            <w:r/>
            <w:r>
              <w:rPr>
                <w:sz w:val="18"/>
              </w:rPr>
              <w:t>38 000</w:t>
            </w:r>
          </w:p>
        </w:tc>
        <w:tc>
          <w:tcPr>
            <w:tcW w:type="dxa" w:w="1701"/>
          </w:tcPr>
          <w:p>
            <w:pPr>
              <w:jc w:val="right"/>
            </w:pPr>
            <w:r/>
            <w:r>
              <w:rPr>
                <w:sz w:val="18"/>
              </w:rPr>
              <w:t>3,4 %</w:t>
            </w:r>
          </w:p>
        </w:tc>
      </w:tr>
      <w:tr>
        <w:tc>
          <w:tcPr>
            <w:tcW w:type="dxa" w:w="4535"/>
          </w:tcPr>
          <w:p>
            <w:r/>
            <w:r>
              <w:rPr>
                <w:sz w:val="18"/>
              </w:rPr>
              <w:t>Divers &amp; imprévus</w:t>
            </w:r>
          </w:p>
        </w:tc>
        <w:tc>
          <w:tcPr>
            <w:tcW w:type="dxa" w:w="2268"/>
          </w:tcPr>
          <w:p>
            <w:pPr>
              <w:jc w:val="right"/>
            </w:pPr>
            <w:r/>
            <w:r>
              <w:rPr>
                <w:sz w:val="18"/>
              </w:rPr>
              <w:t>10 000</w:t>
            </w:r>
          </w:p>
        </w:tc>
        <w:tc>
          <w:tcPr>
            <w:tcW w:type="dxa" w:w="1701"/>
          </w:tcPr>
          <w:p>
            <w:pPr>
              <w:jc w:val="right"/>
            </w:pPr>
            <w:r/>
            <w:r>
              <w:rPr>
                <w:sz w:val="18"/>
              </w:rPr>
              <w:t>0,9 %</w:t>
            </w:r>
          </w:p>
        </w:tc>
      </w:tr>
      <w:tr>
        <w:tc>
          <w:tcPr>
            <w:tcW w:type="dxa" w:w="4535"/>
            <w:shd w:fill="EFE7D2"/>
          </w:tcPr>
          <w:p>
            <w:r/>
            <w:r>
              <w:rPr>
                <w:b/>
                <w:sz w:val="18"/>
              </w:rPr>
              <w:t>Programme primable</w:t>
            </w:r>
          </w:p>
        </w:tc>
        <w:tc>
          <w:tcPr>
            <w:tcW w:type="dxa" w:w="2268"/>
            <w:shd w:fill="EFE7D2"/>
          </w:tcPr>
          <w:p>
            <w:pPr>
              <w:jc w:val="right"/>
            </w:pPr>
            <w:r/>
            <w:r>
              <w:rPr>
                <w:b/>
                <w:sz w:val="18"/>
              </w:rPr>
              <w:t>983 485</w:t>
            </w:r>
          </w:p>
        </w:tc>
        <w:tc>
          <w:tcPr>
            <w:tcW w:type="dxa" w:w="1701"/>
            <w:shd w:fill="EFE7D2"/>
          </w:tcPr>
          <w:p>
            <w:pPr>
              <w:jc w:val="right"/>
            </w:pPr>
            <w:r/>
            <w:r>
              <w:rPr>
                <w:b/>
                <w:sz w:val="18"/>
              </w:rPr>
              <w:t>89,1 %</w:t>
            </w:r>
          </w:p>
        </w:tc>
      </w:tr>
      <w:tr>
        <w:tc>
          <w:tcPr>
            <w:tcW w:type="dxa" w:w="4535"/>
          </w:tcPr>
          <w:p>
            <w:r/>
            <w:r>
              <w:rPr>
                <w:sz w:val="18"/>
              </w:rPr>
              <w:t>Piscine (hors primable)</w:t>
            </w:r>
          </w:p>
        </w:tc>
        <w:tc>
          <w:tcPr>
            <w:tcW w:type="dxa" w:w="2268"/>
          </w:tcPr>
          <w:p>
            <w:pPr>
              <w:jc w:val="right"/>
            </w:pPr>
            <w:r/>
            <w:r>
              <w:rPr>
                <w:sz w:val="18"/>
              </w:rPr>
              <w:t>100 000</w:t>
            </w:r>
          </w:p>
        </w:tc>
        <w:tc>
          <w:tcPr>
            <w:tcW w:type="dxa" w:w="1701"/>
          </w:tcPr>
          <w:p>
            <w:pPr>
              <w:jc w:val="right"/>
            </w:pPr>
            <w:r/>
            <w:r>
              <w:rPr>
                <w:sz w:val="18"/>
              </w:rPr>
              <w:t>9,1 %</w:t>
            </w:r>
          </w:p>
        </w:tc>
      </w:tr>
      <w:tr>
        <w:tc>
          <w:tcPr>
            <w:tcW w:type="dxa" w:w="4535"/>
          </w:tcPr>
          <w:p>
            <w:r/>
            <w:r>
              <w:rPr>
                <w:sz w:val="18"/>
              </w:rPr>
              <w:t>BFR / fonds de roulement</w:t>
            </w:r>
          </w:p>
        </w:tc>
        <w:tc>
          <w:tcPr>
            <w:tcW w:type="dxa" w:w="2268"/>
          </w:tcPr>
          <w:p>
            <w:pPr>
              <w:jc w:val="right"/>
            </w:pPr>
            <w:r/>
            <w:r>
              <w:rPr>
                <w:sz w:val="18"/>
              </w:rPr>
              <w:t>20 000</w:t>
            </w:r>
          </w:p>
        </w:tc>
        <w:tc>
          <w:tcPr>
            <w:tcW w:type="dxa" w:w="1701"/>
          </w:tcPr>
          <w:p>
            <w:pPr>
              <w:jc w:val="right"/>
            </w:pPr>
            <w:r/>
            <w:r>
              <w:rPr>
                <w:sz w:val="18"/>
              </w:rPr>
              <w:t>1,8 %</w:t>
            </w:r>
          </w:p>
        </w:tc>
      </w:tr>
      <w:tr>
        <w:tc>
          <w:tcPr>
            <w:tcW w:type="dxa" w:w="4535"/>
            <w:shd w:fill="C8A440"/>
          </w:tcPr>
          <w:p>
            <w:r/>
            <w:r>
              <w:rPr>
                <w:b/>
                <w:sz w:val="18"/>
              </w:rPr>
              <w:t>TOTAL PROJET</w:t>
            </w:r>
          </w:p>
        </w:tc>
        <w:tc>
          <w:tcPr>
            <w:tcW w:type="dxa" w:w="2268"/>
            <w:shd w:fill="C8A440"/>
          </w:tcPr>
          <w:p>
            <w:pPr>
              <w:jc w:val="right"/>
            </w:pPr>
            <w:r/>
            <w:r>
              <w:rPr>
                <w:b/>
                <w:sz w:val="18"/>
              </w:rPr>
              <w:t>1 103 485</w:t>
            </w:r>
          </w:p>
        </w:tc>
        <w:tc>
          <w:tcPr>
            <w:tcW w:type="dxa" w:w="1701"/>
            <w:shd w:fill="C8A440"/>
          </w:tcPr>
          <w:p>
            <w:pPr>
              <w:jc w:val="right"/>
            </w:pPr>
            <w:r/>
            <w:r>
              <w:rPr>
                <w:b/>
                <w:sz w:val="18"/>
              </w:rPr>
              <w:t>100 %</w:t>
            </w:r>
          </w:p>
        </w:tc>
      </w:tr>
    </w:tbl>
    <w:p>
      <w:pPr>
        <w:spacing w:before="160" w:after="60"/>
      </w:pPr>
      <w:r>
        <w:rPr>
          <w:b/>
          <w:color w:val="1B3A28"/>
          <w:sz w:val="22"/>
        </w:rPr>
        <w:t>Plan de financement</w:t>
      </w:r>
    </w:p>
    <w:tbl>
      <w:tblPr>
        <w:tblStyle w:val="TableGrid"/>
        <w:tblW w:type="auto" w:w="0"/>
        <w:jc w:val="center"/>
        <w:tblLook w:firstColumn="1" w:firstRow="1" w:lastColumn="0" w:lastRow="0" w:noHBand="0" w:noVBand="1" w:val="04A0"/>
      </w:tblPr>
      <w:tblGrid>
        <w:gridCol w:w="3324"/>
        <w:gridCol w:w="3324"/>
        <w:gridCol w:w="3324"/>
      </w:tblGrid>
      <w:tr>
        <w:tc>
          <w:tcPr>
            <w:tcW w:type="dxa" w:w="5102"/>
            <w:shd w:fill="1B3A28"/>
          </w:tcPr>
          <w:p>
            <w:r/>
            <w:r>
              <w:rPr>
                <w:b/>
                <w:color w:val="FFFFFF"/>
                <w:sz w:val="18"/>
              </w:rPr>
              <w:t>Source</w:t>
            </w:r>
          </w:p>
        </w:tc>
        <w:tc>
          <w:tcPr>
            <w:tcW w:type="dxa" w:w="2268"/>
            <w:shd w:fill="1B3A28"/>
          </w:tcPr>
          <w:p>
            <w:pPr>
              <w:jc w:val="center"/>
            </w:pPr>
            <w:r/>
            <w:r>
              <w:rPr>
                <w:b/>
                <w:color w:val="FFFFFF"/>
                <w:sz w:val="18"/>
              </w:rPr>
              <w:t>Montant (DH)</w:t>
            </w:r>
          </w:p>
        </w:tc>
        <w:tc>
          <w:tcPr>
            <w:tcW w:type="dxa" w:w="1701"/>
            <w:shd w:fill="1B3A28"/>
          </w:tcPr>
          <w:p>
            <w:pPr>
              <w:jc w:val="center"/>
            </w:pPr>
            <w:r/>
            <w:r>
              <w:rPr>
                <w:b/>
                <w:color w:val="FFFFFF"/>
                <w:sz w:val="18"/>
              </w:rPr>
              <w:t>% projet</w:t>
            </w:r>
          </w:p>
        </w:tc>
      </w:tr>
      <w:tr>
        <w:tc>
          <w:tcPr>
            <w:tcW w:type="dxa" w:w="5102"/>
          </w:tcPr>
          <w:p>
            <w:r/>
            <w:r>
              <w:rPr>
                <w:sz w:val="18"/>
              </w:rPr>
              <w:t>Prime GO SIYAHA (35 % du primable)</w:t>
            </w:r>
          </w:p>
        </w:tc>
        <w:tc>
          <w:tcPr>
            <w:tcW w:type="dxa" w:w="2268"/>
          </w:tcPr>
          <w:p>
            <w:pPr>
              <w:jc w:val="right"/>
            </w:pPr>
            <w:r/>
            <w:r>
              <w:rPr>
                <w:sz w:val="18"/>
              </w:rPr>
              <w:t>344 220</w:t>
            </w:r>
          </w:p>
        </w:tc>
        <w:tc>
          <w:tcPr>
            <w:tcW w:type="dxa" w:w="1701"/>
          </w:tcPr>
          <w:p>
            <w:pPr>
              <w:jc w:val="right"/>
            </w:pPr>
            <w:r/>
            <w:r>
              <w:rPr>
                <w:sz w:val="18"/>
              </w:rPr>
              <w:t>31,2 %</w:t>
            </w:r>
          </w:p>
        </w:tc>
      </w:tr>
      <w:tr>
        <w:tc>
          <w:tcPr>
            <w:tcW w:type="dxa" w:w="5102"/>
          </w:tcPr>
          <w:p>
            <w:r/>
            <w:r>
              <w:rPr>
                <w:sz w:val="18"/>
              </w:rPr>
              <w:t>CMT bancaire — Al Barid Bank (50 % du primable)</w:t>
            </w:r>
          </w:p>
        </w:tc>
        <w:tc>
          <w:tcPr>
            <w:tcW w:type="dxa" w:w="2268"/>
          </w:tcPr>
          <w:p>
            <w:pPr>
              <w:jc w:val="right"/>
            </w:pPr>
            <w:r/>
            <w:r>
              <w:rPr>
                <w:sz w:val="18"/>
              </w:rPr>
              <w:t>491 743</w:t>
            </w:r>
          </w:p>
        </w:tc>
        <w:tc>
          <w:tcPr>
            <w:tcW w:type="dxa" w:w="1701"/>
          </w:tcPr>
          <w:p>
            <w:pPr>
              <w:jc w:val="right"/>
            </w:pPr>
            <w:r/>
            <w:r>
              <w:rPr>
                <w:sz w:val="18"/>
              </w:rPr>
              <w:t>44,6 %</w:t>
            </w:r>
          </w:p>
        </w:tc>
      </w:tr>
      <w:tr>
        <w:tc>
          <w:tcPr>
            <w:tcW w:type="dxa" w:w="5102"/>
          </w:tcPr>
          <w:p>
            <w:r/>
            <w:r>
              <w:rPr>
                <w:sz w:val="18"/>
              </w:rPr>
              <w:t>Fonds propres / comptes courants d'associés</w:t>
            </w:r>
          </w:p>
        </w:tc>
        <w:tc>
          <w:tcPr>
            <w:tcW w:type="dxa" w:w="2268"/>
          </w:tcPr>
          <w:p>
            <w:pPr>
              <w:jc w:val="right"/>
            </w:pPr>
            <w:r/>
            <w:r>
              <w:rPr>
                <w:sz w:val="18"/>
              </w:rPr>
              <w:t>267 523</w:t>
            </w:r>
          </w:p>
        </w:tc>
        <w:tc>
          <w:tcPr>
            <w:tcW w:type="dxa" w:w="1701"/>
          </w:tcPr>
          <w:p>
            <w:pPr>
              <w:jc w:val="right"/>
            </w:pPr>
            <w:r/>
            <w:r>
              <w:rPr>
                <w:sz w:val="18"/>
              </w:rPr>
              <w:t>24,2 %</w:t>
            </w:r>
          </w:p>
        </w:tc>
      </w:tr>
      <w:tr>
        <w:tc>
          <w:tcPr>
            <w:tcW w:type="dxa" w:w="5102"/>
            <w:shd w:fill="C8A440"/>
          </w:tcPr>
          <w:p>
            <w:r/>
            <w:r>
              <w:rPr>
                <w:b/>
                <w:sz w:val="18"/>
              </w:rPr>
              <w:t>TOTAL FINANCEMENT</w:t>
            </w:r>
          </w:p>
        </w:tc>
        <w:tc>
          <w:tcPr>
            <w:tcW w:type="dxa" w:w="2268"/>
            <w:shd w:fill="C8A440"/>
          </w:tcPr>
          <w:p>
            <w:pPr>
              <w:jc w:val="right"/>
            </w:pPr>
            <w:r/>
            <w:r>
              <w:rPr>
                <w:b/>
                <w:sz w:val="18"/>
              </w:rPr>
              <w:t>1 103 485</w:t>
            </w:r>
          </w:p>
        </w:tc>
        <w:tc>
          <w:tcPr>
            <w:tcW w:type="dxa" w:w="1701"/>
            <w:shd w:fill="C8A440"/>
          </w:tcPr>
          <w:p>
            <w:pPr>
              <w:jc w:val="right"/>
            </w:pPr>
            <w:r/>
            <w:r>
              <w:rPr>
                <w:b/>
                <w:sz w:val="18"/>
              </w:rPr>
              <w:t>100 %</w:t>
            </w:r>
          </w:p>
        </w:tc>
      </w:tr>
    </w:tbl>
    <w:p>
      <w:pPr>
        <w:spacing w:after="100"/>
      </w:pPr>
      <w:r>
        <w:rPr>
          <w:b w:val="0"/>
          <w:i w:val="0"/>
          <w:color w:val="555555"/>
          <w:sz w:val="18"/>
        </w:rPr>
        <w:t>Plafonds respectés : Constructions 10,0 % ≤ 20 % · Frais préliminaires + divers 4,3 % ≤ 5 % · CMT 50 % du primable · Apport fonds propres ≥ 15 %. Aucun recours au leasing.</w:t>
      </w:r>
    </w:p>
    <w:p>
      <w:pPr>
        <w:spacing w:before="160" w:after="60"/>
      </w:pPr>
      <w:r>
        <w:rPr>
          <w:b/>
          <w:color w:val="1B3A28"/>
          <w:sz w:val="22"/>
        </w:rPr>
        <w:t>Modalités de déblocage de la prime</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1B3A28"/>
          </w:tcPr>
          <w:p>
            <w:r/>
            <w:r>
              <w:rPr>
                <w:b/>
                <w:color w:val="FFFFFF"/>
                <w:sz w:val="18"/>
              </w:rPr>
              <w:t>Tranche</w:t>
            </w:r>
          </w:p>
        </w:tc>
        <w:tc>
          <w:tcPr>
            <w:tcW w:type="dxa" w:w="1984"/>
            <w:shd w:fill="1B3A28"/>
          </w:tcPr>
          <w:p>
            <w:pPr>
              <w:jc w:val="center"/>
            </w:pPr>
            <w:r/>
            <w:r>
              <w:rPr>
                <w:b/>
                <w:color w:val="FFFFFF"/>
                <w:sz w:val="18"/>
              </w:rPr>
              <w:t>Montant (DH)</w:t>
            </w:r>
          </w:p>
        </w:tc>
        <w:tc>
          <w:tcPr>
            <w:tcW w:type="dxa" w:w="5102"/>
            <w:shd w:fill="1B3A28"/>
          </w:tcPr>
          <w:p>
            <w:pPr>
              <w:jc w:val="center"/>
            </w:pPr>
            <w:r/>
            <w:r>
              <w:rPr>
                <w:b/>
                <w:color w:val="FFFFFF"/>
                <w:sz w:val="18"/>
              </w:rPr>
              <w:t>Condition</w:t>
            </w:r>
          </w:p>
        </w:tc>
      </w:tr>
      <w:tr>
        <w:tc>
          <w:tcPr>
            <w:tcW w:type="dxa" w:w="1701"/>
          </w:tcPr>
          <w:p>
            <w:r/>
            <w:r>
              <w:rPr>
                <w:sz w:val="18"/>
              </w:rPr>
              <w:t>20 %</w:t>
            </w:r>
          </w:p>
        </w:tc>
        <w:tc>
          <w:tcPr>
            <w:tcW w:type="dxa" w:w="1984"/>
          </w:tcPr>
          <w:p>
            <w:pPr>
              <w:jc w:val="right"/>
            </w:pPr>
            <w:r/>
            <w:r>
              <w:rPr>
                <w:sz w:val="18"/>
              </w:rPr>
              <w:t>68 844</w:t>
            </w:r>
          </w:p>
        </w:tc>
        <w:tc>
          <w:tcPr>
            <w:tcW w:type="dxa" w:w="5102"/>
          </w:tcPr>
          <w:p>
            <w:pPr>
              <w:jc w:val="right"/>
            </w:pPr>
            <w:r/>
            <w:r>
              <w:rPr>
                <w:sz w:val="18"/>
              </w:rPr>
              <w:t>après réalisation de 20 % du programme</w:t>
            </w:r>
          </w:p>
        </w:tc>
      </w:tr>
      <w:tr>
        <w:tc>
          <w:tcPr>
            <w:tcW w:type="dxa" w:w="1701"/>
          </w:tcPr>
          <w:p>
            <w:r/>
            <w:r>
              <w:rPr>
                <w:sz w:val="18"/>
              </w:rPr>
              <w:t>40 %</w:t>
            </w:r>
          </w:p>
        </w:tc>
        <w:tc>
          <w:tcPr>
            <w:tcW w:type="dxa" w:w="1984"/>
          </w:tcPr>
          <w:p>
            <w:pPr>
              <w:jc w:val="right"/>
            </w:pPr>
            <w:r/>
            <w:r>
              <w:rPr>
                <w:sz w:val="18"/>
              </w:rPr>
              <w:t>137 688</w:t>
            </w:r>
          </w:p>
        </w:tc>
        <w:tc>
          <w:tcPr>
            <w:tcW w:type="dxa" w:w="5102"/>
          </w:tcPr>
          <w:p>
            <w:pPr>
              <w:jc w:val="right"/>
            </w:pPr>
            <w:r/>
            <w:r>
              <w:rPr>
                <w:sz w:val="18"/>
              </w:rPr>
              <w:t>après réalisation de 60 % du programme</w:t>
            </w:r>
          </w:p>
        </w:tc>
      </w:tr>
      <w:tr>
        <w:tc>
          <w:tcPr>
            <w:tcW w:type="dxa" w:w="1701"/>
          </w:tcPr>
          <w:p>
            <w:r/>
            <w:r>
              <w:rPr>
                <w:sz w:val="18"/>
              </w:rPr>
              <w:t>40 %</w:t>
            </w:r>
          </w:p>
        </w:tc>
        <w:tc>
          <w:tcPr>
            <w:tcW w:type="dxa" w:w="1984"/>
          </w:tcPr>
          <w:p>
            <w:pPr>
              <w:jc w:val="right"/>
            </w:pPr>
            <w:r/>
            <w:r>
              <w:rPr>
                <w:sz w:val="18"/>
              </w:rPr>
              <w:t>137 688</w:t>
            </w:r>
          </w:p>
        </w:tc>
        <w:tc>
          <w:tcPr>
            <w:tcW w:type="dxa" w:w="5102"/>
          </w:tcPr>
          <w:p>
            <w:pPr>
              <w:jc w:val="right"/>
            </w:pPr>
            <w:r/>
            <w:r>
              <w:rPr>
                <w:sz w:val="18"/>
              </w:rPr>
              <w:t>après clôture + prorata de l'objectif d'emploi</w:t>
            </w:r>
          </w:p>
        </w:tc>
      </w:tr>
    </w:tbl>
    <w:p>
      <w:pPr>
        <w:spacing w:before="280" w:after="120"/>
        <w:pBdr>
          <w:bottom w:val="single" w:sz="6" w:color="C8A440" w:space="2"/>
        </w:pBdr>
      </w:pPr>
      <w:r>
        <w:rPr>
          <w:b/>
          <w:color w:val="C8A440"/>
          <w:sz w:val="27"/>
        </w:rPr>
        <w:t xml:space="preserve">8.  </w:t>
      </w:r>
      <w:r>
        <w:rPr>
          <w:b/>
          <w:color w:val="1B3A28"/>
          <w:sz w:val="27"/>
        </w:rPr>
        <w:t>IMPACTS SOCIO-ÉCONOMIQUES</w:t>
      </w:r>
    </w:p>
    <w:p>
      <w:pPr>
        <w:spacing w:before="160" w:after="60"/>
      </w:pPr>
      <w:r>
        <w:rPr>
          <w:b/>
          <w:color w:val="1B3A28"/>
          <w:sz w:val="22"/>
        </w:rPr>
        <w:t>Emplois directs</w:t>
      </w:r>
    </w:p>
    <w:tbl>
      <w:tblPr>
        <w:tblStyle w:val="TableGrid"/>
        <w:tblW w:type="auto" w:w="0"/>
        <w:jc w:val="center"/>
        <w:tblLook w:firstColumn="1" w:firstRow="1" w:lastColumn="0" w:lastRow="0" w:noHBand="0" w:noVBand="1" w:val="04A0"/>
      </w:tblPr>
      <w:tblGrid>
        <w:gridCol w:w="3324"/>
        <w:gridCol w:w="3324"/>
        <w:gridCol w:w="3324"/>
      </w:tblGrid>
      <w:tr>
        <w:tc>
          <w:tcPr>
            <w:tcW w:type="dxa" w:w="3969"/>
            <w:shd w:fill="1B3A28"/>
          </w:tcPr>
          <w:p>
            <w:r/>
            <w:r>
              <w:rPr>
                <w:b/>
                <w:color w:val="FFFFFF"/>
                <w:sz w:val="18"/>
              </w:rPr>
              <w:t>Poste</w:t>
            </w:r>
          </w:p>
        </w:tc>
        <w:tc>
          <w:tcPr>
            <w:tcW w:type="dxa" w:w="2268"/>
            <w:shd w:fill="1B3A28"/>
          </w:tcPr>
          <w:p>
            <w:pPr>
              <w:jc w:val="center"/>
            </w:pPr>
            <w:r/>
            <w:r>
              <w:rPr>
                <w:b/>
                <w:color w:val="FFFFFF"/>
                <w:sz w:val="18"/>
              </w:rPr>
              <w:t>Type</w:t>
            </w:r>
          </w:p>
        </w:tc>
        <w:tc>
          <w:tcPr>
            <w:tcW w:type="dxa" w:w="2268"/>
            <w:shd w:fill="1B3A28"/>
          </w:tcPr>
          <w:p>
            <w:pPr>
              <w:jc w:val="center"/>
            </w:pPr>
            <w:r/>
            <w:r>
              <w:rPr>
                <w:b/>
                <w:color w:val="FFFFFF"/>
                <w:sz w:val="18"/>
              </w:rPr>
              <w:t>Effectif</w:t>
            </w:r>
          </w:p>
        </w:tc>
      </w:tr>
      <w:tr>
        <w:tc>
          <w:tcPr>
            <w:tcW w:type="dxa" w:w="3969"/>
          </w:tcPr>
          <w:p>
            <w:r/>
            <w:r>
              <w:rPr>
                <w:sz w:val="18"/>
              </w:rPr>
              <w:t>Responsable de site / exploitation</w:t>
            </w:r>
          </w:p>
        </w:tc>
        <w:tc>
          <w:tcPr>
            <w:tcW w:type="dxa" w:w="2268"/>
          </w:tcPr>
          <w:p>
            <w:pPr>
              <w:jc w:val="right"/>
            </w:pPr>
            <w:r/>
            <w:r>
              <w:rPr>
                <w:sz w:val="18"/>
              </w:rPr>
              <w:t>Permanent</w:t>
            </w:r>
          </w:p>
        </w:tc>
        <w:tc>
          <w:tcPr>
            <w:tcW w:type="dxa" w:w="2268"/>
          </w:tcPr>
          <w:p>
            <w:pPr>
              <w:jc w:val="right"/>
            </w:pPr>
            <w:r/>
            <w:r>
              <w:rPr>
                <w:sz w:val="18"/>
              </w:rPr>
              <w:t>1</w:t>
            </w:r>
          </w:p>
        </w:tc>
      </w:tr>
      <w:tr>
        <w:tc>
          <w:tcPr>
            <w:tcW w:type="dxa" w:w="3969"/>
          </w:tcPr>
          <w:p>
            <w:r/>
            <w:r>
              <w:rPr>
                <w:sz w:val="18"/>
              </w:rPr>
              <w:t>Animateur paintball</w:t>
            </w:r>
          </w:p>
        </w:tc>
        <w:tc>
          <w:tcPr>
            <w:tcW w:type="dxa" w:w="2268"/>
          </w:tcPr>
          <w:p>
            <w:pPr>
              <w:jc w:val="right"/>
            </w:pPr>
            <w:r/>
            <w:r>
              <w:rPr>
                <w:sz w:val="18"/>
              </w:rPr>
              <w:t>Permanent</w:t>
            </w:r>
          </w:p>
        </w:tc>
        <w:tc>
          <w:tcPr>
            <w:tcW w:type="dxa" w:w="2268"/>
          </w:tcPr>
          <w:p>
            <w:pPr>
              <w:jc w:val="right"/>
            </w:pPr>
            <w:r/>
            <w:r>
              <w:rPr>
                <w:sz w:val="18"/>
              </w:rPr>
              <w:t>1</w:t>
            </w:r>
          </w:p>
        </w:tc>
      </w:tr>
      <w:tr>
        <w:tc>
          <w:tcPr>
            <w:tcW w:type="dxa" w:w="3969"/>
          </w:tcPr>
          <w:p>
            <w:r/>
            <w:r>
              <w:rPr>
                <w:sz w:val="18"/>
              </w:rPr>
              <w:t>Accompagnateur e-bike</w:t>
            </w:r>
          </w:p>
        </w:tc>
        <w:tc>
          <w:tcPr>
            <w:tcW w:type="dxa" w:w="2268"/>
          </w:tcPr>
          <w:p>
            <w:pPr>
              <w:jc w:val="right"/>
            </w:pPr>
            <w:r/>
            <w:r>
              <w:rPr>
                <w:sz w:val="18"/>
              </w:rPr>
              <w:t>Permanent</w:t>
            </w:r>
          </w:p>
        </w:tc>
        <w:tc>
          <w:tcPr>
            <w:tcW w:type="dxa" w:w="2268"/>
          </w:tcPr>
          <w:p>
            <w:pPr>
              <w:jc w:val="right"/>
            </w:pPr>
            <w:r/>
            <w:r>
              <w:rPr>
                <w:sz w:val="18"/>
              </w:rPr>
              <w:t>1</w:t>
            </w:r>
          </w:p>
        </w:tc>
      </w:tr>
      <w:tr>
        <w:tc>
          <w:tcPr>
            <w:tcW w:type="dxa" w:w="3969"/>
          </w:tcPr>
          <w:p>
            <w:r/>
            <w:r>
              <w:rPr>
                <w:sz w:val="18"/>
              </w:rPr>
              <w:t>Animateur ateliers cuisine</w:t>
            </w:r>
          </w:p>
        </w:tc>
        <w:tc>
          <w:tcPr>
            <w:tcW w:type="dxa" w:w="2268"/>
          </w:tcPr>
          <w:p>
            <w:pPr>
              <w:jc w:val="right"/>
            </w:pPr>
            <w:r/>
            <w:r>
              <w:rPr>
                <w:sz w:val="18"/>
              </w:rPr>
              <w:t>Permanent</w:t>
            </w:r>
          </w:p>
        </w:tc>
        <w:tc>
          <w:tcPr>
            <w:tcW w:type="dxa" w:w="2268"/>
          </w:tcPr>
          <w:p>
            <w:pPr>
              <w:jc w:val="right"/>
            </w:pPr>
            <w:r/>
            <w:r>
              <w:rPr>
                <w:sz w:val="18"/>
              </w:rPr>
              <w:t>1</w:t>
            </w:r>
          </w:p>
        </w:tc>
      </w:tr>
      <w:tr>
        <w:tc>
          <w:tcPr>
            <w:tcW w:type="dxa" w:w="3969"/>
          </w:tcPr>
          <w:p>
            <w:r/>
            <w:r>
              <w:rPr>
                <w:sz w:val="18"/>
              </w:rPr>
              <w:t>Agent d'accueil / polyvalent</w:t>
            </w:r>
          </w:p>
        </w:tc>
        <w:tc>
          <w:tcPr>
            <w:tcW w:type="dxa" w:w="2268"/>
          </w:tcPr>
          <w:p>
            <w:pPr>
              <w:jc w:val="right"/>
            </w:pPr>
            <w:r/>
            <w:r>
              <w:rPr>
                <w:sz w:val="18"/>
              </w:rPr>
              <w:t>Permanent</w:t>
            </w:r>
          </w:p>
        </w:tc>
        <w:tc>
          <w:tcPr>
            <w:tcW w:type="dxa" w:w="2268"/>
          </w:tcPr>
          <w:p>
            <w:pPr>
              <w:jc w:val="right"/>
            </w:pPr>
            <w:r/>
            <w:r>
              <w:rPr>
                <w:sz w:val="18"/>
              </w:rPr>
              <w:t>1</w:t>
            </w:r>
          </w:p>
        </w:tc>
      </w:tr>
      <w:tr>
        <w:tc>
          <w:tcPr>
            <w:tcW w:type="dxa" w:w="3969"/>
          </w:tcPr>
          <w:p>
            <w:r/>
            <w:r>
              <w:rPr>
                <w:sz w:val="18"/>
              </w:rPr>
              <w:t>Pisciniste / jardinier (saison)</w:t>
            </w:r>
          </w:p>
        </w:tc>
        <w:tc>
          <w:tcPr>
            <w:tcW w:type="dxa" w:w="2268"/>
          </w:tcPr>
          <w:p>
            <w:pPr>
              <w:jc w:val="right"/>
            </w:pPr>
            <w:r/>
            <w:r>
              <w:rPr>
                <w:sz w:val="18"/>
              </w:rPr>
              <w:t>Saisonnier</w:t>
            </w:r>
          </w:p>
        </w:tc>
        <w:tc>
          <w:tcPr>
            <w:tcW w:type="dxa" w:w="2268"/>
          </w:tcPr>
          <w:p>
            <w:pPr>
              <w:jc w:val="right"/>
            </w:pPr>
            <w:r/>
            <w:r>
              <w:rPr>
                <w:sz w:val="18"/>
              </w:rPr>
              <w:t>2</w:t>
            </w:r>
          </w:p>
        </w:tc>
      </w:tr>
      <w:tr>
        <w:tc>
          <w:tcPr>
            <w:tcW w:type="dxa" w:w="3969"/>
            <w:shd w:fill="EFE7D2"/>
          </w:tcPr>
          <w:p>
            <w:r/>
            <w:r>
              <w:rPr>
                <w:b/>
                <w:sz w:val="18"/>
              </w:rPr>
              <w:t>TOTAL</w:t>
            </w:r>
          </w:p>
        </w:tc>
        <w:tc>
          <w:tcPr>
            <w:tcW w:type="dxa" w:w="2268"/>
            <w:shd w:fill="EFE7D2"/>
          </w:tcPr>
          <w:p>
            <w:pPr>
              <w:jc w:val="right"/>
            </w:pPr>
            <w:r/>
            <w:r>
              <w:rPr>
                <w:b/>
                <w:sz w:val="18"/>
              </w:rPr>
            </w:r>
          </w:p>
        </w:tc>
        <w:tc>
          <w:tcPr>
            <w:tcW w:type="dxa" w:w="2268"/>
            <w:shd w:fill="EFE7D2"/>
          </w:tcPr>
          <w:p>
            <w:pPr>
              <w:jc w:val="right"/>
            </w:pPr>
            <w:r/>
            <w:r>
              <w:rPr>
                <w:b/>
                <w:sz w:val="18"/>
              </w:rPr>
              <w:t>7 (5 perm. + 2 sais.)</w:t>
            </w:r>
          </w:p>
        </w:tc>
      </w:tr>
    </w:tbl>
    <w:p>
      <w:pPr>
        <w:spacing w:before="160" w:after="60"/>
      </w:pPr>
      <w:r>
        <w:rPr>
          <w:b/>
          <w:color w:val="1B3A28"/>
          <w:sz w:val="22"/>
        </w:rPr>
        <w:t>Emplois indirects</w:t>
      </w:r>
    </w:p>
    <w:p>
      <w:pPr>
        <w:spacing w:after="100"/>
      </w:pPr>
      <w:r>
        <w:rPr>
          <w:b w:val="0"/>
          <w:i w:val="0"/>
          <w:sz w:val="21"/>
        </w:rPr>
        <w:t>Le projet génère des emplois indirects via la chaîne d'approvisionnement locale (produits du terroir, maintenance, prestataires), les fournisseurs et les artisans, ainsi que par l'effet d'entraînement sur le tourisme de la zone.</w:t>
      </w:r>
    </w:p>
    <w:p>
      <w:pPr>
        <w:spacing w:before="280" w:after="120"/>
        <w:pBdr>
          <w:bottom w:val="single" w:sz="6" w:color="C8A440" w:space="2"/>
        </w:pBdr>
      </w:pPr>
      <w:r>
        <w:rPr>
          <w:b/>
          <w:color w:val="C8A440"/>
          <w:sz w:val="27"/>
        </w:rPr>
        <w:t xml:space="preserve">9.  </w:t>
      </w:r>
      <w:r>
        <w:rPr>
          <w:b/>
          <w:color w:val="1B3A28"/>
          <w:sz w:val="27"/>
        </w:rPr>
        <w:t>CALENDRIER DE RÉALISATION</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fill="1B3A28"/>
          </w:tcPr>
          <w:p>
            <w:r/>
            <w:r>
              <w:rPr>
                <w:b/>
                <w:color w:val="FFFFFF"/>
                <w:sz w:val="18"/>
              </w:rPr>
              <w:t>Phase</w:t>
            </w:r>
          </w:p>
        </w:tc>
        <w:tc>
          <w:tcPr>
            <w:tcW w:type="dxa" w:w="1701"/>
            <w:shd w:fill="1B3A28"/>
          </w:tcPr>
          <w:p>
            <w:pPr>
              <w:jc w:val="center"/>
            </w:pPr>
            <w:r/>
            <w:r>
              <w:rPr>
                <w:b/>
                <w:color w:val="FFFFFF"/>
                <w:sz w:val="18"/>
              </w:rPr>
              <w:t>Période</w:t>
            </w:r>
          </w:p>
        </w:tc>
        <w:tc>
          <w:tcPr>
            <w:tcW w:type="dxa" w:w="4819"/>
            <w:shd w:fill="1B3A28"/>
          </w:tcPr>
          <w:p>
            <w:pPr>
              <w:jc w:val="center"/>
            </w:pPr>
            <w:r/>
            <w:r>
              <w:rPr>
                <w:b/>
                <w:color w:val="FFFFFF"/>
                <w:sz w:val="18"/>
              </w:rPr>
              <w:t>Contenu</w:t>
            </w:r>
          </w:p>
        </w:tc>
      </w:tr>
      <w:tr>
        <w:tc>
          <w:tcPr>
            <w:tcW w:type="dxa" w:w="2551"/>
          </w:tcPr>
          <w:p>
            <w:r/>
            <w:r>
              <w:rPr>
                <w:sz w:val="18"/>
              </w:rPr>
              <w:t>Construction &amp; infrastructure</w:t>
            </w:r>
          </w:p>
        </w:tc>
        <w:tc>
          <w:tcPr>
            <w:tcW w:type="dxa" w:w="1701"/>
          </w:tcPr>
          <w:p>
            <w:pPr>
              <w:jc w:val="right"/>
            </w:pPr>
            <w:r/>
            <w:r>
              <w:rPr>
                <w:sz w:val="18"/>
              </w:rPr>
              <w:t>2026 – S1 2027</w:t>
            </w:r>
          </w:p>
        </w:tc>
        <w:tc>
          <w:tcPr>
            <w:tcW w:type="dxa" w:w="4819"/>
          </w:tcPr>
          <w:p>
            <w:pPr>
              <w:jc w:val="right"/>
            </w:pPr>
            <w:r/>
            <w:r>
              <w:rPr>
                <w:sz w:val="18"/>
              </w:rPr>
              <w:t>Terrassement, bâtiments, forage, réseaux, aménagements</w:t>
            </w:r>
          </w:p>
        </w:tc>
      </w:tr>
      <w:tr>
        <w:tc>
          <w:tcPr>
            <w:tcW w:type="dxa" w:w="2551"/>
          </w:tcPr>
          <w:p>
            <w:r/>
            <w:r>
              <w:rPr>
                <w:sz w:val="18"/>
              </w:rPr>
              <w:t>Équipement</w:t>
            </w:r>
          </w:p>
        </w:tc>
        <w:tc>
          <w:tcPr>
            <w:tcW w:type="dxa" w:w="1701"/>
          </w:tcPr>
          <w:p>
            <w:pPr>
              <w:jc w:val="right"/>
            </w:pPr>
            <w:r/>
            <w:r>
              <w:rPr>
                <w:sz w:val="18"/>
              </w:rPr>
              <w:t>S1 2027</w:t>
            </w:r>
          </w:p>
        </w:tc>
        <w:tc>
          <w:tcPr>
            <w:tcW w:type="dxa" w:w="4819"/>
          </w:tcPr>
          <w:p>
            <w:pPr>
              <w:jc w:val="right"/>
            </w:pPr>
            <w:r/>
            <w:r>
              <w:rPr>
                <w:sz w:val="18"/>
              </w:rPr>
              <w:t>Matériel paintball, e-bikes, cuisine, solaire, mobilier</w:t>
            </w:r>
          </w:p>
        </w:tc>
      </w:tr>
      <w:tr>
        <w:tc>
          <w:tcPr>
            <w:tcW w:type="dxa" w:w="2551"/>
          </w:tcPr>
          <w:p>
            <w:r/>
            <w:r>
              <w:rPr>
                <w:sz w:val="18"/>
              </w:rPr>
              <w:t>Démarrage exploitation</w:t>
            </w:r>
          </w:p>
        </w:tc>
        <w:tc>
          <w:tcPr>
            <w:tcW w:type="dxa" w:w="1701"/>
          </w:tcPr>
          <w:p>
            <w:pPr>
              <w:jc w:val="right"/>
            </w:pPr>
            <w:r/>
            <w:r>
              <w:rPr>
                <w:sz w:val="18"/>
              </w:rPr>
              <w:t>Juin 2027</w:t>
            </w:r>
          </w:p>
        </w:tc>
        <w:tc>
          <w:tcPr>
            <w:tcW w:type="dxa" w:w="4819"/>
          </w:tcPr>
          <w:p>
            <w:pPr>
              <w:jc w:val="right"/>
            </w:pPr>
            <w:r/>
            <w:r>
              <w:rPr>
                <w:sz w:val="18"/>
              </w:rPr>
              <w:t>Ouverture au public (7 mois d'activité en 2027)</w:t>
            </w:r>
          </w:p>
        </w:tc>
      </w:tr>
      <w:tr>
        <w:tc>
          <w:tcPr>
            <w:tcW w:type="dxa" w:w="2551"/>
          </w:tcPr>
          <w:p>
            <w:r/>
            <w:r>
              <w:rPr>
                <w:sz w:val="18"/>
              </w:rPr>
              <w:t>Montée en charge</w:t>
            </w:r>
          </w:p>
        </w:tc>
        <w:tc>
          <w:tcPr>
            <w:tcW w:type="dxa" w:w="1701"/>
          </w:tcPr>
          <w:p>
            <w:pPr>
              <w:jc w:val="right"/>
            </w:pPr>
            <w:r/>
            <w:r>
              <w:rPr>
                <w:sz w:val="18"/>
              </w:rPr>
              <w:t>2027 – 2031</w:t>
            </w:r>
          </w:p>
        </w:tc>
        <w:tc>
          <w:tcPr>
            <w:tcW w:type="dxa" w:w="4819"/>
          </w:tcPr>
          <w:p>
            <w:pPr>
              <w:jc w:val="right"/>
            </w:pPr>
            <w:r/>
            <w:r>
              <w:rPr>
                <w:sz w:val="18"/>
              </w:rPr>
              <w:t>Taux d'occupation de 18 % à 38 %</w:t>
            </w:r>
          </w:p>
        </w:tc>
      </w:tr>
    </w:tbl>
    <w:p/>
    <w:p>
      <w:pPr>
        <w:spacing w:after="100"/>
      </w:pPr>
      <w:r>
        <w:rPr>
          <w:b w:val="0"/>
          <w:i/>
          <w:color w:val="555555"/>
          <w:sz w:val="17"/>
        </w:rPr>
        <w:t>Document établi par DA21 SARL AU dans le cadre de sa candidature au programme GO SIYAHA – Istitmar 2026. Montants en dirhams (DH), TTC sauf mention contraire.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