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480" w:after="120"/>
        <w:jc w:val="center"/>
      </w:pPr>
      <w:r>
        <w:rPr>
          <w:rFonts w:ascii="Arial" w:cs="Arial" w:eastAsia="Arial" w:hAnsi="Arial"/>
          <w:b/>
          <w:bCs/>
          <w:color w:val="1F3864"/>
          <w:sz w:val="52"/>
          <w:szCs w:val="52"/>
        </w:rPr>
        <w:t xml:space="preserve">Multilingual Identity Normalisation</w:t>
      </w:r>
    </w:p>
    <w:p>
      <w:pPr>
        <w:spacing w:before="80" w:after="80"/>
        <w:jc w:val="center"/>
      </w:pPr>
      <w:r>
        <w:rPr>
          <w:rFonts w:ascii="Arial" w:cs="Arial" w:eastAsia="Arial" w:hAnsi="Arial"/>
          <w:b/>
          <w:bCs/>
          <w:color w:val="2E75B6"/>
          <w:sz w:val="44"/>
          <w:szCs w:val="44"/>
        </w:rPr>
        <w:t xml:space="preserve">for KYC / AML</w:t>
      </w:r>
    </w:p>
    <w:p>
      <w:pPr>
        <w:spacing w:before="240" w:after="80"/>
        <w:jc w:val="center"/>
      </w:pPr>
      <w:r>
        <w:rPr>
          <w:rFonts w:ascii="Arial" w:cs="Arial" w:eastAsia="Arial" w:hAnsi="Arial"/>
          <w:i/>
          <w:iCs/>
          <w:color w:val="404040"/>
          <w:sz w:val="28"/>
          <w:szCs w:val="28"/>
        </w:rPr>
        <w:t xml:space="preserve">Tool Design &amp; Build Description</w:t>
      </w:r>
    </w:p>
    <w:p>
      <w:pPr>
        <w:spacing w:before="80" w:after="80"/>
      </w:pPr>
      <w:r>
        <w:t xml:space="preserve"/>
      </w:r>
    </w:p>
    <w:p>
      <w:pPr>
        <w:pBdr>
          <w:bottom w:val="single" w:color="2E75B6" w:sz="6" w:space="1"/>
        </w:pBdr>
        <w:spacing w:before="80" w:after="320"/>
        <w:jc w:val="center"/>
      </w:pPr>
      <w:r>
        <w:t xml:space="preserve"/>
      </w:r>
    </w:p>
    <w:p>
      <w:pPr>
        <w:spacing w:before="80" w:after="80"/>
      </w:pPr>
      <w:r>
        <w:t xml:space="preserve"/>
      </w:r>
    </w:p>
    <w:p>
      <w:pPr>
        <w:spacing w:before="80" w:after="80"/>
        <w:jc w:val="center"/>
      </w:pPr>
      <w:r>
        <w:rPr>
          <w:rFonts w:ascii="Arial" w:cs="Arial" w:eastAsia="Arial" w:hAnsi="Arial"/>
          <w:color w:val="888888"/>
          <w:sz w:val="22"/>
          <w:szCs w:val="22"/>
        </w:rPr>
        <w:t xml:space="preserve">Version 1.0  |  Confidential  |  Enterprise Architecture</w:t>
      </w:r>
    </w:p>
    <w:p>
      <w:pPr>
        <w:spacing w:before="80" w:after="80"/>
        <w:jc w:val="center"/>
      </w:pPr>
      <w:r>
        <w:rPr>
          <w:rFonts w:ascii="Arial" w:cs="Arial" w:eastAsia="Arial" w:hAnsi="Arial"/>
          <w:color w:val="888888"/>
          <w:sz w:val="22"/>
          <w:szCs w:val="22"/>
        </w:rPr>
        <w:t xml:space="preserve">Audience: Engineers, Enterprise Architects, Product Owners, Risk &amp; Compliance</w:t>
      </w:r>
    </w:p>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60" w:after="60"/>
            </w:pPr>
            <w:r>
              <w:rPr>
                <w:rFonts w:ascii="Arial" w:cs="Arial" w:eastAsia="Arial" w:hAnsi="Arial"/>
                <w:b/>
                <w:bCs/>
                <w:color w:val="1F3864"/>
                <w:sz w:val="22"/>
                <w:szCs w:val="22"/>
              </w:rPr>
              <w:t xml:space="preserve">Purpose: </w:t>
            </w:r>
            <w:r>
              <w:rPr>
                <w:rFonts w:ascii="Arial" w:cs="Arial" w:eastAsia="Arial" w:hAnsi="Arial"/>
                <w:sz w:val="22"/>
                <w:szCs w:val="22"/>
              </w:rPr>
              <w:t xml:space="preserve">This document provides a complete, actionable description of how to design, build, and validate a multilingual identity normalisation tool for Know Your Customer (KYC) and Anti-Money Laundering (AML) workflows. It covers architecture, engineering, prompting, evaluation, and governance.</w:t>
            </w:r>
          </w:p>
        </w:tc>
      </w:tr>
    </w:tbl>
    <w:p>
      <w:r>
        <w:br w:type="page"/>
      </w:r>
    </w:p>
    <w:p>
      <w:pPr>
        <w:pStyle w:val="Heading1"/>
        <w:spacing w:before="360" w:after="160"/>
      </w:pPr>
      <w:r>
        <w:rPr>
          <w:rFonts w:ascii="Arial" w:cs="Arial" w:eastAsia="Arial" w:hAnsi="Arial"/>
          <w:b/>
          <w:bCs/>
          <w:color w:val="1F3864"/>
          <w:sz w:val="32"/>
          <w:szCs w:val="32"/>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rFonts w:ascii="Arial" w:cs="Arial" w:eastAsia="Arial" w:hAnsi="Arial"/>
          <w:b/>
          <w:bCs/>
          <w:color w:val="2E75B6"/>
          <w:sz w:val="32"/>
          <w:szCs w:val="32"/>
        </w:rPr>
        <w:t xml:space="preserve">1  </w:t>
      </w:r>
      <w:r>
        <w:rPr>
          <w:rFonts w:ascii="Arial" w:cs="Arial" w:eastAsia="Arial" w:hAnsi="Arial"/>
          <w:b/>
          <w:bCs/>
          <w:color w:val="1F3864"/>
          <w:sz w:val="32"/>
          <w:szCs w:val="32"/>
        </w:rPr>
        <w:t xml:space="preserve">Executive Summary</w:t>
      </w:r>
    </w:p>
    <w:p>
      <w:pPr>
        <w:spacing w:before="80" w:after="80"/>
      </w:pPr>
      <w:r>
        <w:rPr>
          <w:rFonts w:ascii="Arial" w:cs="Arial" w:eastAsia="Arial" w:hAnsi="Arial"/>
          <w:sz w:val="22"/>
          <w:szCs w:val="22"/>
        </w:rPr>
        <w:t xml:space="preserve">This tool solves a specific and high-risk problem in financial services: the accurate identification, normalisation, and screening of identity data written in multiple languages and scripts, across the full range of KYC and AML document types.</w:t>
      </w:r>
    </w:p>
    <w:p>
      <w:pPr>
        <w:spacing w:before="80" w:after="80"/>
      </w:pPr>
      <w:r>
        <w:t xml:space="preserve"/>
      </w:r>
    </w:p>
    <w:p>
      <w:pPr>
        <w:spacing w:before="80" w:after="80"/>
      </w:pPr>
      <w:r>
        <w:rPr>
          <w:rFonts w:ascii="Arial" w:cs="Arial" w:eastAsia="Arial" w:hAnsi="Arial"/>
          <w:sz w:val="22"/>
          <w:szCs w:val="22"/>
        </w:rPr>
        <w:t xml:space="preserve">The core challenge is not translation. It is identity resolution across linguistic variation. A customer's name written in Arabic, Russian Cyrillic, Chinese, or Thai must be handled correctly not because translation is needed, but because names, addresses, identifiers, and entity descriptions must be normalised to a canonical form that supports reliable sanctions screening, fraud detection, and regulatory audit.</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What the tool does</w:t>
      </w:r>
    </w:p>
    <w:p>
      <w:pPr>
        <w:pStyle w:val="ListParagraph"/>
        <w:numPr>
          <w:ilvl w:val="0"/>
          <w:numId w:val="2"/>
        </w:numPr>
        <w:spacing w:before="60" w:after="60"/>
      </w:pPr>
      <w:r>
        <w:rPr>
          <w:rFonts w:ascii="Arial" w:cs="Arial" w:eastAsia="Arial" w:hAnsi="Arial"/>
          <w:sz w:val="22"/>
          <w:szCs w:val="22"/>
        </w:rPr>
        <w:t xml:space="preserve">Extracts structured identity fields from scanned and digital documents</w:t>
      </w:r>
    </w:p>
    <w:p>
      <w:pPr>
        <w:pStyle w:val="ListParagraph"/>
        <w:numPr>
          <w:ilvl w:val="0"/>
          <w:numId w:val="2"/>
        </w:numPr>
        <w:spacing w:before="60" w:after="60"/>
      </w:pPr>
      <w:r>
        <w:rPr>
          <w:rFonts w:ascii="Arial" w:cs="Arial" w:eastAsia="Arial" w:hAnsi="Arial"/>
          <w:sz w:val="22"/>
          <w:szCs w:val="22"/>
        </w:rPr>
        <w:t xml:space="preserve">Classifies each field and applies the correct treatment: preserve, transliterate, or translate</w:t>
      </w:r>
    </w:p>
    <w:p>
      <w:pPr>
        <w:pStyle w:val="ListParagraph"/>
        <w:numPr>
          <w:ilvl w:val="0"/>
          <w:numId w:val="2"/>
        </w:numPr>
        <w:spacing w:before="60" w:after="60"/>
      </w:pPr>
      <w:r>
        <w:rPr>
          <w:rFonts w:ascii="Arial" w:cs="Arial" w:eastAsia="Arial" w:hAnsi="Arial"/>
          <w:sz w:val="22"/>
          <w:szCs w:val="22"/>
        </w:rPr>
        <w:t xml:space="preserve">Produces a dual output for every field: original value plus Latin-normalised form</w:t>
      </w:r>
    </w:p>
    <w:p>
      <w:pPr>
        <w:pStyle w:val="ListParagraph"/>
        <w:numPr>
          <w:ilvl w:val="0"/>
          <w:numId w:val="2"/>
        </w:numPr>
        <w:spacing w:before="60" w:after="60"/>
      </w:pPr>
      <w:r>
        <w:rPr>
          <w:rFonts w:ascii="Arial" w:cs="Arial" w:eastAsia="Arial" w:hAnsi="Arial"/>
          <w:sz w:val="22"/>
          <w:szCs w:val="22"/>
        </w:rPr>
        <w:t xml:space="preserve">Flags low-confidence fields for human review</w:t>
      </w:r>
    </w:p>
    <w:p>
      <w:pPr>
        <w:pStyle w:val="ListParagraph"/>
        <w:numPr>
          <w:ilvl w:val="0"/>
          <w:numId w:val="2"/>
        </w:numPr>
        <w:spacing w:before="60" w:after="60"/>
      </w:pPr>
      <w:r>
        <w:rPr>
          <w:rFonts w:ascii="Arial" w:cs="Arial" w:eastAsia="Arial" w:hAnsi="Arial"/>
          <w:sz w:val="22"/>
          <w:szCs w:val="22"/>
        </w:rPr>
        <w:t xml:space="preserve">Logs every transformation with its source, method, and version for audit</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What the tool does not do</w:t>
      </w:r>
    </w:p>
    <w:p>
      <w:pPr>
        <w:pStyle w:val="ListParagraph"/>
        <w:numPr>
          <w:ilvl w:val="0"/>
          <w:numId w:val="2"/>
        </w:numPr>
        <w:spacing w:before="60" w:after="60"/>
      </w:pPr>
      <w:r>
        <w:rPr>
          <w:rFonts w:ascii="Arial" w:cs="Arial" w:eastAsia="Arial" w:hAnsi="Arial"/>
          <w:sz w:val="22"/>
          <w:szCs w:val="22"/>
        </w:rPr>
        <w:t xml:space="preserve">It does not translate names. Names are transliterated or preserved, never translated.</w:t>
      </w:r>
    </w:p>
    <w:p>
      <w:pPr>
        <w:pStyle w:val="ListParagraph"/>
        <w:numPr>
          <w:ilvl w:val="0"/>
          <w:numId w:val="2"/>
        </w:numPr>
        <w:spacing w:before="60" w:after="60"/>
      </w:pPr>
      <w:r>
        <w:rPr>
          <w:rFonts w:ascii="Arial" w:cs="Arial" w:eastAsia="Arial" w:hAnsi="Arial"/>
          <w:sz w:val="22"/>
          <w:szCs w:val="22"/>
        </w:rPr>
        <w:t xml:space="preserve">It does not overwrite source document values. Originals are always retained.</w:t>
      </w:r>
    </w:p>
    <w:p>
      <w:pPr>
        <w:pStyle w:val="ListParagraph"/>
        <w:numPr>
          <w:ilvl w:val="0"/>
          <w:numId w:val="2"/>
        </w:numPr>
        <w:spacing w:before="60" w:after="60"/>
      </w:pPr>
      <w:r>
        <w:rPr>
          <w:rFonts w:ascii="Arial" w:cs="Arial" w:eastAsia="Arial" w:hAnsi="Arial"/>
          <w:sz w:val="22"/>
          <w:szCs w:val="22"/>
        </w:rPr>
        <w:t xml:space="preserve">It does not rely solely on a generative AI model. Deterministic rules govern regulated fields.</w:t>
      </w:r>
    </w:p>
    <w:p>
      <w:pPr>
        <w:pStyle w:val="ListParagraph"/>
        <w:numPr>
          <w:ilvl w:val="0"/>
          <w:numId w:val="2"/>
        </w:numPr>
        <w:spacing w:before="60" w:after="60"/>
      </w:pPr>
      <w:r>
        <w:rPr>
          <w:rFonts w:ascii="Arial" w:cs="Arial" w:eastAsia="Arial" w:hAnsi="Arial"/>
          <w:sz w:val="22"/>
          <w:szCs w:val="22"/>
        </w:rPr>
        <w:t xml:space="preserve">It does not depend on a specific Copilot product version. The model is pinned and independently deployable.</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Recommended approach</w:t>
      </w:r>
    </w:p>
    <w:p>
      <w:pPr>
        <w:spacing w:before="80" w:after="80"/>
      </w:pPr>
      <w:r>
        <w:rPr>
          <w:rFonts w:ascii="Arial" w:cs="Arial" w:eastAsia="Arial" w:hAnsi="Arial"/>
          <w:sz w:val="22"/>
          <w:szCs w:val="22"/>
        </w:rPr>
        <w:t xml:space="preserve">A hybrid layered pipeline: deterministic rules first, transliteration second, specialist translation third, and an LLM only for ambiguous or enrichment-only tasks. This keeps the most probabilistic component away from the most sensitive fields.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60" w:after="60"/>
            </w:pPr>
            <w:r>
              <w:rPr>
                <w:rFonts w:ascii="Arial" w:cs="Arial" w:eastAsia="Arial" w:hAnsi="Arial"/>
                <w:b/>
                <w:bCs/>
                <w:color w:val="1F3864"/>
                <w:sz w:val="22"/>
                <w:szCs w:val="22"/>
              </w:rPr>
              <w:t xml:space="preserve">Key principle: </w:t>
            </w:r>
            <w:r>
              <w:rPr>
                <w:rFonts w:ascii="Arial" w:cs="Arial" w:eastAsia="Arial" w:hAnsi="Arial"/>
                <w:sz w:val="22"/>
                <w:szCs w:val="22"/>
              </w:rPr>
              <w:t xml:space="preserve">The right abstraction is not 'translate everything'. It is: for each field type, apply the minimum transformation necessary to support reliable identity matching, and preserve the original for audit.</w:t>
            </w:r>
          </w:p>
        </w:tc>
      </w:tr>
    </w:tbl>
    <w:p>
      <w:r>
        <w:br w:type="page"/>
      </w:r>
    </w:p>
    <w:p>
      <w:pPr>
        <w:pStyle w:val="Heading1"/>
        <w:spacing w:before="400" w:after="200"/>
      </w:pPr>
      <w:r>
        <w:rPr>
          <w:rFonts w:ascii="Arial" w:cs="Arial" w:eastAsia="Arial" w:hAnsi="Arial"/>
          <w:b/>
          <w:bCs/>
          <w:color w:val="2E75B6"/>
          <w:sz w:val="32"/>
          <w:szCs w:val="32"/>
        </w:rPr>
        <w:t xml:space="preserve">2  </w:t>
      </w:r>
      <w:r>
        <w:rPr>
          <w:rFonts w:ascii="Arial" w:cs="Arial" w:eastAsia="Arial" w:hAnsi="Arial"/>
          <w:b/>
          <w:bCs/>
          <w:color w:val="1F3864"/>
          <w:sz w:val="32"/>
          <w:szCs w:val="32"/>
        </w:rPr>
        <w:t xml:space="preserve">Problem Statement</w:t>
      </w:r>
    </w:p>
    <w:p>
      <w:pPr>
        <w:spacing w:before="80" w:after="80"/>
      </w:pPr>
      <w:r>
        <w:rPr>
          <w:rFonts w:ascii="Arial" w:cs="Arial" w:eastAsia="Arial" w:hAnsi="Arial"/>
          <w:sz w:val="22"/>
          <w:szCs w:val="22"/>
        </w:rPr>
        <w:t xml:space="preserve">Financial institutions operating globally must process identity documents from customers in over 190 countries. These documents are issued in dozens of scripts and hundreds of language variants. Existing KYC workflows often rely on manual translation, generic AI chat tools, or vendor platforms that do not expose their processing logic.</w:t>
      </w:r>
    </w:p>
    <w:p>
      <w:pPr>
        <w:spacing w:before="80" w:after="80"/>
      </w:pPr>
      <w:r>
        <w:t xml:space="preserve"/>
      </w:r>
    </w:p>
    <w:p>
      <w:pPr>
        <w:spacing w:before="80" w:after="80"/>
      </w:pPr>
      <w:r>
        <w:rPr>
          <w:rFonts w:ascii="Arial" w:cs="Arial" w:eastAsia="Arial" w:hAnsi="Arial"/>
          <w:sz w:val="22"/>
          <w:szCs w:val="22"/>
        </w:rPr>
        <w:t xml:space="preserve">The specific risks that the tool must address are: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800"/>
        <w:gridCol w:w="206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Consequence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 mismatch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name in Arabic or Chinese cannot be matched against a Latin-script sanctions list without transliteration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 negative on screening</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Field confusion</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Treating a passport number or email as translatable text corrupts the value</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 integrity failure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drift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 AI model that changes silently produces inconsistent outputs over time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 and reproducibility failure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OCR error propagation</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mis-read character in OCR is treated as correct input for translation</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Downstream identity error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ordering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Chinese and Japanese names are surname-first; Western systems may invert them</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 non-match in screening</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Alias coverage</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sanctioned entity may have 5–10 transliteration variants of their name</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Screening miss</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Scope</w:t>
      </w:r>
    </w:p>
    <w:p>
      <w:pPr>
        <w:spacing w:before="80" w:after="80"/>
      </w:pPr>
      <w:r>
        <w:rPr>
          <w:rFonts w:ascii="Arial" w:cs="Arial" w:eastAsia="Arial" w:hAnsi="Arial"/>
          <w:sz w:val="22"/>
          <w:szCs w:val="22"/>
        </w:rPr>
        <w:t xml:space="preserve">The tool covers the following document types and field categories: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Document type</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Passports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ICAO-compliant MRTDs including biometric passports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National identity cards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EU ID cards, national IDs across EMEA and APAC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Residence permits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UK BRP, Schengen permits, national residency cards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Proof of address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Utility bills, bank statements, council tax documents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Corporate registry documents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 certificates, articles of association, UBO declarations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Sanctions and PEP profiles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Free-text entity descriptors, aliases, known associates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of funds declarations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Free-text and structured declarations in any language</w:t>
            </w:r>
          </w:p>
        </w:tc>
      </w:tr>
    </w:tbl>
    <w:p>
      <w:r>
        <w:br w:type="page"/>
      </w:r>
    </w:p>
    <w:p>
      <w:pPr>
        <w:pStyle w:val="Heading1"/>
        <w:spacing w:before="400" w:after="200"/>
      </w:pPr>
      <w:r>
        <w:rPr>
          <w:rFonts w:ascii="Arial" w:cs="Arial" w:eastAsia="Arial" w:hAnsi="Arial"/>
          <w:b/>
          <w:bCs/>
          <w:color w:val="2E75B6"/>
          <w:sz w:val="32"/>
          <w:szCs w:val="32"/>
        </w:rPr>
        <w:t xml:space="preserve">3  </w:t>
      </w:r>
      <w:r>
        <w:rPr>
          <w:rFonts w:ascii="Arial" w:cs="Arial" w:eastAsia="Arial" w:hAnsi="Arial"/>
          <w:b/>
          <w:bCs/>
          <w:color w:val="1F3864"/>
          <w:sz w:val="32"/>
          <w:szCs w:val="32"/>
        </w:rPr>
        <w:t xml:space="preserve">Field Classification Framework</w:t>
      </w:r>
    </w:p>
    <w:p>
      <w:pPr>
        <w:spacing w:before="80" w:after="80"/>
      </w:pPr>
      <w:r>
        <w:rPr>
          <w:rFonts w:ascii="Arial" w:cs="Arial" w:eastAsia="Arial" w:hAnsi="Arial"/>
          <w:sz w:val="22"/>
          <w:szCs w:val="22"/>
        </w:rPr>
        <w:t xml:space="preserve">The most important design decision in this tool is the field classification layer. Every field extracted from a document must be assigned a treatment type before any processing occurs. The treatment type determines the entire downstream pipeline for that field.</w:t>
      </w:r>
    </w:p>
    <w:p>
      <w:pPr>
        <w:spacing w:before="80" w:after="80"/>
      </w:pPr>
      <w:r>
        <w:t xml:space="preserve"/>
      </w:r>
    </w:p>
    <w:p>
      <w:pPr>
        <w:spacing w:before="80" w:after="80"/>
      </w:pPr>
      <w:r>
        <w:rPr>
          <w:rFonts w:ascii="Arial" w:cs="Arial" w:eastAsia="Arial" w:hAnsi="Arial"/>
          <w:sz w:val="22"/>
          <w:szCs w:val="22"/>
        </w:rPr>
        <w:t xml:space="preserve">There are four treatment types: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860"/>
        <w:gridCol w:w="20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Treatment</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LLM involved?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PRESERVE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Copy the value exactly as extracted. No transformation of any kind.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Passport number, ID number, email address, phone number, date of birth, MRZ string, tax 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TRANSLITERATE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Convert from non-Latin script to Latin characters using a defined scheme. Do not translate meaning.</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Personal names, surnames, patronymics, place of birth in non-Latin script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Optional for disambiguation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TRANSLATE + NORMALISE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Translate the semantic meaning to English, then normalise to canonical form.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Street addresses, city names, country of issue, occupation, employer name, source of funds 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constrained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TRANSLATE (analyst-facing only)</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Translate for human review. Do not use output in automated matching.</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Free-text declarations, document notes, relationship descriptions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unconstrained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60" w:after="60"/>
            </w:pPr>
            <w:r>
              <w:rPr>
                <w:rFonts w:ascii="Arial" w:cs="Arial" w:eastAsia="Arial" w:hAnsi="Arial"/>
                <w:b/>
                <w:bCs/>
                <w:color w:val="1F3864"/>
                <w:sz w:val="22"/>
                <w:szCs w:val="22"/>
              </w:rPr>
              <w:t xml:space="preserve">Critical rule: </w:t>
            </w:r>
            <w:r>
              <w:rPr>
                <w:rFonts w:ascii="Arial" w:cs="Arial" w:eastAsia="Arial" w:hAnsi="Arial"/>
                <w:sz w:val="22"/>
                <w:szCs w:val="22"/>
              </w:rPr>
              <w:t xml:space="preserve">If there is any doubt about which treatment applies, default to PRESERVE. It is always safer to preserve a value and flag it for human review than to transform it incorrectly.</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Field-level treatment map</w:t>
      </w:r>
    </w:p>
    <w:p>
      <w:pPr>
        <w:spacing w:before="80" w:after="80"/>
      </w:pPr>
      <w:r>
        <w:rPr>
          <w:rFonts w:ascii="Arial" w:cs="Arial" w:eastAsia="Arial" w:hAnsi="Arial"/>
          <w:sz w:val="22"/>
          <w:szCs w:val="22"/>
        </w:rPr>
        <w:t xml:space="preserve">The following table defines the required treatment for each field type encountered in KYC documents: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 type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Treatment</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Personal name (Latin script)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PRESERVE + normalise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 diacritics for matching form; preserve original for display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Personal name (non-Latin script)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TRANSLITERATE</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Apply script-specific rules; retain original; generate allowed variants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Surname / given name separated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TRANSLITERATE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Preserve ordering convention; flag for analyst if order is ambiguous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Alias / former name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TRANSLITERATE</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aliases must be processed; they are critical for screening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Passport number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Never alter; copy character-for-character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National ID number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PRESERVE</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Never alter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Tax identification number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Never alter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 of birth</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PRESERVE + reformat</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Normalise to ISO 8601 (YYYY-MM-DD) for matching; preserve original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Place of birth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TRANSLATE + NORMALISE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Translate city/country to English equivalent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Nationality / citizenship</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TRANSLATE + NORMALISE</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Map to ISO 3166-1 alpha-2 country code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address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Never alter, including diacritics in local part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Phone number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PRESERVE + normalise</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Normalise to E.164 format; preserve original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Street address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TRANSLATE + NORMALISE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Translate; normalise structure; do not discard any component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City / region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TRANSLATE + NORMALISE</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Map to English name where standard equivalent exists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TRANSLATE + NORMALISE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 to ISO 3166-1 alpha-2 and English name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Company name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TRANSLATE + NORMALISE</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Transliterate name; translate legal suffix; retain original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Occupation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TRANSLATE (analyst-facing)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Translate for review; do not use in automated matching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Source of funds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TRANSLATE (analyst-facing)</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Translate for review; flag if vague or inconsistent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Issuing authority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TRANSLATE + NORMALISE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Translate and normalise to standard English form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MRZ string</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PRESERVE</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Never alter; parse separately using ICAO rules</w:t>
            </w:r>
          </w:p>
        </w:tc>
      </w:tr>
    </w:tbl>
    <w:p>
      <w:r>
        <w:br w:type="page"/>
      </w:r>
    </w:p>
    <w:p>
      <w:pPr>
        <w:pStyle w:val="Heading1"/>
        <w:spacing w:before="400" w:after="200"/>
      </w:pPr>
      <w:r>
        <w:rPr>
          <w:rFonts w:ascii="Arial" w:cs="Arial" w:eastAsia="Arial" w:hAnsi="Arial"/>
          <w:b/>
          <w:bCs/>
          <w:color w:val="2E75B6"/>
          <w:sz w:val="32"/>
          <w:szCs w:val="32"/>
        </w:rPr>
        <w:t xml:space="preserve">4  </w:t>
      </w:r>
      <w:r>
        <w:rPr>
          <w:rFonts w:ascii="Arial" w:cs="Arial" w:eastAsia="Arial" w:hAnsi="Arial"/>
          <w:b/>
          <w:bCs/>
          <w:color w:val="1F3864"/>
          <w:sz w:val="32"/>
          <w:szCs w:val="32"/>
        </w:rPr>
        <w:t xml:space="preserve">Architecture</w:t>
      </w:r>
    </w:p>
    <w:p>
      <w:pPr>
        <w:pStyle w:val="Heading2"/>
        <w:spacing w:before="280" w:after="120"/>
      </w:pPr>
      <w:r>
        <w:rPr>
          <w:rFonts w:ascii="Arial" w:cs="Arial" w:eastAsia="Arial" w:hAnsi="Arial"/>
          <w:b/>
          <w:bCs/>
          <w:color w:val="2E75B6"/>
          <w:sz w:val="26"/>
          <w:szCs w:val="26"/>
        </w:rPr>
        <w:t xml:space="preserve">4.1  Architectural principles</w:t>
      </w:r>
    </w:p>
    <w:p>
      <w:pPr>
        <w:pStyle w:val="ListParagraph"/>
        <w:numPr>
          <w:ilvl w:val="0"/>
          <w:numId w:val="2"/>
        </w:numPr>
        <w:spacing w:before="60" w:after="60"/>
      </w:pPr>
      <w:r>
        <w:rPr>
          <w:rFonts w:ascii="Arial" w:cs="Arial" w:eastAsia="Arial" w:hAnsi="Arial"/>
          <w:sz w:val="22"/>
          <w:szCs w:val="22"/>
        </w:rPr>
        <w:t xml:space="preserve">Deterministic before probabilistic: rules and lookup tables run before any model</w:t>
      </w:r>
    </w:p>
    <w:p>
      <w:pPr>
        <w:pStyle w:val="ListParagraph"/>
        <w:numPr>
          <w:ilvl w:val="0"/>
          <w:numId w:val="2"/>
        </w:numPr>
        <w:spacing w:before="60" w:after="60"/>
      </w:pPr>
      <w:r>
        <w:rPr>
          <w:rFonts w:ascii="Arial" w:cs="Arial" w:eastAsia="Arial" w:hAnsi="Arial"/>
          <w:sz w:val="22"/>
          <w:szCs w:val="22"/>
        </w:rPr>
        <w:t xml:space="preserve">Preserve before transform: original values are stored before any modification</w:t>
      </w:r>
    </w:p>
    <w:p>
      <w:pPr>
        <w:pStyle w:val="ListParagraph"/>
        <w:numPr>
          <w:ilvl w:val="0"/>
          <w:numId w:val="2"/>
        </w:numPr>
        <w:spacing w:before="60" w:after="60"/>
      </w:pPr>
      <w:r>
        <w:rPr>
          <w:rFonts w:ascii="Arial" w:cs="Arial" w:eastAsia="Arial" w:hAnsi="Arial"/>
          <w:sz w:val="22"/>
          <w:szCs w:val="22"/>
        </w:rPr>
        <w:t xml:space="preserve">Field-aware processing: treatment is determined per field, not per document or language</w:t>
      </w:r>
    </w:p>
    <w:p>
      <w:pPr>
        <w:pStyle w:val="ListParagraph"/>
        <w:numPr>
          <w:ilvl w:val="0"/>
          <w:numId w:val="2"/>
        </w:numPr>
        <w:spacing w:before="60" w:after="60"/>
      </w:pPr>
      <w:r>
        <w:rPr>
          <w:rFonts w:ascii="Arial" w:cs="Arial" w:eastAsia="Arial" w:hAnsi="Arial"/>
          <w:sz w:val="22"/>
          <w:szCs w:val="22"/>
        </w:rPr>
        <w:t xml:space="preserve">Model independence: the pipeline must function with any pinned model and survive model changes</w:t>
      </w:r>
    </w:p>
    <w:p>
      <w:pPr>
        <w:pStyle w:val="ListParagraph"/>
        <w:numPr>
          <w:ilvl w:val="0"/>
          <w:numId w:val="2"/>
        </w:numPr>
        <w:spacing w:before="60" w:after="60"/>
      </w:pPr>
      <w:r>
        <w:rPr>
          <w:rFonts w:ascii="Arial" w:cs="Arial" w:eastAsia="Arial" w:hAnsi="Arial"/>
          <w:sz w:val="22"/>
          <w:szCs w:val="22"/>
        </w:rPr>
        <w:t xml:space="preserve">Auditability by design: every transformation must produce a traceable reason and version reference</w:t>
      </w:r>
    </w:p>
    <w:p>
      <w:pPr>
        <w:pStyle w:val="ListParagraph"/>
        <w:numPr>
          <w:ilvl w:val="0"/>
          <w:numId w:val="2"/>
        </w:numPr>
        <w:spacing w:before="60" w:after="60"/>
      </w:pPr>
      <w:r>
        <w:rPr>
          <w:rFonts w:ascii="Arial" w:cs="Arial" w:eastAsia="Arial" w:hAnsi="Arial"/>
          <w:sz w:val="22"/>
          <w:szCs w:val="22"/>
        </w:rPr>
        <w:t xml:space="preserve">Human review by exception: automated output is trusted within confidence thresholds; humans handle edge cases</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4.2  Logical architecture: processing layers</w:t>
      </w:r>
    </w:p>
    <w:p>
      <w:pPr>
        <w:spacing w:before="80" w:after="80"/>
      </w:pPr>
      <w:r>
        <w:rPr>
          <w:rFonts w:ascii="Arial" w:cs="Arial" w:eastAsia="Arial" w:hAnsi="Arial"/>
          <w:sz w:val="22"/>
          <w:szCs w:val="22"/>
        </w:rPr>
        <w:t xml:space="preserve">The tool operates as a six-layer pipeline. Each layer has a defined input contract, output contract, and failure behaviour.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3200"/>
        <w:gridCol w:w="35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output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Ingestion &amp; OCR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Receive document, extract raw text and field regions, assess image quality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field strings + OCR confidence scores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Field classification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Assign treatment type to each extracted field</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Field type + treatment label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Deterministic rules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Apply PRESERVE, format normalisation, MRZ parsing, date ISO conversion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Transformed field values with rule reference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Transliteration engine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Apply ICAO-aligned transliteration for non-Latin names; generate variants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Latin form + variant list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Translation layer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Apply specialist MT or LLM for TRANSLATE fields only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English rendering + original retained</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Output assembly &amp; audit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Assemble structured output record; attach confidence, flags, version, audit trail</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Final JSON record per field</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4.3  Data flow</w:t>
      </w:r>
    </w:p>
    <w:p>
      <w:pPr>
        <w:spacing w:before="80" w:after="80"/>
      </w:pPr>
      <w:r>
        <w:rPr>
          <w:rFonts w:ascii="Arial" w:cs="Arial" w:eastAsia="Arial" w:hAnsi="Arial"/>
          <w:sz w:val="22"/>
          <w:szCs w:val="22"/>
        </w:rPr>
        <w:t xml:space="preserve">The following describes the flow of a single document through the pipeline:</w:t>
      </w:r>
    </w:p>
    <w:p>
      <w:pPr>
        <w:spacing w:before="80" w:after="80"/>
      </w:pPr>
      <w:r>
        <w:t xml:space="preserve"/>
      </w:r>
    </w:p>
    <w:p>
      <w:pPr>
        <w:pStyle w:val="ListParagraph"/>
        <w:numPr>
          <w:ilvl w:val="0"/>
          <w:numId w:val="3"/>
        </w:numPr>
        <w:spacing w:before="60" w:after="60"/>
      </w:pPr>
      <w:r>
        <w:rPr>
          <w:rFonts w:ascii="Arial" w:cs="Arial" w:eastAsia="Arial" w:hAnsi="Arial"/>
          <w:sz w:val="22"/>
          <w:szCs w:val="22"/>
        </w:rPr>
        <w:t xml:space="preserve">Document arrives as image, PDF, or structured upload.</w:t>
      </w:r>
    </w:p>
    <w:p>
      <w:pPr>
        <w:pStyle w:val="ListParagraph"/>
        <w:numPr>
          <w:ilvl w:val="0"/>
          <w:numId w:val="3"/>
        </w:numPr>
        <w:spacing w:before="60" w:after="60"/>
      </w:pPr>
      <w:r>
        <w:rPr>
          <w:rFonts w:ascii="Arial" w:cs="Arial" w:eastAsia="Arial" w:hAnsi="Arial"/>
          <w:sz w:val="22"/>
          <w:szCs w:val="22"/>
        </w:rPr>
        <w:t xml:space="preserve">OCR engine extracts text and bounding boxes. Image quality is assessed. Documents below a confidence threshold are routed to manual review immediately.</w:t>
      </w:r>
    </w:p>
    <w:p>
      <w:pPr>
        <w:pStyle w:val="ListParagraph"/>
        <w:numPr>
          <w:ilvl w:val="0"/>
          <w:numId w:val="3"/>
        </w:numPr>
        <w:spacing w:before="60" w:after="60"/>
      </w:pPr>
      <w:r>
        <w:rPr>
          <w:rFonts w:ascii="Arial" w:cs="Arial" w:eastAsia="Arial" w:hAnsi="Arial"/>
          <w:sz w:val="22"/>
          <w:szCs w:val="22"/>
        </w:rPr>
        <w:t xml:space="preserve">Field classifier identifies each extracted region and assigns a field type and treatment.</w:t>
      </w:r>
    </w:p>
    <w:p>
      <w:pPr>
        <w:pStyle w:val="ListParagraph"/>
        <w:numPr>
          <w:ilvl w:val="0"/>
          <w:numId w:val="3"/>
        </w:numPr>
        <w:spacing w:before="60" w:after="60"/>
      </w:pPr>
      <w:r>
        <w:rPr>
          <w:rFonts w:ascii="Arial" w:cs="Arial" w:eastAsia="Arial" w:hAnsi="Arial"/>
          <w:sz w:val="22"/>
          <w:szCs w:val="22"/>
        </w:rPr>
        <w:t xml:space="preserve">Deterministic rules layer processes all PRESERVE fields and applies format normalisation. No model is called.</w:t>
      </w:r>
    </w:p>
    <w:p>
      <w:pPr>
        <w:pStyle w:val="ListParagraph"/>
        <w:numPr>
          <w:ilvl w:val="0"/>
          <w:numId w:val="3"/>
        </w:numPr>
        <w:spacing w:before="60" w:after="60"/>
      </w:pPr>
      <w:r>
        <w:rPr>
          <w:rFonts w:ascii="Arial" w:cs="Arial" w:eastAsia="Arial" w:hAnsi="Arial"/>
          <w:sz w:val="22"/>
          <w:szCs w:val="22"/>
        </w:rPr>
        <w:t xml:space="preserve">Transliteration engine processes all non-Latin name fields using script-specific rules.</w:t>
      </w:r>
    </w:p>
    <w:p>
      <w:pPr>
        <w:pStyle w:val="ListParagraph"/>
        <w:numPr>
          <w:ilvl w:val="0"/>
          <w:numId w:val="3"/>
        </w:numPr>
        <w:spacing w:before="60" w:after="60"/>
      </w:pPr>
      <w:r>
        <w:rPr>
          <w:rFonts w:ascii="Arial" w:cs="Arial" w:eastAsia="Arial" w:hAnsi="Arial"/>
          <w:sz w:val="22"/>
          <w:szCs w:val="22"/>
        </w:rPr>
        <w:t xml:space="preserve">Translation layer processes TRANSLATE fields. If a non-LLM MT model is sufficient and confident, it is used. The LLM is called only where the MT model is below threshold or the field is ambiguous.</w:t>
      </w:r>
    </w:p>
    <w:p>
      <w:pPr>
        <w:pStyle w:val="ListParagraph"/>
        <w:numPr>
          <w:ilvl w:val="0"/>
          <w:numId w:val="3"/>
        </w:numPr>
        <w:spacing w:before="60" w:after="60"/>
      </w:pPr>
      <w:r>
        <w:rPr>
          <w:rFonts w:ascii="Arial" w:cs="Arial" w:eastAsia="Arial" w:hAnsi="Arial"/>
          <w:sz w:val="22"/>
          <w:szCs w:val="22"/>
        </w:rPr>
        <w:t xml:space="preserve">Output assembler constructs the structured output record for every field.</w:t>
      </w:r>
    </w:p>
    <w:p>
      <w:pPr>
        <w:pStyle w:val="ListParagraph"/>
        <w:numPr>
          <w:ilvl w:val="0"/>
          <w:numId w:val="3"/>
        </w:numPr>
        <w:spacing w:before="60" w:after="60"/>
      </w:pPr>
      <w:r>
        <w:rPr>
          <w:rFonts w:ascii="Arial" w:cs="Arial" w:eastAsia="Arial" w:hAnsi="Arial"/>
          <w:sz w:val="22"/>
          <w:szCs w:val="22"/>
        </w:rPr>
        <w:t xml:space="preserve">Fields below confidence threshold or flagged by rules are marked for human review.</w:t>
      </w:r>
    </w:p>
    <w:p>
      <w:pPr>
        <w:pStyle w:val="ListParagraph"/>
        <w:numPr>
          <w:ilvl w:val="0"/>
          <w:numId w:val="3"/>
        </w:numPr>
        <w:spacing w:before="60" w:after="60"/>
      </w:pPr>
      <w:r>
        <w:rPr>
          <w:rFonts w:ascii="Arial" w:cs="Arial" w:eastAsia="Arial" w:hAnsi="Arial"/>
          <w:sz w:val="22"/>
          <w:szCs w:val="22"/>
        </w:rPr>
        <w:t xml:space="preserve">Final record is written to the downstream system. The original extracted value is always stored alongside transformed values. No source value is overwritten.</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4.4  Component architecture</w:t>
      </w:r>
    </w:p>
    <w:p>
      <w:pPr>
        <w:spacing w:before="80" w:after="80"/>
      </w:pPr>
      <w:r>
        <w:rPr>
          <w:rFonts w:ascii="Arial" w:cs="Arial" w:eastAsia="Arial" w:hAnsi="Arial"/>
          <w:sz w:val="22"/>
          <w:szCs w:val="22"/>
        </w:rPr>
        <w:t xml:space="preserve">The tool is composed of the following components: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intake service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Blob Storage + Event Grid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Receive and queue documents for processing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OCR engine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Azure AI Document Intelligence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Extract text, fields, and confidence scores from documents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Field classifier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Rule-based + ML classifier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Assign field type and treatment label to each extracted value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Deterministic rules engine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Python — custom rule library</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Apply PRESERVE logic, MRZ parsing, date normalisation, Unicode normalisation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Transliteration engine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 transliterate library + ICAO tables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Script-to-Latin conversion; variant generation for screening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MT translation model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MarianMT / OPUS-MT via Hugging Face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Offline neural MT for TRANSLATE fields (baseline, non-LLM)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service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OpenAI — pinned model deployment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 enrichment for ambiguous fields; analyst-facing translations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Prompt library</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YAML / JSON — version-controlled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Field-specific prompt definitions with input/output schemas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 assembler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Construct final field record with all values, flags, and metadata</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Audit logger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Azure Application Insights / Log Analytics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Immutable log of every field transformation with version references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 review queue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workflow tool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 low-confidence fields to analyst queue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Evaluation service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Python — custom scorer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Run golden dataset tests; produce accuracy metrics by field type</w:t>
            </w:r>
          </w:p>
        </w:tc>
      </w:tr>
    </w:tbl>
    <w:p>
      <w:r>
        <w:br w:type="page"/>
      </w:r>
    </w:p>
    <w:p>
      <w:pPr>
        <w:pStyle w:val="Heading1"/>
        <w:spacing w:before="400" w:after="200"/>
      </w:pPr>
      <w:r>
        <w:rPr>
          <w:rFonts w:ascii="Arial" w:cs="Arial" w:eastAsia="Arial" w:hAnsi="Arial"/>
          <w:b/>
          <w:bCs/>
          <w:color w:val="2E75B6"/>
          <w:sz w:val="32"/>
          <w:szCs w:val="32"/>
        </w:rPr>
        <w:t xml:space="preserve">5  </w:t>
      </w:r>
      <w:r>
        <w:rPr>
          <w:rFonts w:ascii="Arial" w:cs="Arial" w:eastAsia="Arial" w:hAnsi="Arial"/>
          <w:b/>
          <w:bCs/>
          <w:color w:val="1F3864"/>
          <w:sz w:val="32"/>
          <w:szCs w:val="32"/>
        </w:rPr>
        <w:t xml:space="preserve">Output Record Specification</w:t>
      </w:r>
    </w:p>
    <w:p>
      <w:pPr>
        <w:spacing w:before="80" w:after="80"/>
      </w:pPr>
      <w:r>
        <w:rPr>
          <w:rFonts w:ascii="Arial" w:cs="Arial" w:eastAsia="Arial" w:hAnsi="Arial"/>
          <w:sz w:val="22"/>
          <w:szCs w:val="22"/>
        </w:rPr>
        <w:t xml:space="preserve">Every field processed by the pipeline produces one structured output record. This is the canonical data contract for the tool. All downstream systems, screening tools, and audit logs consume this record format.</w:t>
      </w:r>
    </w:p>
    <w:p>
      <w:pPr>
        <w:spacing w:before="80" w:after="80"/>
      </w:pPr>
      <w:r>
        <w:t xml:space="preserve"/>
      </w:r>
    </w:p>
    <w:p>
      <w:pPr>
        <w:spacing w:before="80" w:after="80"/>
      </w:pPr>
      <w:r>
        <w:rPr>
          <w:rFonts w:ascii="Arial" w:cs="Arial" w:eastAsia="Arial" w:hAnsi="Arial"/>
          <w:sz w:val="22"/>
          <w:szCs w:val="22"/>
        </w:rPr>
        <w:t xml:space="preserve">The record uses the following schema: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case_id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identifier for the document processing event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document_id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Unique identifier for the source document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document_type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passport | national_id | proof_of_address | corporate_registry | sanctions_profile | source_of_funds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field_type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enum</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person_name | company_name | address | email | passport_no | id_no | date_of_birth | occupation | employer | source_of_funds_text | alias | issuing_authority | nationality | place_of_birth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treatment_applied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PRESERVE | TRANSLITERATE | TRANSLATE_NORMALISE | TRANSLATE_ANALYST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source_language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ISO 639-1 language code detected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source_script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Unicode script name (Latin, Arabic, Cyrillic, Han, Hiragana, etc.)</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original_text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Exact value as extracted by OCR. Never modified.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latin_transliteration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Latin-script rendering of the value (null if not applicable)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allowed_variants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array of string</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Alternative valid transliterations or normalisations for screening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analyst_english_rendering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Human-readable English form for analyst display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normalised_form</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Uppercase ASCII canonical form for automated matching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ocr_confidence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OCR extraction confidence (0–1)</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field_confidence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float</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Overall field processing confidence (0–1)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review_required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 if field must be reviewed by a human before use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review_reason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Explanation if review_required is true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processing_method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 | TRANSLITERATE | MT_MODEL | LLM | MANUAL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model_version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Version identifier of model or rule set used (null if RULE)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prompt_version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 identifier of prompt used (null if not LLM)</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processed_at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datetime</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ISO 8601 timestamp of processing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should_use_in_screening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 for TRANSLATE_ANALYST fields; true for all others post-review</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5.1  Example output record</w:t>
      </w:r>
    </w:p>
    <w:p>
      <w:pPr>
        <w:spacing w:before="80" w:after="80"/>
      </w:pPr>
      <w:r>
        <w:rPr>
          <w:rFonts w:ascii="Arial" w:cs="Arial" w:eastAsia="Arial" w:hAnsi="Arial"/>
          <w:sz w:val="22"/>
          <w:szCs w:val="22"/>
        </w:rPr>
        <w:t xml:space="preserve">The following is an example output record for an Arabic name field from a passport: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r>
              <w:rPr>
                <w:rFonts w:ascii="Courier New" w:cs="Courier New" w:eastAsia="Courier New" w:hAnsi="Courier New"/>
                <w:color w:val="D4D4D4"/>
                <w:sz w:val="20"/>
                <w:szCs w:val="20"/>
              </w:rPr>
              <w:t xml:space="preserve">{</w:t>
            </w:r>
          </w:p>
          <w:p>
            <w:r>
              <w:rPr>
                <w:rFonts w:ascii="Courier New" w:cs="Courier New" w:eastAsia="Courier New" w:hAnsi="Courier New"/>
                <w:color w:val="9CDCFE"/>
                <w:sz w:val="20"/>
                <w:szCs w:val="20"/>
              </w:rPr>
              <w:t xml:space="preserve">  "field_type": "person_name",</w:t>
            </w:r>
          </w:p>
          <w:p>
            <w:r>
              <w:rPr>
                <w:rFonts w:ascii="Courier New" w:cs="Courier New" w:eastAsia="Courier New" w:hAnsi="Courier New"/>
                <w:color w:val="9CDCFE"/>
                <w:sz w:val="20"/>
                <w:szCs w:val="20"/>
              </w:rPr>
              <w:t xml:space="preserve">  "treatment_applied": "TRANSLITERATE",</w:t>
            </w:r>
          </w:p>
          <w:p>
            <w:r>
              <w:rPr>
                <w:rFonts w:ascii="Courier New" w:cs="Courier New" w:eastAsia="Courier New" w:hAnsi="Courier New"/>
                <w:color w:val="9CDCFE"/>
                <w:sz w:val="20"/>
                <w:szCs w:val="20"/>
              </w:rPr>
              <w:t xml:space="preserve">  "source_language": "ar",</w:t>
            </w:r>
          </w:p>
          <w:p>
            <w:r>
              <w:rPr>
                <w:rFonts w:ascii="Courier New" w:cs="Courier New" w:eastAsia="Courier New" w:hAnsi="Courier New"/>
                <w:color w:val="9CDCFE"/>
                <w:sz w:val="20"/>
                <w:szCs w:val="20"/>
              </w:rPr>
              <w:t xml:space="preserve">  "source_script": "Arabic",</w:t>
            </w:r>
          </w:p>
          <w:p>
            <w:r>
              <w:rPr>
                <w:rFonts w:ascii="Courier New" w:cs="Courier New" w:eastAsia="Courier New" w:hAnsi="Courier New"/>
                <w:color w:val="CE9178"/>
                <w:sz w:val="20"/>
                <w:szCs w:val="20"/>
              </w:rPr>
              <w:t xml:space="preserve">  "original_text": "\u0645\u062D\u0645\u062F \u0639\u0644\u064A \u062D\u0633\u0646",</w:t>
            </w:r>
          </w:p>
          <w:p>
            <w:r>
              <w:rPr>
                <w:rFonts w:ascii="Courier New" w:cs="Courier New" w:eastAsia="Courier New" w:hAnsi="Courier New"/>
                <w:color w:val="CE9178"/>
                <w:sz w:val="20"/>
                <w:szCs w:val="20"/>
              </w:rPr>
              <w:t xml:space="preserve">  "latin_transliteration": "Muhammad Ali Hasan",</w:t>
            </w:r>
          </w:p>
          <w:p>
            <w:r>
              <w:rPr>
                <w:rFonts w:ascii="Courier New" w:cs="Courier New" w:eastAsia="Courier New" w:hAnsi="Courier New"/>
                <w:color w:val="CE9178"/>
                <w:sz w:val="20"/>
                <w:szCs w:val="20"/>
              </w:rPr>
              <w:t xml:space="preserve">  "allowed_variants": ["Mohammed Ali Hassan", "Mohammad Ali Hasan", "Muhammad Ali Hassan"],</w:t>
            </w:r>
          </w:p>
          <w:p>
            <w:r>
              <w:rPr>
                <w:rFonts w:ascii="Courier New" w:cs="Courier New" w:eastAsia="Courier New" w:hAnsi="Courier New"/>
                <w:color w:val="CE9178"/>
                <w:sz w:val="20"/>
                <w:szCs w:val="20"/>
              </w:rPr>
              <w:t xml:space="preserve">  "analyst_english_rendering": "Muhammad Ali Hasan",</w:t>
            </w:r>
          </w:p>
          <w:p>
            <w:r>
              <w:rPr>
                <w:rFonts w:ascii="Courier New" w:cs="Courier New" w:eastAsia="Courier New" w:hAnsi="Courier New"/>
                <w:color w:val="CE9178"/>
                <w:sz w:val="20"/>
                <w:szCs w:val="20"/>
              </w:rPr>
              <w:t xml:space="preserve">  "normalised_form": "MUHAMMAD ALI HASAN",</w:t>
            </w:r>
          </w:p>
          <w:p>
            <w:r>
              <w:rPr>
                <w:rFonts w:ascii="Courier New" w:cs="Courier New" w:eastAsia="Courier New" w:hAnsi="Courier New"/>
                <w:color w:val="B5CEA8"/>
                <w:sz w:val="20"/>
                <w:szCs w:val="20"/>
              </w:rPr>
              <w:t xml:space="preserve">  "ocr_confidence": 0.97,</w:t>
            </w:r>
          </w:p>
          <w:p>
            <w:r>
              <w:rPr>
                <w:rFonts w:ascii="Courier New" w:cs="Courier New" w:eastAsia="Courier New" w:hAnsi="Courier New"/>
                <w:color w:val="B5CEA8"/>
                <w:sz w:val="20"/>
                <w:szCs w:val="20"/>
              </w:rPr>
              <w:t xml:space="preserve">  "field_confidence": 0.91,</w:t>
            </w:r>
          </w:p>
          <w:p>
            <w:r>
              <w:rPr>
                <w:rFonts w:ascii="Courier New" w:cs="Courier New" w:eastAsia="Courier New" w:hAnsi="Courier New"/>
                <w:color w:val="B5CEA8"/>
                <w:sz w:val="20"/>
                <w:szCs w:val="20"/>
              </w:rPr>
              <w:t xml:space="preserve">  "review_required": false,</w:t>
            </w:r>
          </w:p>
          <w:p>
            <w:r>
              <w:rPr>
                <w:rFonts w:ascii="Courier New" w:cs="Courier New" w:eastAsia="Courier New" w:hAnsi="Courier New"/>
                <w:color w:val="9CDCFE"/>
                <w:sz w:val="20"/>
                <w:szCs w:val="20"/>
              </w:rPr>
              <w:t xml:space="preserve">  "processing_method": "TRANSLITERATE",</w:t>
            </w:r>
          </w:p>
          <w:p>
            <w:r>
              <w:rPr>
                <w:rFonts w:ascii="Courier New" w:cs="Courier New" w:eastAsia="Courier New" w:hAnsi="Courier New"/>
                <w:color w:val="B5CEA8"/>
                <w:sz w:val="20"/>
                <w:szCs w:val="20"/>
              </w:rPr>
              <w:t xml:space="preserve">  "should_use_in_screening": true</w:t>
            </w:r>
          </w:p>
          <w:p>
            <w:r>
              <w:rPr>
                <w:rFonts w:ascii="Courier New" w:cs="Courier New" w:eastAsia="Courier New" w:hAnsi="Courier New"/>
                <w:color w:val="D4D4D4"/>
                <w:sz w:val="20"/>
                <w:szCs w:val="20"/>
              </w:rPr>
              <w:t xml:space="preserve">}</w:t>
            </w:r>
          </w:p>
        </w:tc>
      </w:tr>
    </w:tbl>
    <w:p>
      <w:r>
        <w:br w:type="page"/>
      </w:r>
    </w:p>
    <w:p>
      <w:pPr>
        <w:pStyle w:val="Heading1"/>
        <w:spacing w:before="400" w:after="200"/>
      </w:pPr>
      <w:r>
        <w:rPr>
          <w:rFonts w:ascii="Arial" w:cs="Arial" w:eastAsia="Arial" w:hAnsi="Arial"/>
          <w:b/>
          <w:bCs/>
          <w:color w:val="2E75B6"/>
          <w:sz w:val="32"/>
          <w:szCs w:val="32"/>
        </w:rPr>
        <w:t xml:space="preserve">6  </w:t>
      </w:r>
      <w:r>
        <w:rPr>
          <w:rFonts w:ascii="Arial" w:cs="Arial" w:eastAsia="Arial" w:hAnsi="Arial"/>
          <w:b/>
          <w:bCs/>
          <w:color w:val="1F3864"/>
          <w:sz w:val="32"/>
          <w:szCs w:val="32"/>
        </w:rPr>
        <w:t xml:space="preserve">Transliteration Engine</w:t>
      </w:r>
    </w:p>
    <w:p>
      <w:pPr>
        <w:spacing w:before="80" w:after="80"/>
      </w:pPr>
      <w:r>
        <w:rPr>
          <w:rFonts w:ascii="Arial" w:cs="Arial" w:eastAsia="Arial" w:hAnsi="Arial"/>
          <w:sz w:val="22"/>
          <w:szCs w:val="22"/>
        </w:rPr>
        <w:t xml:space="preserve">Transliteration is the most critical component for sanctions screening accuracy. The transliteration engine must handle each non-Latin script according to its specific rules and generate allowed variant lists for every name it processes.</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6.1  Script coverage and schemes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500"/>
        <w:gridCol w:w="356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Languages</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Scheme used</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challenges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Arabic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Arabic, Farsi, Urdu</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ICAO Doc 9303 for MRZ fields; UN Romanisation for free text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vowel markers in standard text; regional spelling variation; Abu/Al- prefixes; name ordering</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Cyrillic</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Russian, Ukrainian, Bulgarian, Serbian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BGN/PCGN Romanisation; Ukrainian and Russian produce different outputs for similar characters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Ukrainian 'И' vs Russian 'И' are distinct; post-2022 political sensitivity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 (Simplified)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Mandarin Chinese (PRC)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Pinyin (Hanyu Pinyin) with tone marks stripped for normalisation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Surname-first ordering; same hanzi can have multiple readings; given name may be 1 or 2 characters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Han (Traditional)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Mandarin Chinese (Taiwan, HK)</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Wade-Giles or Pinyin depending on passport; Hong Kong uses Cantonese romanisation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Same character produces different romanisation in PRC vs Taiwan vs HK passport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Kana / Kanji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Japanese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Hepburn romanisation; MRZ uses katakana romanisation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Kanji readings are not deterministic; furigana or MRZ required for certainty; name ordering is surname-first</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Hangul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Korean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Revised Romanisation of Korean (RR) is official; McCune-Reischauer also in use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Same name romanises differently under RR vs MR; 'Kim' vs 'Gim' for same surname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Devanagari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Hindi, Nepali, Marathi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 15919 / IAST for transliteration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Aspirated vs non-aspirated consonants produce different forms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Thai</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Thai</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Royal Thai General System of Transcription (RTGS)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Tonal language; Thai numerals may appear in older documents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 843 / ELOT 743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Beta (B) often romanised as 'V'; name ordering follows Greek convention</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Hebrew</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Hebrew</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Academy of the Hebrew Language romanisation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Ben-/Bar- patronymics; vowel pointing often absent; hyphenation conventions vary</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6.2  Variant generation</w:t>
      </w:r>
    </w:p>
    <w:p>
      <w:pPr>
        <w:spacing w:before="80" w:after="80"/>
      </w:pPr>
      <w:r>
        <w:rPr>
          <w:rFonts w:ascii="Arial" w:cs="Arial" w:eastAsia="Arial" w:hAnsi="Arial"/>
          <w:sz w:val="22"/>
          <w:szCs w:val="22"/>
        </w:rPr>
        <w:t xml:space="preserve">For every transliterated name, the engine must generate a list of allowed variants. These are alternative valid transliterations that may appear on a sanctions list, in a historical record, or in a different jurisdiction's system. The screening tool must check all variants, not just the primary form.</w:t>
      </w:r>
    </w:p>
    <w:p>
      <w:pPr>
        <w:spacing w:before="80" w:after="80"/>
      </w:pPr>
      <w:r>
        <w:t xml:space="preserve"/>
      </w:r>
    </w:p>
    <w:p>
      <w:pPr>
        <w:spacing w:before="80" w:after="80"/>
      </w:pPr>
      <w:r>
        <w:rPr>
          <w:rFonts w:ascii="Arial" w:cs="Arial" w:eastAsia="Arial" w:hAnsi="Arial"/>
          <w:sz w:val="22"/>
          <w:szCs w:val="22"/>
        </w:rPr>
        <w:t xml:space="preserve">Variant generation rules by script:</w:t>
      </w:r>
    </w:p>
    <w:p>
      <w:pPr>
        <w:pStyle w:val="ListParagraph"/>
        <w:numPr>
          <w:ilvl w:val="0"/>
          <w:numId w:val="2"/>
        </w:numPr>
        <w:spacing w:before="60" w:after="60"/>
      </w:pPr>
      <w:r>
        <w:rPr>
          <w:rFonts w:ascii="Arial" w:cs="Arial" w:eastAsia="Arial" w:hAnsi="Arial"/>
          <w:sz w:val="22"/>
          <w:szCs w:val="22"/>
        </w:rPr>
        <w:t xml:space="preserve">Arabic: generate variants for common vowel substitutions (Mohammad / Muhammad / Mohammed), Al- prefix handling (Al-Hasan / Alhasan / al Hasan), and Abu prefix</w:t>
      </w:r>
    </w:p>
    <w:p>
      <w:pPr>
        <w:pStyle w:val="ListParagraph"/>
        <w:numPr>
          <w:ilvl w:val="0"/>
          <w:numId w:val="2"/>
        </w:numPr>
        <w:spacing w:before="60" w:after="60"/>
      </w:pPr>
      <w:r>
        <w:rPr>
          <w:rFonts w:ascii="Arial" w:cs="Arial" w:eastAsia="Arial" w:hAnsi="Arial"/>
          <w:sz w:val="22"/>
          <w:szCs w:val="22"/>
        </w:rPr>
        <w:t xml:space="preserve">Chinese: generate variants for both Simplified and Traditional romanisation where characters overlap; flag surname-first vs given-name-first orderings</w:t>
      </w:r>
    </w:p>
    <w:p>
      <w:pPr>
        <w:pStyle w:val="ListParagraph"/>
        <w:numPr>
          <w:ilvl w:val="0"/>
          <w:numId w:val="2"/>
        </w:numPr>
        <w:spacing w:before="60" w:after="60"/>
      </w:pPr>
      <w:r>
        <w:rPr>
          <w:rFonts w:ascii="Arial" w:cs="Arial" w:eastAsia="Arial" w:hAnsi="Arial"/>
          <w:sz w:val="22"/>
          <w:szCs w:val="22"/>
        </w:rPr>
        <w:t xml:space="preserve">Japanese: generate variants for both Hepburn and the MRZ katakana romanisation; flag long vowel treatment (Ohta vs Ota vs Oota)</w:t>
      </w:r>
    </w:p>
    <w:p>
      <w:pPr>
        <w:pStyle w:val="ListParagraph"/>
        <w:numPr>
          <w:ilvl w:val="0"/>
          <w:numId w:val="2"/>
        </w:numPr>
        <w:spacing w:before="60" w:after="60"/>
      </w:pPr>
      <w:r>
        <w:rPr>
          <w:rFonts w:ascii="Arial" w:cs="Arial" w:eastAsia="Arial" w:hAnsi="Arial"/>
          <w:sz w:val="22"/>
          <w:szCs w:val="22"/>
        </w:rPr>
        <w:t xml:space="preserve">Korean: generate both RR and MR variants for the same name</w:t>
      </w:r>
    </w:p>
    <w:p>
      <w:pPr>
        <w:pStyle w:val="ListParagraph"/>
        <w:numPr>
          <w:ilvl w:val="0"/>
          <w:numId w:val="2"/>
        </w:numPr>
        <w:spacing w:before="60" w:after="60"/>
      </w:pPr>
      <w:r>
        <w:rPr>
          <w:rFonts w:ascii="Arial" w:cs="Arial" w:eastAsia="Arial" w:hAnsi="Arial"/>
          <w:sz w:val="22"/>
          <w:szCs w:val="22"/>
        </w:rPr>
        <w:t xml:space="preserve">Cyrillic: generate variants for both Russian and Ukrainian romanisation where the input is ambiguous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60" w:after="60"/>
            </w:pPr>
            <w:r>
              <w:rPr>
                <w:rFonts w:ascii="Arial" w:cs="Arial" w:eastAsia="Arial" w:hAnsi="Arial"/>
                <w:b/>
                <w:bCs/>
                <w:color w:val="1F3864"/>
                <w:sz w:val="22"/>
                <w:szCs w:val="22"/>
              </w:rPr>
              <w:t xml:space="preserve">Screening note: </w:t>
            </w:r>
            <w:r>
              <w:rPr>
                <w:rFonts w:ascii="Arial" w:cs="Arial" w:eastAsia="Arial" w:hAnsi="Arial"/>
                <w:sz w:val="22"/>
                <w:szCs w:val="22"/>
              </w:rPr>
              <w:t xml:space="preserve">The allowed_variants field in the output record must be passed to the sanctions screening system as a set. Screening on only the primary transliteration will produce false negatives on real sanctions matches.</w:t>
            </w:r>
          </w:p>
        </w:tc>
      </w:tr>
    </w:tbl>
    <w:p>
      <w:r>
        <w:br w:type="page"/>
      </w:r>
    </w:p>
    <w:p>
      <w:pPr>
        <w:pStyle w:val="Heading1"/>
        <w:spacing w:before="400" w:after="200"/>
      </w:pPr>
      <w:r>
        <w:rPr>
          <w:rFonts w:ascii="Arial" w:cs="Arial" w:eastAsia="Arial" w:hAnsi="Arial"/>
          <w:b/>
          <w:bCs/>
          <w:color w:val="2E75B6"/>
          <w:sz w:val="32"/>
          <w:szCs w:val="32"/>
        </w:rPr>
        <w:t xml:space="preserve">7  </w:t>
      </w:r>
      <w:r>
        <w:rPr>
          <w:rFonts w:ascii="Arial" w:cs="Arial" w:eastAsia="Arial" w:hAnsi="Arial"/>
          <w:b/>
          <w:bCs/>
          <w:color w:val="1F3864"/>
          <w:sz w:val="32"/>
          <w:szCs w:val="32"/>
        </w:rPr>
        <w:t xml:space="preserve">LLM Integration and Prompt Design</w:t>
      </w:r>
    </w:p>
    <w:p>
      <w:pPr>
        <w:pStyle w:val="Heading2"/>
        <w:spacing w:before="280" w:after="120"/>
      </w:pPr>
      <w:r>
        <w:rPr>
          <w:rFonts w:ascii="Arial" w:cs="Arial" w:eastAsia="Arial" w:hAnsi="Arial"/>
          <w:b/>
          <w:bCs/>
          <w:color w:val="2E75B6"/>
          <w:sz w:val="26"/>
          <w:szCs w:val="26"/>
        </w:rPr>
        <w:t xml:space="preserve">7.1  When the LLM is used</w:t>
      </w:r>
    </w:p>
    <w:p>
      <w:pPr>
        <w:spacing w:before="80" w:after="80"/>
      </w:pPr>
      <w:r>
        <w:rPr>
          <w:rFonts w:ascii="Arial" w:cs="Arial" w:eastAsia="Arial" w:hAnsi="Arial"/>
          <w:sz w:val="22"/>
          <w:szCs w:val="22"/>
        </w:rPr>
        <w:t xml:space="preserve">The LLM is not the primary processing engine. It is called only in the following cases:</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A TRANSLATE_NORMALISE field has received a low-confidence output from the offline MT model</w:t>
      </w:r>
    </w:p>
    <w:p>
      <w:pPr>
        <w:pStyle w:val="ListParagraph"/>
        <w:numPr>
          <w:ilvl w:val="0"/>
          <w:numId w:val="2"/>
        </w:numPr>
        <w:spacing w:before="60" w:after="60"/>
      </w:pPr>
      <w:r>
        <w:rPr>
          <w:rFonts w:ascii="Arial" w:cs="Arial" w:eastAsia="Arial" w:hAnsi="Arial"/>
          <w:sz w:val="22"/>
          <w:szCs w:val="22"/>
        </w:rPr>
        <w:t xml:space="preserve">A name field contains ambiguous segmentation (e.g. it is unclear where surname ends and given name begins)</w:t>
      </w:r>
    </w:p>
    <w:p>
      <w:pPr>
        <w:pStyle w:val="ListParagraph"/>
        <w:numPr>
          <w:ilvl w:val="0"/>
          <w:numId w:val="2"/>
        </w:numPr>
        <w:spacing w:before="60" w:after="60"/>
      </w:pPr>
      <w:r>
        <w:rPr>
          <w:rFonts w:ascii="Arial" w:cs="Arial" w:eastAsia="Arial" w:hAnsi="Arial"/>
          <w:sz w:val="22"/>
          <w:szCs w:val="22"/>
        </w:rPr>
        <w:t xml:space="preserve">A company name contains mixed-script content or an unusual legal suffix</w:t>
      </w:r>
    </w:p>
    <w:p>
      <w:pPr>
        <w:pStyle w:val="ListParagraph"/>
        <w:numPr>
          <w:ilvl w:val="0"/>
          <w:numId w:val="2"/>
        </w:numPr>
        <w:spacing w:before="60" w:after="60"/>
      </w:pPr>
      <w:r>
        <w:rPr>
          <w:rFonts w:ascii="Arial" w:cs="Arial" w:eastAsia="Arial" w:hAnsi="Arial"/>
          <w:sz w:val="22"/>
          <w:szCs w:val="22"/>
        </w:rPr>
        <w:t xml:space="preserve">A free-text declaration field requires translation for analyst review</w:t>
      </w:r>
    </w:p>
    <w:p>
      <w:pPr>
        <w:pStyle w:val="ListParagraph"/>
        <w:numPr>
          <w:ilvl w:val="0"/>
          <w:numId w:val="2"/>
        </w:numPr>
        <w:spacing w:before="60" w:after="60"/>
      </w:pPr>
      <w:r>
        <w:rPr>
          <w:rFonts w:ascii="Arial" w:cs="Arial" w:eastAsia="Arial" w:hAnsi="Arial"/>
          <w:sz w:val="22"/>
          <w:szCs w:val="22"/>
        </w:rPr>
        <w:t xml:space="preserve">OCR has produced a partially legible field that requires contextual reasoning to reconstruct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60" w:after="60"/>
            </w:pPr>
            <w:r>
              <w:rPr>
                <w:rFonts w:ascii="Arial" w:cs="Arial" w:eastAsia="Arial" w:hAnsi="Arial"/>
                <w:b/>
                <w:bCs/>
                <w:color w:val="1F3864"/>
                <w:sz w:val="22"/>
                <w:szCs w:val="22"/>
              </w:rPr>
              <w:t xml:space="preserve">Constraint: </w:t>
            </w:r>
            <w:r>
              <w:rPr>
                <w:rFonts w:ascii="Arial" w:cs="Arial" w:eastAsia="Arial" w:hAnsi="Arial"/>
                <w:sz w:val="22"/>
                <w:szCs w:val="22"/>
              </w:rPr>
              <w:t xml:space="preserve">The LLM must never be called for PRESERVE fields. It must never produce the normalised_form directly — normalised_form is always computed deterministically from the LLM output, not generated by the model itself.</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7.2  Model strategy</w:t>
      </w:r>
    </w:p>
    <w:p>
      <w:pPr>
        <w:spacing w:before="80" w:after="80"/>
      </w:pPr>
      <w:r>
        <w:rPr>
          <w:rFonts w:ascii="Arial" w:cs="Arial" w:eastAsia="Arial" w:hAnsi="Arial"/>
          <w:sz w:val="22"/>
          <w:szCs w:val="22"/>
        </w:rPr>
        <w:t xml:space="preserve">The tool uses a pinned Azure OpenAI deployment. This means:</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A specific model version is deployed and locked. It does not auto-update.</w:t>
      </w:r>
    </w:p>
    <w:p>
      <w:pPr>
        <w:pStyle w:val="ListParagraph"/>
        <w:numPr>
          <w:ilvl w:val="0"/>
          <w:numId w:val="2"/>
        </w:numPr>
        <w:spacing w:before="60" w:after="60"/>
      </w:pPr>
      <w:r>
        <w:rPr>
          <w:rFonts w:ascii="Arial" w:cs="Arial" w:eastAsia="Arial" w:hAnsi="Arial"/>
          <w:sz w:val="22"/>
          <w:szCs w:val="22"/>
        </w:rPr>
        <w:t xml:space="preserve">The prompt library is versioned separately from the model. A prompt version change requires re-validation against the golden dataset.</w:t>
      </w:r>
    </w:p>
    <w:p>
      <w:pPr>
        <w:pStyle w:val="ListParagraph"/>
        <w:numPr>
          <w:ilvl w:val="0"/>
          <w:numId w:val="2"/>
        </w:numPr>
        <w:spacing w:before="60" w:after="60"/>
      </w:pPr>
      <w:r>
        <w:rPr>
          <w:rFonts w:ascii="Arial" w:cs="Arial" w:eastAsia="Arial" w:hAnsi="Arial"/>
          <w:sz w:val="22"/>
          <w:szCs w:val="22"/>
        </w:rPr>
        <w:t xml:space="preserve">The tool is designed to be model-agnostic at the interface level. Swapping the model requires a re-validation run, not a code rewrite.</w:t>
      </w:r>
    </w:p>
    <w:p>
      <w:pPr>
        <w:pStyle w:val="ListParagraph"/>
        <w:numPr>
          <w:ilvl w:val="0"/>
          <w:numId w:val="2"/>
        </w:numPr>
        <w:spacing w:before="60" w:after="60"/>
      </w:pPr>
      <w:r>
        <w:rPr>
          <w:rFonts w:ascii="Arial" w:cs="Arial" w:eastAsia="Arial" w:hAnsi="Arial"/>
          <w:sz w:val="22"/>
          <w:szCs w:val="22"/>
        </w:rPr>
        <w:t xml:space="preserve">Copilot and other managed AI products are acceptable for exploration and stakeholder demonstration, but must not be used as the production processing engine.</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7.3  Prompt library structure</w:t>
      </w:r>
    </w:p>
    <w:p>
      <w:pPr>
        <w:spacing w:before="80" w:after="80"/>
      </w:pPr>
      <w:r>
        <w:rPr>
          <w:rFonts w:ascii="Arial" w:cs="Arial" w:eastAsia="Arial" w:hAnsi="Arial"/>
          <w:sz w:val="22"/>
          <w:szCs w:val="22"/>
        </w:rPr>
        <w:t xml:space="preserve">The tool uses five prompt types. Each prompt is defined as a YAML file with a fixed structure: system instruction, input schema, output schema, examples, and edge case handling notes.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000"/>
        <w:gridCol w:w="1860"/>
        <w:gridCol w:w="21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Prompt ID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1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LLM role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 name normalisation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Original name text, script, country, document type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Transliteration, allowed variants, segmentation, name order flag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Disambiguate segmentation; generate variants where rules are insufficient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PROMPT-02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Address translation and segmentation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Original address text, country, script</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English translation, structured components (street, city, country, postcode), normalised form</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Translate; parse address structure; handle country-specific format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 name normalisation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 name text, country, document type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Transliteration, English translation, legal suffix mapping, normalised form</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 non-English legal suffixes (GmbH, SA, KK, LLC equivalents) to standard English form</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PROMPT-04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Free text translation (analyst)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Free text, language, document type, field label</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English translation, key facts extracted, confidence, flag if vague or inconsistent</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Translate; flag suspicious or evasive language; do not normalise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Low-confidence field enrichment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 OCR text, field type, document context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Best-effort reconstruction, confidence, review flag, reasoning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document context to fill gaps; never invent; flag uncertainty</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7.4  Output contract enforcement</w:t>
      </w:r>
    </w:p>
    <w:p>
      <w:pPr>
        <w:spacing w:before="80" w:after="80"/>
      </w:pPr>
      <w:r>
        <w:rPr>
          <w:rFonts w:ascii="Arial" w:cs="Arial" w:eastAsia="Arial" w:hAnsi="Arial"/>
          <w:sz w:val="22"/>
          <w:szCs w:val="22"/>
        </w:rPr>
        <w:t xml:space="preserve">Every LLM call must return a structured JSON object conforming to the prompt's output schema. The pipeline must validate the response against the schema before consuming it. If validation fails, the field is routed to human review. The pipeline must never use a free-text LLM response as a field value.</w:t>
      </w:r>
    </w:p>
    <w:p>
      <w:pPr>
        <w:spacing w:before="80" w:after="80"/>
      </w:pPr>
      <w:r>
        <w:t xml:space="preserve"/>
      </w:r>
    </w:p>
    <w:p>
      <w:pPr>
        <w:spacing w:before="80" w:after="80"/>
      </w:pPr>
      <w:r>
        <w:rPr>
          <w:rFonts w:ascii="Arial" w:cs="Arial" w:eastAsia="Arial" w:hAnsi="Arial"/>
          <w:sz w:val="22"/>
          <w:szCs w:val="22"/>
        </w:rPr>
        <w:t xml:space="preserve">The LLM is instructed explicitly in every prompt:</w:t>
      </w:r>
    </w:p>
    <w:p>
      <w:pPr>
        <w:pStyle w:val="ListParagraph"/>
        <w:numPr>
          <w:ilvl w:val="0"/>
          <w:numId w:val="2"/>
        </w:numPr>
        <w:spacing w:before="60" w:after="60"/>
      </w:pPr>
      <w:r>
        <w:rPr>
          <w:rFonts w:ascii="Arial" w:cs="Arial" w:eastAsia="Arial" w:hAnsi="Arial"/>
          <w:sz w:val="22"/>
          <w:szCs w:val="22"/>
        </w:rPr>
        <w:t xml:space="preserve">Never invent data that is not present in the source text</w:t>
      </w:r>
    </w:p>
    <w:p>
      <w:pPr>
        <w:pStyle w:val="ListParagraph"/>
        <w:numPr>
          <w:ilvl w:val="0"/>
          <w:numId w:val="2"/>
        </w:numPr>
        <w:spacing w:before="60" w:after="60"/>
      </w:pPr>
      <w:r>
        <w:rPr>
          <w:rFonts w:ascii="Arial" w:cs="Arial" w:eastAsia="Arial" w:hAnsi="Arial"/>
          <w:sz w:val="22"/>
          <w:szCs w:val="22"/>
        </w:rPr>
        <w:t xml:space="preserve">If uncertain, set confidence below 0.7 and set review_required to true</w:t>
      </w:r>
    </w:p>
    <w:p>
      <w:pPr>
        <w:pStyle w:val="ListParagraph"/>
        <w:numPr>
          <w:ilvl w:val="0"/>
          <w:numId w:val="2"/>
        </w:numPr>
        <w:spacing w:before="60" w:after="60"/>
      </w:pPr>
      <w:r>
        <w:rPr>
          <w:rFonts w:ascii="Arial" w:cs="Arial" w:eastAsia="Arial" w:hAnsi="Arial"/>
          <w:sz w:val="22"/>
          <w:szCs w:val="22"/>
        </w:rPr>
        <w:t xml:space="preserve">Do not translate names — only transliterate or normalise</w:t>
      </w:r>
    </w:p>
    <w:p>
      <w:pPr>
        <w:pStyle w:val="ListParagraph"/>
        <w:numPr>
          <w:ilvl w:val="0"/>
          <w:numId w:val="2"/>
        </w:numPr>
        <w:spacing w:before="60" w:after="60"/>
      </w:pPr>
      <w:r>
        <w:rPr>
          <w:rFonts w:ascii="Arial" w:cs="Arial" w:eastAsia="Arial" w:hAnsi="Arial"/>
          <w:sz w:val="22"/>
          <w:szCs w:val="22"/>
        </w:rPr>
        <w:t xml:space="preserve">Do not alter email addresses, ID numbers, or passport numbers under any circumstance</w:t>
      </w:r>
    </w:p>
    <w:p>
      <w:pPr>
        <w:pStyle w:val="ListParagraph"/>
        <w:numPr>
          <w:ilvl w:val="0"/>
          <w:numId w:val="2"/>
        </w:numPr>
        <w:spacing w:before="60" w:after="60"/>
      </w:pPr>
      <w:r>
        <w:rPr>
          <w:rFonts w:ascii="Arial" w:cs="Arial" w:eastAsia="Arial" w:hAnsi="Arial"/>
          <w:sz w:val="22"/>
          <w:szCs w:val="22"/>
        </w:rPr>
        <w:t xml:space="preserve">Return null for any output field you cannot produce with confidence</w:t>
      </w:r>
    </w:p>
    <w:p>
      <w:r>
        <w:br w:type="page"/>
      </w:r>
    </w:p>
    <w:p>
      <w:pPr>
        <w:pStyle w:val="Heading1"/>
        <w:spacing w:before="400" w:after="200"/>
      </w:pPr>
      <w:r>
        <w:rPr>
          <w:rFonts w:ascii="Arial" w:cs="Arial" w:eastAsia="Arial" w:hAnsi="Arial"/>
          <w:b/>
          <w:bCs/>
          <w:color w:val="2E75B6"/>
          <w:sz w:val="32"/>
          <w:szCs w:val="32"/>
        </w:rPr>
        <w:t xml:space="preserve">8  </w:t>
      </w:r>
      <w:r>
        <w:rPr>
          <w:rFonts w:ascii="Arial" w:cs="Arial" w:eastAsia="Arial" w:hAnsi="Arial"/>
          <w:b/>
          <w:bCs/>
          <w:color w:val="1F3864"/>
          <w:sz w:val="32"/>
          <w:szCs w:val="32"/>
        </w:rPr>
        <w:t xml:space="preserve">OCR and Document Intake</w:t>
      </w:r>
    </w:p>
    <w:p>
      <w:pPr>
        <w:spacing w:before="80" w:after="80"/>
      </w:pPr>
      <w:r>
        <w:rPr>
          <w:rFonts w:ascii="Arial" w:cs="Arial" w:eastAsia="Arial" w:hAnsi="Arial"/>
          <w:sz w:val="22"/>
          <w:szCs w:val="22"/>
        </w:rPr>
        <w:t xml:space="preserve">OCR quality is the most common source of downstream errors in KYC pipelines. The tool treats OCR quality as a first-class risk, not a pre-processing detail.</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8.1  Quality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Gate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 quality check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Resolution below 150 DPI, excessive blur, or low contrast detected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Reject and request re-submission. Do not proceed.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OCR confidence — field level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Any field with OCR confidence below 0.80</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Flag field for human review. Process other fields normally.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OCR confidence — document level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More than 3 fields below 0.80 confidence in a single document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 entire document to manual review. Do not proceed with automated pipeline.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Script detection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Script detected does not match expected script for issuing country</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Flag for review. May indicate forged document or unusual issuance.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MRZ validation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MRZ check digits fail ICAO validation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reject of document. Route to compliance team.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Field completeness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mandatory field (name, DOB, document number) is missing from extraction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Route to human review before any downstream processing.</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8.2  Document types and handling notes</w:t>
      </w:r>
    </w:p>
    <w:p>
      <w:pPr>
        <w:pStyle w:val="ListParagraph"/>
        <w:numPr>
          <w:ilvl w:val="0"/>
          <w:numId w:val="2"/>
        </w:numPr>
        <w:spacing w:before="60" w:after="60"/>
      </w:pPr>
      <w:r>
        <w:rPr>
          <w:rFonts w:ascii="Arial" w:cs="Arial" w:eastAsia="Arial" w:hAnsi="Arial"/>
          <w:sz w:val="22"/>
          <w:szCs w:val="22"/>
        </w:rPr>
        <w:t xml:space="preserve">Passports: parse MRZ using ICAO Doc 9303 rules. Use MRZ values as the authoritative source for name, nationality, DOB, and document number. Visual zone values are secondary.</w:t>
      </w:r>
    </w:p>
    <w:p>
      <w:pPr>
        <w:pStyle w:val="ListParagraph"/>
        <w:numPr>
          <w:ilvl w:val="0"/>
          <w:numId w:val="2"/>
        </w:numPr>
        <w:spacing w:before="60" w:after="60"/>
      </w:pPr>
      <w:r>
        <w:rPr>
          <w:rFonts w:ascii="Arial" w:cs="Arial" w:eastAsia="Arial" w:hAnsi="Arial"/>
          <w:sz w:val="22"/>
          <w:szCs w:val="22"/>
        </w:rPr>
        <w:t xml:space="preserve">National ID cards: no universal MRZ standard. Rely on OCR for all fields. Apply stricter confidence thresholds.</w:t>
      </w:r>
    </w:p>
    <w:p>
      <w:pPr>
        <w:pStyle w:val="ListParagraph"/>
        <w:numPr>
          <w:ilvl w:val="0"/>
          <w:numId w:val="2"/>
        </w:numPr>
        <w:spacing w:before="60" w:after="60"/>
      </w:pPr>
      <w:r>
        <w:rPr>
          <w:rFonts w:ascii="Arial" w:cs="Arial" w:eastAsia="Arial" w:hAnsi="Arial"/>
          <w:sz w:val="22"/>
          <w:szCs w:val="22"/>
        </w:rPr>
        <w:t xml:space="preserve">Proof of address: free-form documents with no standard layout. OCR confidence will vary widely. Address extraction requires NLP-based field detection, not template matching.</w:t>
      </w:r>
    </w:p>
    <w:p>
      <w:pPr>
        <w:pStyle w:val="ListParagraph"/>
        <w:numPr>
          <w:ilvl w:val="0"/>
          <w:numId w:val="2"/>
        </w:numPr>
        <w:spacing w:before="60" w:after="60"/>
      </w:pPr>
      <w:r>
        <w:rPr>
          <w:rFonts w:ascii="Arial" w:cs="Arial" w:eastAsia="Arial" w:hAnsi="Arial"/>
          <w:sz w:val="22"/>
          <w:szCs w:val="22"/>
        </w:rPr>
        <w:t xml:space="preserve">Corporate documents: may be multi-page, multi-language, and contain mixed Latin/non-Latin text. Extract company name, registration number, registered address, and UBO names as separate fields.</w:t>
      </w:r>
    </w:p>
    <w:p>
      <w:pPr>
        <w:pStyle w:val="ListParagraph"/>
        <w:numPr>
          <w:ilvl w:val="0"/>
          <w:numId w:val="2"/>
        </w:numPr>
        <w:spacing w:before="60" w:after="60"/>
      </w:pPr>
      <w:r>
        <w:rPr>
          <w:rFonts w:ascii="Arial" w:cs="Arial" w:eastAsia="Arial" w:hAnsi="Arial"/>
          <w:sz w:val="22"/>
          <w:szCs w:val="22"/>
        </w:rPr>
        <w:t xml:space="preserve">Handwritten documents: treat all handwritten content as requiring human review. Do not pass handwritten text through automated transliteration or translation.</w:t>
      </w:r>
    </w:p>
    <w:p>
      <w:r>
        <w:br w:type="page"/>
      </w:r>
    </w:p>
    <w:p>
      <w:pPr>
        <w:pStyle w:val="Heading1"/>
        <w:spacing w:before="400" w:after="200"/>
      </w:pPr>
      <w:r>
        <w:rPr>
          <w:rFonts w:ascii="Arial" w:cs="Arial" w:eastAsia="Arial" w:hAnsi="Arial"/>
          <w:b/>
          <w:bCs/>
          <w:color w:val="2E75B6"/>
          <w:sz w:val="32"/>
          <w:szCs w:val="32"/>
        </w:rPr>
        <w:t xml:space="preserve">9  </w:t>
      </w:r>
      <w:r>
        <w:rPr>
          <w:rFonts w:ascii="Arial" w:cs="Arial" w:eastAsia="Arial" w:hAnsi="Arial"/>
          <w:b/>
          <w:bCs/>
          <w:color w:val="1F3864"/>
          <w:sz w:val="32"/>
          <w:szCs w:val="32"/>
        </w:rPr>
        <w:t xml:space="preserve">Evaluation Framework and Golden Dataset</w:t>
      </w:r>
    </w:p>
    <w:p>
      <w:pPr>
        <w:pStyle w:val="Heading2"/>
        <w:spacing w:before="280" w:after="120"/>
      </w:pPr>
      <w:r>
        <w:rPr>
          <w:rFonts w:ascii="Arial" w:cs="Arial" w:eastAsia="Arial" w:hAnsi="Arial"/>
          <w:b/>
          <w:bCs/>
          <w:color w:val="2E75B6"/>
          <w:sz w:val="26"/>
          <w:szCs w:val="26"/>
        </w:rPr>
        <w:t xml:space="preserve">9.1  Evaluation principles</w:t>
      </w:r>
    </w:p>
    <w:p>
      <w:pPr>
        <w:spacing w:before="80" w:after="80"/>
      </w:pPr>
      <w:r>
        <w:rPr>
          <w:rFonts w:ascii="Arial" w:cs="Arial" w:eastAsia="Arial" w:hAnsi="Arial"/>
          <w:sz w:val="22"/>
          <w:szCs w:val="22"/>
        </w:rPr>
        <w:t xml:space="preserve">The tool must be evaluated continuously, not only at initial deployment. The golden dataset is a live artefact that is updated when new edge cases are discovered, new scripts are added, or the model is changed.</w:t>
      </w:r>
    </w:p>
    <w:p>
      <w:pPr>
        <w:spacing w:before="80" w:after="80"/>
      </w:pPr>
      <w:r>
        <w:t xml:space="preserve"/>
      </w:r>
    </w:p>
    <w:p>
      <w:pPr>
        <w:spacing w:before="80" w:after="80"/>
      </w:pPr>
      <w:r>
        <w:rPr>
          <w:rFonts w:ascii="Arial" w:cs="Arial" w:eastAsia="Arial" w:hAnsi="Arial"/>
          <w:sz w:val="22"/>
          <w:szCs w:val="22"/>
        </w:rPr>
        <w:t xml:space="preserve">Evaluation uses separate metrics per field type and per script. A single blended accuracy score is insufficient and can mask dangerous failures — for example, a system that is highly accurate on addresses but weak on names would score well overall but fail on the highest-risk field.</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9.2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2400"/>
        <w:gridCol w:w="24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 types</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 threshold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Exact preservation accuracy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Passport no., ID no., email, phone, MRZ</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equality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 no tolerance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Transliteration accuracy (primary)</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name fields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Match against gold primary form</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&gt;= 95%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Transliteration accuracy (variant set)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name fields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 against any allowed variant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99%</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Translation adequacy</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Address, occupation, source of funds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BLEU score + human spot-check</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&gt;= 0.75 BLEU; 90% human approval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Normalisation accuracy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fields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 against gold normalised form</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97%</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Review flag precision</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fields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Precision of review_required flags</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&gt;= 85%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flag recall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fields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Recall of review_required flags on known-hard cases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95%</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Hallucination rate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LLM-processed fields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Rate of fields where LLM adds content not in source</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 tolerance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Field classification accuracy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fields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Correct treatment assigned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99%</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Sanctions variant recall</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Name and alias fields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Recall across all known transliteration variants</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&gt;= 99%</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9.3  Golden dataset structure</w:t>
      </w:r>
    </w:p>
    <w:p>
      <w:pPr>
        <w:spacing w:before="80" w:after="80"/>
      </w:pPr>
      <w:r>
        <w:rPr>
          <w:rFonts w:ascii="Arial" w:cs="Arial" w:eastAsia="Arial" w:hAnsi="Arial"/>
          <w:sz w:val="22"/>
          <w:szCs w:val="22"/>
        </w:rPr>
        <w:t xml:space="preserve">The golden dataset is a CSV file with one row per test case. Each row represents a single field extracted from a specific document type, with gold-standard expected outputs for all applicable processing steps.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case_id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identifier (e.g. KYC001)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language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ISO 639-1 code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Unicode script name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country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ISO 3166-1 alpha-2 country code of document issuance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document_type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category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field_type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Field category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original_text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text as it would be extracted by OCR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expected_treatment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PRESERVE | TRANSLITERATE | TRANSLATE_NORMALISE | TRANSLATE_ANALYST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expected_transliteration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Gold primary transliteration (null if PRESERVE)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expected_allowed_variants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Pipe-separated list of acceptable alternatives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expected_english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Gold analyst-facing English rendering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expected_normalised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Gold normalised form (uppercase ASCII)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should_flag_review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 / false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review_reason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Explanation if should_flag_review is true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is_negative_case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 if this is a should-not-match test for screening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risk_notes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Edge case description for human reviewers</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9.4  Language and script coverage</w:t>
      </w:r>
    </w:p>
    <w:p>
      <w:pPr>
        <w:spacing w:before="80" w:after="80"/>
      </w:pPr>
      <w:r>
        <w:rPr>
          <w:rFonts w:ascii="Arial" w:cs="Arial" w:eastAsia="Arial" w:hAnsi="Arial"/>
          <w:sz w:val="22"/>
          <w:szCs w:val="22"/>
        </w:rPr>
        <w:t xml:space="preserve">The golden dataset must include at minimum the following languages, covering the scripts listed: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Languages covered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Latin (standard)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English, French, Spanish, Portuguese, German, Italian, Dutch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Latin (accented / extended)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Turkish, Vietnamese, Polish, Romanian, Czech, Hungarian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Arabic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Arabic (Gulf, Levantine, Egyptian, North African), Farsi</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Cyrillic</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Russian, Ukrainian (treated as distinct)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 Simplified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Mandarin Chinese (PRC)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Han Traditional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Mandarin Chinese (Taiwan), Cantonese (Hong Kong)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Hiragana / Katakana / Kanji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Japanese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Hangul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Korean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Devanagari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Hindi, Nepali</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Thai</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Thai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Greek</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Hebrew</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Hebrew</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9.5  Required test case categories</w:t>
      </w:r>
    </w:p>
    <w:p>
      <w:pPr>
        <w:spacing w:before="80" w:after="80"/>
      </w:pPr>
      <w:r>
        <w:rPr>
          <w:rFonts w:ascii="Arial" w:cs="Arial" w:eastAsia="Arial" w:hAnsi="Arial"/>
          <w:sz w:val="22"/>
          <w:szCs w:val="22"/>
        </w:rPr>
        <w:t xml:space="preserve">Beyond standard cases, the golden dataset must include the following specific categories:</w:t>
      </w:r>
    </w:p>
    <w:p>
      <w:pPr>
        <w:spacing w:before="80" w:after="80"/>
      </w:pPr>
      <w:r>
        <w:t xml:space="preserve"/>
      </w:r>
    </w:p>
    <w:p>
      <w:pPr>
        <w:pStyle w:val="ListParagraph"/>
        <w:numPr>
          <w:ilvl w:val="0"/>
          <w:numId w:val="2"/>
        </w:numPr>
        <w:spacing w:before="60" w:after="60"/>
      </w:pPr>
      <w:r>
        <w:rPr>
          <w:rFonts w:ascii="Arial" w:cs="Arial" w:eastAsia="Arial" w:hAnsi="Arial"/>
          <w:b/>
          <w:bCs/>
          <w:sz w:val="22"/>
          <w:szCs w:val="22"/>
        </w:rPr>
        <w:t xml:space="preserve">Preserve cases: </w:t>
      </w:r>
      <w:r>
        <w:rPr>
          <w:rFonts w:ascii="Arial" w:cs="Arial" w:eastAsia="Arial" w:hAnsi="Arial"/>
          <w:sz w:val="22"/>
          <w:szCs w:val="22"/>
        </w:rPr>
        <w:t xml:space="preserve">identifiers, emails, passport numbers that must pass through without any modification</w:t>
      </w:r>
    </w:p>
    <w:p>
      <w:pPr>
        <w:pStyle w:val="ListParagraph"/>
        <w:numPr>
          <w:ilvl w:val="0"/>
          <w:numId w:val="2"/>
        </w:numPr>
        <w:spacing w:before="60" w:after="60"/>
      </w:pPr>
      <w:r>
        <w:rPr>
          <w:rFonts w:ascii="Arial" w:cs="Arial" w:eastAsia="Arial" w:hAnsi="Arial"/>
          <w:b/>
          <w:bCs/>
          <w:sz w:val="22"/>
          <w:szCs w:val="22"/>
        </w:rPr>
        <w:t xml:space="preserve">Patronymic names: </w:t>
      </w:r>
      <w:r>
        <w:rPr>
          <w:rFonts w:ascii="Arial" w:cs="Arial" w:eastAsia="Arial" w:hAnsi="Arial"/>
          <w:sz w:val="22"/>
          <w:szCs w:val="22"/>
        </w:rPr>
        <w:t xml:space="preserve">Russian, Ukrainian, and Arabic names with patronymics (e.g. Ekaterina Sergeevna Ivanova)</w:t>
      </w:r>
    </w:p>
    <w:p>
      <w:pPr>
        <w:pStyle w:val="ListParagraph"/>
        <w:numPr>
          <w:ilvl w:val="0"/>
          <w:numId w:val="2"/>
        </w:numPr>
        <w:spacing w:before="60" w:after="60"/>
      </w:pPr>
      <w:r>
        <w:rPr>
          <w:rFonts w:ascii="Arial" w:cs="Arial" w:eastAsia="Arial" w:hAnsi="Arial"/>
          <w:b/>
          <w:bCs/>
          <w:sz w:val="22"/>
          <w:szCs w:val="22"/>
        </w:rPr>
        <w:t xml:space="preserve">Compound surnames: </w:t>
      </w:r>
      <w:r>
        <w:rPr>
          <w:rFonts w:ascii="Arial" w:cs="Arial" w:eastAsia="Arial" w:hAnsi="Arial"/>
          <w:sz w:val="22"/>
          <w:szCs w:val="22"/>
        </w:rPr>
        <w:t xml:space="preserve">Spanish double surnames, French particles (de, d', du), German von/von der</w:t>
      </w:r>
    </w:p>
    <w:p>
      <w:pPr>
        <w:pStyle w:val="ListParagraph"/>
        <w:numPr>
          <w:ilvl w:val="0"/>
          <w:numId w:val="2"/>
        </w:numPr>
        <w:spacing w:before="60" w:after="60"/>
      </w:pPr>
      <w:r>
        <w:rPr>
          <w:rFonts w:ascii="Arial" w:cs="Arial" w:eastAsia="Arial" w:hAnsi="Arial"/>
          <w:b/>
          <w:bCs/>
          <w:sz w:val="22"/>
          <w:szCs w:val="22"/>
        </w:rPr>
        <w:t xml:space="preserve">Name order ambiguity: </w:t>
      </w:r>
      <w:r>
        <w:rPr>
          <w:rFonts w:ascii="Arial" w:cs="Arial" w:eastAsia="Arial" w:hAnsi="Arial"/>
          <w:sz w:val="22"/>
          <w:szCs w:val="22"/>
        </w:rPr>
        <w:t xml:space="preserve">Chinese, Japanese, Korean names where surname-first ordering may cause confusion</w:t>
      </w:r>
    </w:p>
    <w:p>
      <w:pPr>
        <w:pStyle w:val="ListParagraph"/>
        <w:numPr>
          <w:ilvl w:val="0"/>
          <w:numId w:val="2"/>
        </w:numPr>
        <w:spacing w:before="60" w:after="60"/>
      </w:pPr>
      <w:r>
        <w:rPr>
          <w:rFonts w:ascii="Arial" w:cs="Arial" w:eastAsia="Arial" w:hAnsi="Arial"/>
          <w:b/>
          <w:bCs/>
          <w:sz w:val="22"/>
          <w:szCs w:val="22"/>
        </w:rPr>
        <w:t xml:space="preserve">Alias cases: </w:t>
      </w:r>
      <w:r>
        <w:rPr>
          <w:rFonts w:ascii="Arial" w:cs="Arial" w:eastAsia="Arial" w:hAnsi="Arial"/>
          <w:sz w:val="22"/>
          <w:szCs w:val="22"/>
        </w:rPr>
        <w:t xml:space="preserve">Sanctions-profile style entries with known aliases and multiple transliteration variants</w:t>
      </w:r>
    </w:p>
    <w:p>
      <w:pPr>
        <w:pStyle w:val="ListParagraph"/>
        <w:numPr>
          <w:ilvl w:val="0"/>
          <w:numId w:val="2"/>
        </w:numPr>
        <w:spacing w:before="60" w:after="60"/>
      </w:pPr>
      <w:r>
        <w:rPr>
          <w:rFonts w:ascii="Arial" w:cs="Arial" w:eastAsia="Arial" w:hAnsi="Arial"/>
          <w:b/>
          <w:bCs/>
          <w:sz w:val="22"/>
          <w:szCs w:val="22"/>
        </w:rPr>
        <w:t xml:space="preserve">Abu / Al- prefixes: </w:t>
      </w:r>
      <w:r>
        <w:rPr>
          <w:rFonts w:ascii="Arial" w:cs="Arial" w:eastAsia="Arial" w:hAnsi="Arial"/>
          <w:sz w:val="22"/>
          <w:szCs w:val="22"/>
        </w:rPr>
        <w:t xml:space="preserve">Arabic names with definite article and patronymic prefixes</w:t>
      </w:r>
    </w:p>
    <w:p>
      <w:pPr>
        <w:pStyle w:val="ListParagraph"/>
        <w:numPr>
          <w:ilvl w:val="0"/>
          <w:numId w:val="2"/>
        </w:numPr>
        <w:spacing w:before="60" w:after="60"/>
      </w:pPr>
      <w:r>
        <w:rPr>
          <w:rFonts w:ascii="Arial" w:cs="Arial" w:eastAsia="Arial" w:hAnsi="Arial"/>
          <w:b/>
          <w:bCs/>
          <w:sz w:val="22"/>
          <w:szCs w:val="22"/>
        </w:rPr>
        <w:t xml:space="preserve">Legal entity suffixes: </w:t>
      </w:r>
      <w:r>
        <w:rPr>
          <w:rFonts w:ascii="Arial" w:cs="Arial" w:eastAsia="Arial" w:hAnsi="Arial"/>
          <w:sz w:val="22"/>
          <w:szCs w:val="22"/>
        </w:rPr>
        <w:t xml:space="preserve">Company names with non-English legal suffixes (GmbH, SA, NV, KK, Sdn Bhd, Pvt Ltd, OOO)</w:t>
      </w:r>
    </w:p>
    <w:p>
      <w:pPr>
        <w:pStyle w:val="ListParagraph"/>
        <w:numPr>
          <w:ilvl w:val="0"/>
          <w:numId w:val="2"/>
        </w:numPr>
        <w:spacing w:before="60" w:after="60"/>
      </w:pPr>
      <w:r>
        <w:rPr>
          <w:rFonts w:ascii="Arial" w:cs="Arial" w:eastAsia="Arial" w:hAnsi="Arial"/>
          <w:b/>
          <w:bCs/>
          <w:sz w:val="22"/>
          <w:szCs w:val="22"/>
        </w:rPr>
        <w:t xml:space="preserve">Negative / non-match cases: </w:t>
      </w:r>
      <w:r>
        <w:rPr>
          <w:rFonts w:ascii="Arial" w:cs="Arial" w:eastAsia="Arial" w:hAnsi="Arial"/>
          <w:sz w:val="22"/>
          <w:szCs w:val="22"/>
        </w:rPr>
        <w:t xml:space="preserve">Names that should NOT match a target despite phonetic similarity — critical for false positive testing</w:t>
      </w:r>
    </w:p>
    <w:p>
      <w:pPr>
        <w:pStyle w:val="ListParagraph"/>
        <w:numPr>
          <w:ilvl w:val="0"/>
          <w:numId w:val="2"/>
        </w:numPr>
        <w:spacing w:before="60" w:after="60"/>
      </w:pPr>
      <w:r>
        <w:rPr>
          <w:rFonts w:ascii="Arial" w:cs="Arial" w:eastAsia="Arial" w:hAnsi="Arial"/>
          <w:b/>
          <w:bCs/>
          <w:sz w:val="22"/>
          <w:szCs w:val="22"/>
        </w:rPr>
        <w:t xml:space="preserve">Degraded OCR simulation: </w:t>
      </w:r>
      <w:r>
        <w:rPr>
          <w:rFonts w:ascii="Arial" w:cs="Arial" w:eastAsia="Arial" w:hAnsi="Arial"/>
          <w:sz w:val="22"/>
          <w:szCs w:val="22"/>
        </w:rPr>
        <w:t xml:space="preserve">Cases with intentional character substitutions to test robustness</w:t>
      </w:r>
    </w:p>
    <w:p>
      <w:pPr>
        <w:pStyle w:val="ListParagraph"/>
        <w:numPr>
          <w:ilvl w:val="0"/>
          <w:numId w:val="2"/>
        </w:numPr>
        <w:spacing w:before="60" w:after="60"/>
      </w:pPr>
      <w:r>
        <w:rPr>
          <w:rFonts w:ascii="Arial" w:cs="Arial" w:eastAsia="Arial" w:hAnsi="Arial"/>
          <w:b/>
          <w:bCs/>
          <w:sz w:val="22"/>
          <w:szCs w:val="22"/>
        </w:rPr>
        <w:t xml:space="preserve">Mixed-script fields: </w:t>
      </w:r>
      <w:r>
        <w:rPr>
          <w:rFonts w:ascii="Arial" w:cs="Arial" w:eastAsia="Arial" w:hAnsi="Arial"/>
          <w:sz w:val="22"/>
          <w:szCs w:val="22"/>
        </w:rPr>
        <w:t xml:space="preserve">Fields containing both Latin and non-Latin characters (e.g. a company name with an English word and a Chinese character)</w:t>
      </w:r>
    </w:p>
    <w:p>
      <w:r>
        <w:br w:type="page"/>
      </w:r>
    </w:p>
    <w:p>
      <w:pPr>
        <w:pStyle w:val="Heading1"/>
        <w:spacing w:before="400" w:after="200"/>
      </w:pPr>
      <w:r>
        <w:rPr>
          <w:rFonts w:ascii="Arial" w:cs="Arial" w:eastAsia="Arial" w:hAnsi="Arial"/>
          <w:b/>
          <w:bCs/>
          <w:color w:val="2E75B6"/>
          <w:sz w:val="32"/>
          <w:szCs w:val="32"/>
        </w:rPr>
        <w:t xml:space="preserve">10  </w:t>
      </w:r>
      <w:r>
        <w:rPr>
          <w:rFonts w:ascii="Arial" w:cs="Arial" w:eastAsia="Arial" w:hAnsi="Arial"/>
          <w:b/>
          <w:bCs/>
          <w:color w:val="1F3864"/>
          <w:sz w:val="32"/>
          <w:szCs w:val="32"/>
        </w:rPr>
        <w:t xml:space="preserve">Governance and Controls</w:t>
      </w:r>
    </w:p>
    <w:p>
      <w:pPr>
        <w:pStyle w:val="Heading2"/>
        <w:spacing w:before="280" w:after="120"/>
      </w:pPr>
      <w:r>
        <w:rPr>
          <w:rFonts w:ascii="Arial" w:cs="Arial" w:eastAsia="Arial" w:hAnsi="Arial"/>
          <w:b/>
          <w:bCs/>
          <w:color w:val="2E75B6"/>
          <w:sz w:val="26"/>
          <w:szCs w:val="26"/>
        </w:rPr>
        <w:t xml:space="preserve">10.1  Model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4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version pinning</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 deployment uses a specific pinned model version. Auto-upgrade is disabled.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 / Engineering</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Model change process</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Any model version change requires re-validation of the full golden dataset before deployment to production.</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Model Risk / EA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 versioning</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prompts are version-controlled in source code. Prompt changes are treated as model changes and require re-validation.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Engineering</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Drift detection</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Monthly automated runs of the golden dataset against the production model. Regression alerts are raised if any metric falls below threshold.</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Engineering / Model Risk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Retirement planning</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OpenAI model retirement notifications are monitored. Migration to replacement model is planned at least 90 days before retirement.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10.2  Data and privacy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PII classification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fields processed by the tool are classified as PII (at minimum) or sensitive PII (names, dates of birth, ID numbers). Processing is governed by data classification policy.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 residency</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processing must occur within the approved geographic boundary. Azure OpenAI deployment region must be validated. Experimental or cross-geo model endpoints must not be used.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training use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content must not be used to train or fine-tune any model. Azure OpenAI data processing agreement must confirm this.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Original retention</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original extracted value of every field is stored in the audit log and the source record. It is never deleted or overwritten.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data principle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fields required for the KYC/AML decision are extracted and stored. Unnecessary fields are discarded at intake.</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10.3  Operational controls</w:t>
      </w:r>
    </w:p>
    <w:p>
      <w:pPr>
        <w:pStyle w:val="ListParagraph"/>
        <w:numPr>
          <w:ilvl w:val="0"/>
          <w:numId w:val="2"/>
        </w:numPr>
        <w:spacing w:before="60" w:after="60"/>
      </w:pPr>
      <w:r>
        <w:rPr>
          <w:rFonts w:ascii="Arial" w:cs="Arial" w:eastAsia="Arial" w:hAnsi="Arial"/>
          <w:sz w:val="22"/>
          <w:szCs w:val="22"/>
        </w:rPr>
        <w:t xml:space="preserve">Human-in-the-loop: all fields with field_confidence below 0.75 are routed to human review before use in screening or onboarding decisions</w:t>
      </w:r>
    </w:p>
    <w:p>
      <w:pPr>
        <w:pStyle w:val="ListParagraph"/>
        <w:numPr>
          <w:ilvl w:val="0"/>
          <w:numId w:val="2"/>
        </w:numPr>
        <w:spacing w:before="60" w:after="60"/>
      </w:pPr>
      <w:r>
        <w:rPr>
          <w:rFonts w:ascii="Arial" w:cs="Arial" w:eastAsia="Arial" w:hAnsi="Arial"/>
          <w:sz w:val="22"/>
          <w:szCs w:val="22"/>
        </w:rPr>
        <w:t xml:space="preserve">No auto-write to systems of record: the tool produces output records. It does not write directly to core banking or CRM systems. A human approval step is required.</w:t>
      </w:r>
    </w:p>
    <w:p>
      <w:pPr>
        <w:pStyle w:val="ListParagraph"/>
        <w:numPr>
          <w:ilvl w:val="0"/>
          <w:numId w:val="2"/>
        </w:numPr>
        <w:spacing w:before="60" w:after="60"/>
      </w:pPr>
      <w:r>
        <w:rPr>
          <w:rFonts w:ascii="Arial" w:cs="Arial" w:eastAsia="Arial" w:hAnsi="Arial"/>
          <w:sz w:val="22"/>
          <w:szCs w:val="22"/>
        </w:rPr>
        <w:t xml:space="preserve">Kill switch: the LLM component can be disabled independently of the rest of the pipeline. The tool continues to operate using only deterministic rules and transliteration in degraded mode.</w:t>
      </w:r>
    </w:p>
    <w:p>
      <w:pPr>
        <w:pStyle w:val="ListParagraph"/>
        <w:numPr>
          <w:ilvl w:val="0"/>
          <w:numId w:val="2"/>
        </w:numPr>
        <w:spacing w:before="60" w:after="60"/>
      </w:pPr>
      <w:r>
        <w:rPr>
          <w:rFonts w:ascii="Arial" w:cs="Arial" w:eastAsia="Arial" w:hAnsi="Arial"/>
          <w:sz w:val="22"/>
          <w:szCs w:val="22"/>
        </w:rPr>
        <w:t xml:space="preserve">Audit log immutability: all transformation logs are written to append-only storage. They cannot be modified or deleted.</w:t>
      </w:r>
    </w:p>
    <w:p>
      <w:pPr>
        <w:pStyle w:val="ListParagraph"/>
        <w:numPr>
          <w:ilvl w:val="0"/>
          <w:numId w:val="2"/>
        </w:numPr>
        <w:spacing w:before="60" w:after="60"/>
      </w:pPr>
      <w:r>
        <w:rPr>
          <w:rFonts w:ascii="Arial" w:cs="Arial" w:eastAsia="Arial" w:hAnsi="Arial"/>
          <w:sz w:val="22"/>
          <w:szCs w:val="22"/>
        </w:rPr>
        <w:t xml:space="preserve">Replay capability: any document can be reprocessed through the pipeline with a specific historical model and prompt version to reproduce a past output.</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10.4  Risk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60" w:after="60"/>
            </w:pPr>
            <w:r>
              <w:rPr>
                <w:rFonts w:ascii="Arial" w:cs="Arial" w:eastAsia="Arial" w:hAnsi="Arial"/>
                <w:b/>
                <w:bCs/>
                <w:color w:val="1F3864"/>
                <w:sz w:val="22"/>
                <w:szCs w:val="22"/>
              </w:rPr>
              <w:t xml:space="preserve">EU AI Act: </w:t>
            </w:r>
            <w:r>
              <w:rPr>
                <w:rFonts w:ascii="Arial" w:cs="Arial" w:eastAsia="Arial" w:hAnsi="Arial"/>
                <w:sz w:val="22"/>
                <w:szCs w:val="22"/>
              </w:rPr>
              <w:t xml:space="preserve">This tool processes biometric and identity data for the purpose of financial crime prevention. It is likely to be classified as high-risk under Annex III of the EU AI Act (biometric categorisation and critical infrastructure). Compliance with human oversight, transparency, and accuracy requirements is mandatory.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60" w:after="60"/>
            </w:pPr>
            <w:r>
              <w:rPr>
                <w:rFonts w:ascii="Arial" w:cs="Arial" w:eastAsia="Arial" w:hAnsi="Arial"/>
                <w:b/>
                <w:bCs/>
                <w:color w:val="1F3864"/>
                <w:sz w:val="22"/>
                <w:szCs w:val="22"/>
              </w:rPr>
              <w:t xml:space="preserve">MRM: </w:t>
            </w:r>
            <w:r>
              <w:rPr>
                <w:rFonts w:ascii="Arial" w:cs="Arial" w:eastAsia="Arial" w:hAnsi="Arial"/>
                <w:sz w:val="22"/>
                <w:szCs w:val="22"/>
              </w:rPr>
              <w:t xml:space="preserve">The LLM component of this tool is subject to model risk management policy. It must be registered, validated, and periodically reviewed. The deterministic and transliteration layers are not subject to MRM but must be documented and version-controlled.</w:t>
            </w:r>
          </w:p>
        </w:tc>
      </w:tr>
    </w:tbl>
    <w:p>
      <w:r>
        <w:br w:type="page"/>
      </w:r>
    </w:p>
    <w:p>
      <w:pPr>
        <w:pStyle w:val="Heading1"/>
        <w:spacing w:before="400" w:after="200"/>
      </w:pPr>
      <w:r>
        <w:rPr>
          <w:rFonts w:ascii="Arial" w:cs="Arial" w:eastAsia="Arial" w:hAnsi="Arial"/>
          <w:b/>
          <w:bCs/>
          <w:color w:val="2E75B6"/>
          <w:sz w:val="32"/>
          <w:szCs w:val="32"/>
        </w:rPr>
        <w:t xml:space="preserve">11  </w:t>
      </w:r>
      <w:r>
        <w:rPr>
          <w:rFonts w:ascii="Arial" w:cs="Arial" w:eastAsia="Arial" w:hAnsi="Arial"/>
          <w:b/>
          <w:bCs/>
          <w:color w:val="1F3864"/>
          <w:sz w:val="32"/>
          <w:szCs w:val="32"/>
        </w:rPr>
        <w:t xml:space="preserve">Build Roadmap</w:t>
      </w:r>
    </w:p>
    <w:p>
      <w:pPr>
        <w:spacing w:before="80" w:after="80"/>
      </w:pPr>
      <w:r>
        <w:rPr>
          <w:rFonts w:ascii="Arial" w:cs="Arial" w:eastAsia="Arial" w:hAnsi="Arial"/>
          <w:sz w:val="22"/>
          <w:szCs w:val="22"/>
        </w:rPr>
        <w:t xml:space="preserve">The tool is built and validated in four phases. Each phase has a defined deliverable and a go/no-go gate before the next phase begins.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000"/>
        <w:gridCol w:w="3500"/>
        <w:gridCol w:w="27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Gate criteria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weeks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Field classification rules; deterministic rules engine; PRESERVE logic; MRZ parser; golden dataset v1 (50 rows)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exact preservation accuracy on golden dataset; field classifier &gt;= 99% accuracy</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Transliteration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 weeks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Transliteration engine for all target scripts; variant generation; OCR integration; golden dataset v2 (100 rows)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Transliteration variant recall &gt;= 99% on golden dataset; all script types covered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Translation and LLM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weeks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MT model integration; LLM prompt library; structured output validation; human review queue integration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Hallucination rate = 0% on golden dataset; translation adequacy &gt;= 0.75 BLEU</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Evaluation and hardening</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 weeks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evaluation script; negative test cases; performance testing; governance documentation; MRM submission</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metrics at or above target thresholds; governance pack complete; MRM approved</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11.1  What is built in each phase</w:t>
      </w:r>
    </w:p>
    <w:p>
      <w:pPr>
        <w:pStyle w:val="Heading3"/>
        <w:spacing w:before="200" w:after="100"/>
      </w:pPr>
      <w:r>
        <w:rPr>
          <w:rFonts w:ascii="Arial" w:cs="Arial" w:eastAsia="Arial" w:hAnsi="Arial"/>
          <w:b/>
          <w:bCs/>
          <w:color w:val="404040"/>
          <w:sz w:val="24"/>
          <w:szCs w:val="24"/>
        </w:rPr>
        <w:t xml:space="preserve">Phase 1 — Foundation</w:t>
      </w:r>
    </w:p>
    <w:p>
      <w:pPr>
        <w:pStyle w:val="ListParagraph"/>
        <w:numPr>
          <w:ilvl w:val="0"/>
          <w:numId w:val="2"/>
        </w:numPr>
        <w:spacing w:before="60" w:after="60"/>
      </w:pPr>
      <w:r>
        <w:rPr>
          <w:rFonts w:ascii="Arial" w:cs="Arial" w:eastAsia="Arial" w:hAnsi="Arial"/>
          <w:sz w:val="22"/>
          <w:szCs w:val="22"/>
        </w:rPr>
        <w:t xml:space="preserve">Python module: field_classifier.py — assigns field_type and treatment to each OCR-extracted value</w:t>
      </w:r>
    </w:p>
    <w:p>
      <w:pPr>
        <w:pStyle w:val="ListParagraph"/>
        <w:numPr>
          <w:ilvl w:val="0"/>
          <w:numId w:val="2"/>
        </w:numPr>
        <w:spacing w:before="60" w:after="60"/>
      </w:pPr>
      <w:r>
        <w:rPr>
          <w:rFonts w:ascii="Arial" w:cs="Arial" w:eastAsia="Arial" w:hAnsi="Arial"/>
          <w:sz w:val="22"/>
          <w:szCs w:val="22"/>
        </w:rPr>
        <w:t xml:space="preserve">Python module: rules_engine.py — applies PRESERVE, date normalisation, MRZ parsing, Unicode normalisation</w:t>
      </w:r>
    </w:p>
    <w:p>
      <w:pPr>
        <w:pStyle w:val="ListParagraph"/>
        <w:numPr>
          <w:ilvl w:val="0"/>
          <w:numId w:val="2"/>
        </w:numPr>
        <w:spacing w:before="60" w:after="60"/>
      </w:pPr>
      <w:r>
        <w:rPr>
          <w:rFonts w:ascii="Arial" w:cs="Arial" w:eastAsia="Arial" w:hAnsi="Arial"/>
          <w:sz w:val="22"/>
          <w:szCs w:val="22"/>
        </w:rPr>
        <w:t xml:space="preserve">Azure AI Document Intelligence integration for OCR</w:t>
      </w:r>
    </w:p>
    <w:p>
      <w:pPr>
        <w:pStyle w:val="ListParagraph"/>
        <w:numPr>
          <w:ilvl w:val="0"/>
          <w:numId w:val="2"/>
        </w:numPr>
        <w:spacing w:before="60" w:after="60"/>
      </w:pPr>
      <w:r>
        <w:rPr>
          <w:rFonts w:ascii="Arial" w:cs="Arial" w:eastAsia="Arial" w:hAnsi="Arial"/>
          <w:sz w:val="22"/>
          <w:szCs w:val="22"/>
        </w:rPr>
        <w:t xml:space="preserve">Output assembler stub — produces partial output records for fields processed by rules only</w:t>
      </w:r>
    </w:p>
    <w:p>
      <w:pPr>
        <w:pStyle w:val="ListParagraph"/>
        <w:numPr>
          <w:ilvl w:val="0"/>
          <w:numId w:val="2"/>
        </w:numPr>
        <w:spacing w:before="60" w:after="60"/>
      </w:pPr>
      <w:r>
        <w:rPr>
          <w:rFonts w:ascii="Arial" w:cs="Arial" w:eastAsia="Arial" w:hAnsi="Arial"/>
          <w:sz w:val="22"/>
          <w:szCs w:val="22"/>
        </w:rPr>
        <w:t xml:space="preserve">Golden dataset v1 CSV — 50 rows covering Latin, Arabic, Cyrillic, Chinese, and Japanese; all field types; preserve cases included</w:t>
      </w:r>
    </w:p>
    <w:p>
      <w:pPr>
        <w:pStyle w:val="ListParagraph"/>
        <w:numPr>
          <w:ilvl w:val="0"/>
          <w:numId w:val="2"/>
        </w:numPr>
        <w:spacing w:before="60" w:after="60"/>
      </w:pPr>
      <w:r>
        <w:rPr>
          <w:rFonts w:ascii="Arial" w:cs="Arial" w:eastAsia="Arial" w:hAnsi="Arial"/>
          <w:sz w:val="22"/>
          <w:szCs w:val="22"/>
        </w:rPr>
        <w:t xml:space="preserve">Evaluation script v1 — exact match accuracy; field classification accuracy</w:t>
      </w:r>
    </w:p>
    <w:p>
      <w:pPr>
        <w:spacing w:before="80" w:after="80"/>
      </w:pPr>
      <w:r>
        <w:t xml:space="preserve"/>
      </w:r>
    </w:p>
    <w:p>
      <w:pPr>
        <w:pStyle w:val="Heading3"/>
        <w:spacing w:before="200" w:after="100"/>
      </w:pPr>
      <w:r>
        <w:rPr>
          <w:rFonts w:ascii="Arial" w:cs="Arial" w:eastAsia="Arial" w:hAnsi="Arial"/>
          <w:b/>
          <w:bCs/>
          <w:color w:val="404040"/>
          <w:sz w:val="24"/>
          <w:szCs w:val="24"/>
        </w:rPr>
        <w:t xml:space="preserve">Phase 2 — Transliteration</w:t>
      </w:r>
    </w:p>
    <w:p>
      <w:pPr>
        <w:pStyle w:val="ListParagraph"/>
        <w:numPr>
          <w:ilvl w:val="0"/>
          <w:numId w:val="2"/>
        </w:numPr>
        <w:spacing w:before="60" w:after="60"/>
      </w:pPr>
      <w:r>
        <w:rPr>
          <w:rFonts w:ascii="Arial" w:cs="Arial" w:eastAsia="Arial" w:hAnsi="Arial"/>
          <w:sz w:val="22"/>
          <w:szCs w:val="22"/>
        </w:rPr>
        <w:t xml:space="preserve">Python module: transliteration_engine.py — script detection and routing to per-script transliteration functions</w:t>
      </w:r>
    </w:p>
    <w:p>
      <w:pPr>
        <w:pStyle w:val="ListParagraph"/>
        <w:numPr>
          <w:ilvl w:val="0"/>
          <w:numId w:val="2"/>
        </w:numPr>
        <w:spacing w:before="60" w:after="60"/>
      </w:pPr>
      <w:r>
        <w:rPr>
          <w:rFonts w:ascii="Arial" w:cs="Arial" w:eastAsia="Arial" w:hAnsi="Arial"/>
          <w:sz w:val="22"/>
          <w:szCs w:val="22"/>
        </w:rPr>
        <w:t xml:space="preserve">ICAO-aligned transliteration for Arabic, Russian Cyrillic, Ukrainian Cyrillic, Japanese (Hepburn), Korean (RR and MR), Chinese (Pinyin), Thai (RTGS), Greek, Hebrew, Hindi (ISO 15919)</w:t>
      </w:r>
    </w:p>
    <w:p>
      <w:pPr>
        <w:pStyle w:val="ListParagraph"/>
        <w:numPr>
          <w:ilvl w:val="0"/>
          <w:numId w:val="2"/>
        </w:numPr>
        <w:spacing w:before="60" w:after="60"/>
      </w:pPr>
      <w:r>
        <w:rPr>
          <w:rFonts w:ascii="Arial" w:cs="Arial" w:eastAsia="Arial" w:hAnsi="Arial"/>
          <w:sz w:val="22"/>
          <w:szCs w:val="22"/>
        </w:rPr>
        <w:t xml:space="preserve">Variant generator — produces allowed_variants list per name field</w:t>
      </w:r>
    </w:p>
    <w:p>
      <w:pPr>
        <w:pStyle w:val="ListParagraph"/>
        <w:numPr>
          <w:ilvl w:val="0"/>
          <w:numId w:val="2"/>
        </w:numPr>
        <w:spacing w:before="60" w:after="60"/>
      </w:pPr>
      <w:r>
        <w:rPr>
          <w:rFonts w:ascii="Arial" w:cs="Arial" w:eastAsia="Arial" w:hAnsi="Arial"/>
          <w:sz w:val="22"/>
          <w:szCs w:val="22"/>
        </w:rPr>
        <w:t xml:space="preserve">Golden dataset v2 — extended to 100 rows; includes patronymics, compound surnames, alias cases, name order cases</w:t>
      </w:r>
    </w:p>
    <w:p>
      <w:pPr>
        <w:pStyle w:val="ListParagraph"/>
        <w:numPr>
          <w:ilvl w:val="0"/>
          <w:numId w:val="2"/>
        </w:numPr>
        <w:spacing w:before="60" w:after="60"/>
      </w:pPr>
      <w:r>
        <w:rPr>
          <w:rFonts w:ascii="Arial" w:cs="Arial" w:eastAsia="Arial" w:hAnsi="Arial"/>
          <w:sz w:val="22"/>
          <w:szCs w:val="22"/>
        </w:rPr>
        <w:t xml:space="preserve">Evaluation script v2 — adds transliteration accuracy (primary and variant set)</w:t>
      </w:r>
    </w:p>
    <w:p>
      <w:pPr>
        <w:spacing w:before="80" w:after="80"/>
      </w:pPr>
      <w:r>
        <w:t xml:space="preserve"/>
      </w:r>
    </w:p>
    <w:p>
      <w:pPr>
        <w:pStyle w:val="Heading3"/>
        <w:spacing w:before="200" w:after="100"/>
      </w:pPr>
      <w:r>
        <w:rPr>
          <w:rFonts w:ascii="Arial" w:cs="Arial" w:eastAsia="Arial" w:hAnsi="Arial"/>
          <w:b/>
          <w:bCs/>
          <w:color w:val="404040"/>
          <w:sz w:val="24"/>
          <w:szCs w:val="24"/>
        </w:rPr>
        <w:t xml:space="preserve">Phase 3 — Translation and LLM</w:t>
      </w:r>
    </w:p>
    <w:p>
      <w:pPr>
        <w:pStyle w:val="ListParagraph"/>
        <w:numPr>
          <w:ilvl w:val="0"/>
          <w:numId w:val="2"/>
        </w:numPr>
        <w:spacing w:before="60" w:after="60"/>
      </w:pPr>
      <w:r>
        <w:rPr>
          <w:rFonts w:ascii="Arial" w:cs="Arial" w:eastAsia="Arial" w:hAnsi="Arial"/>
          <w:sz w:val="22"/>
          <w:szCs w:val="22"/>
        </w:rPr>
        <w:t xml:space="preserve">MarianMT / OPUS-MT integration for offline MT baseline</w:t>
      </w:r>
    </w:p>
    <w:p>
      <w:pPr>
        <w:pStyle w:val="ListParagraph"/>
        <w:numPr>
          <w:ilvl w:val="0"/>
          <w:numId w:val="2"/>
        </w:numPr>
        <w:spacing w:before="60" w:after="60"/>
      </w:pPr>
      <w:r>
        <w:rPr>
          <w:rFonts w:ascii="Arial" w:cs="Arial" w:eastAsia="Arial" w:hAnsi="Arial"/>
          <w:sz w:val="22"/>
          <w:szCs w:val="22"/>
        </w:rPr>
        <w:t xml:space="preserve">Azure OpenAI pinned deployment configuration</w:t>
      </w:r>
    </w:p>
    <w:p>
      <w:pPr>
        <w:pStyle w:val="ListParagraph"/>
        <w:numPr>
          <w:ilvl w:val="0"/>
          <w:numId w:val="2"/>
        </w:numPr>
        <w:spacing w:before="60" w:after="60"/>
      </w:pPr>
      <w:r>
        <w:rPr>
          <w:rFonts w:ascii="Arial" w:cs="Arial" w:eastAsia="Arial" w:hAnsi="Arial"/>
          <w:sz w:val="22"/>
          <w:szCs w:val="22"/>
        </w:rPr>
        <w:t xml:space="preserve">YAML prompt library: PROMPT-01 through PROMPT-05 with input/output schemas and examples</w:t>
      </w:r>
    </w:p>
    <w:p>
      <w:pPr>
        <w:pStyle w:val="ListParagraph"/>
        <w:numPr>
          <w:ilvl w:val="0"/>
          <w:numId w:val="2"/>
        </w:numPr>
        <w:spacing w:before="60" w:after="60"/>
      </w:pPr>
      <w:r>
        <w:rPr>
          <w:rFonts w:ascii="Arial" w:cs="Arial" w:eastAsia="Arial" w:hAnsi="Arial"/>
          <w:sz w:val="22"/>
          <w:szCs w:val="22"/>
        </w:rPr>
        <w:t xml:space="preserve">Prompt router — determines whether to call MT model or LLM based on field type and MT confidence</w:t>
      </w:r>
    </w:p>
    <w:p>
      <w:pPr>
        <w:pStyle w:val="ListParagraph"/>
        <w:numPr>
          <w:ilvl w:val="0"/>
          <w:numId w:val="2"/>
        </w:numPr>
        <w:spacing w:before="60" w:after="60"/>
      </w:pPr>
      <w:r>
        <w:rPr>
          <w:rFonts w:ascii="Arial" w:cs="Arial" w:eastAsia="Arial" w:hAnsi="Arial"/>
          <w:sz w:val="22"/>
          <w:szCs w:val="22"/>
        </w:rPr>
        <w:t xml:space="preserve">JSON schema validator for all LLM outputs</w:t>
      </w:r>
    </w:p>
    <w:p>
      <w:pPr>
        <w:pStyle w:val="ListParagraph"/>
        <w:numPr>
          <w:ilvl w:val="0"/>
          <w:numId w:val="2"/>
        </w:numPr>
        <w:spacing w:before="60" w:after="60"/>
      </w:pPr>
      <w:r>
        <w:rPr>
          <w:rFonts w:ascii="Arial" w:cs="Arial" w:eastAsia="Arial" w:hAnsi="Arial"/>
          <w:sz w:val="22"/>
          <w:szCs w:val="22"/>
        </w:rPr>
        <w:t xml:space="preserve">Human review queue integration</w:t>
      </w:r>
    </w:p>
    <w:p>
      <w:pPr>
        <w:pStyle w:val="ListParagraph"/>
        <w:numPr>
          <w:ilvl w:val="0"/>
          <w:numId w:val="2"/>
        </w:numPr>
        <w:spacing w:before="60" w:after="60"/>
      </w:pPr>
      <w:r>
        <w:rPr>
          <w:rFonts w:ascii="Arial" w:cs="Arial" w:eastAsia="Arial" w:hAnsi="Arial"/>
          <w:sz w:val="22"/>
          <w:szCs w:val="22"/>
        </w:rPr>
        <w:t xml:space="preserve">Full output assembler — produces complete output records</w:t>
      </w:r>
    </w:p>
    <w:p>
      <w:pPr>
        <w:spacing w:before="80" w:after="80"/>
      </w:pPr>
      <w:r>
        <w:t xml:space="preserve"/>
      </w:r>
    </w:p>
    <w:p>
      <w:pPr>
        <w:pStyle w:val="Heading3"/>
        <w:spacing w:before="200" w:after="100"/>
      </w:pPr>
      <w:r>
        <w:rPr>
          <w:rFonts w:ascii="Arial" w:cs="Arial" w:eastAsia="Arial" w:hAnsi="Arial"/>
          <w:b/>
          <w:bCs/>
          <w:color w:val="404040"/>
          <w:sz w:val="24"/>
          <w:szCs w:val="24"/>
        </w:rPr>
        <w:t xml:space="preserve">Phase 4 — Evaluation and hardening</w:t>
      </w:r>
    </w:p>
    <w:p>
      <w:pPr>
        <w:pStyle w:val="ListParagraph"/>
        <w:numPr>
          <w:ilvl w:val="0"/>
          <w:numId w:val="2"/>
        </w:numPr>
        <w:spacing w:before="60" w:after="60"/>
      </w:pPr>
      <w:r>
        <w:rPr>
          <w:rFonts w:ascii="Arial" w:cs="Arial" w:eastAsia="Arial" w:hAnsi="Arial"/>
          <w:sz w:val="22"/>
          <w:szCs w:val="22"/>
        </w:rPr>
        <w:t xml:space="preserve">Negative test cases added to golden dataset</w:t>
      </w:r>
    </w:p>
    <w:p>
      <w:pPr>
        <w:pStyle w:val="ListParagraph"/>
        <w:numPr>
          <w:ilvl w:val="0"/>
          <w:numId w:val="2"/>
        </w:numPr>
        <w:spacing w:before="60" w:after="60"/>
      </w:pPr>
      <w:r>
        <w:rPr>
          <w:rFonts w:ascii="Arial" w:cs="Arial" w:eastAsia="Arial" w:hAnsi="Arial"/>
          <w:sz w:val="22"/>
          <w:szCs w:val="22"/>
        </w:rPr>
        <w:t xml:space="preserve">Degraded OCR simulation test cases</w:t>
      </w:r>
    </w:p>
    <w:p>
      <w:pPr>
        <w:pStyle w:val="ListParagraph"/>
        <w:numPr>
          <w:ilvl w:val="0"/>
          <w:numId w:val="2"/>
        </w:numPr>
        <w:spacing w:before="60" w:after="60"/>
      </w:pPr>
      <w:r>
        <w:rPr>
          <w:rFonts w:ascii="Arial" w:cs="Arial" w:eastAsia="Arial" w:hAnsi="Arial"/>
          <w:sz w:val="22"/>
          <w:szCs w:val="22"/>
        </w:rPr>
        <w:t xml:space="preserve">Performance and load testing</w:t>
      </w:r>
    </w:p>
    <w:p>
      <w:pPr>
        <w:pStyle w:val="ListParagraph"/>
        <w:numPr>
          <w:ilvl w:val="0"/>
          <w:numId w:val="2"/>
        </w:numPr>
        <w:spacing w:before="60" w:after="60"/>
      </w:pPr>
      <w:r>
        <w:rPr>
          <w:rFonts w:ascii="Arial" w:cs="Arial" w:eastAsia="Arial" w:hAnsi="Arial"/>
          <w:sz w:val="22"/>
          <w:szCs w:val="22"/>
        </w:rPr>
        <w:t xml:space="preserve">Audit log validation — verify immutability and replay capability</w:t>
      </w:r>
    </w:p>
    <w:p>
      <w:pPr>
        <w:pStyle w:val="ListParagraph"/>
        <w:numPr>
          <w:ilvl w:val="0"/>
          <w:numId w:val="2"/>
        </w:numPr>
        <w:spacing w:before="60" w:after="60"/>
      </w:pPr>
      <w:r>
        <w:rPr>
          <w:rFonts w:ascii="Arial" w:cs="Arial" w:eastAsia="Arial" w:hAnsi="Arial"/>
          <w:sz w:val="22"/>
          <w:szCs w:val="22"/>
        </w:rPr>
        <w:t xml:space="preserve">Full governance documentation — risk register, MRM submission, EU AI Act checklist</w:t>
      </w:r>
    </w:p>
    <w:p>
      <w:pPr>
        <w:pStyle w:val="ListParagraph"/>
        <w:numPr>
          <w:ilvl w:val="0"/>
          <w:numId w:val="2"/>
        </w:numPr>
        <w:spacing w:before="60" w:after="60"/>
      </w:pPr>
      <w:r>
        <w:rPr>
          <w:rFonts w:ascii="Arial" w:cs="Arial" w:eastAsia="Arial" w:hAnsi="Arial"/>
          <w:sz w:val="22"/>
          <w:szCs w:val="22"/>
        </w:rPr>
        <w:t xml:space="preserve">Operational runbook — model upgrade process, drift detection, incident response</w:t>
      </w:r>
    </w:p>
    <w:p>
      <w:r>
        <w:br w:type="page"/>
      </w:r>
    </w:p>
    <w:p>
      <w:pPr>
        <w:pStyle w:val="Heading1"/>
        <w:spacing w:before="400" w:after="200"/>
      </w:pPr>
      <w:r>
        <w:rPr>
          <w:rFonts w:ascii="Arial" w:cs="Arial" w:eastAsia="Arial" w:hAnsi="Arial"/>
          <w:b/>
          <w:bCs/>
          <w:color w:val="2E75B6"/>
          <w:sz w:val="32"/>
          <w:szCs w:val="32"/>
        </w:rPr>
        <w:t xml:space="preserve">12  </w:t>
      </w:r>
      <w:r>
        <w:rPr>
          <w:rFonts w:ascii="Arial" w:cs="Arial" w:eastAsia="Arial" w:hAnsi="Arial"/>
          <w:b/>
          <w:bCs/>
          <w:color w:val="1F3864"/>
          <w:sz w:val="32"/>
          <w:szCs w:val="32"/>
        </w:rPr>
        <w:t xml:space="preserve">Decision Framework: Build vs Buy vs Hybrid</w:t>
      </w:r>
    </w:p>
    <w:p>
      <w:pPr>
        <w:spacing w:before="80" w:after="80"/>
      </w:pPr>
      <w:r>
        <w:rPr>
          <w:rFonts w:ascii="Arial" w:cs="Arial" w:eastAsia="Arial" w:hAnsi="Arial"/>
          <w:sz w:val="22"/>
          <w:szCs w:val="22"/>
        </w:rPr>
        <w:t xml:space="preserve">This section supports the procurement and architecture decision. The tool can be implemented as a fully in-house build, as a vendor platform, or as a hybrid. The decision depends on volume, control requirements, and budget.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000"/>
        <w:gridCol w:w="2000"/>
        <w:gridCol w:w="206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Advantages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Risks</w:t>
            </w:r>
          </w:p>
        </w:tc>
        <w:tc>
          <w:tcPr>
            <w:tcW w:type="dxa" w:w="2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Recommended for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Vendor platform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managed KYC platform (Sumsub, Jumio, AU10TIX, Entrust, Veriff, Trulioo)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deployment; pre-certified; broad document coverage; AML integration available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Black-box processing; limited audit transparency; vendor dependency; cost at scale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High-volume onboarding with standard document types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In-house build (full)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layers built internally as described in this document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control; auditability; model independence; tailored to bank-specific workflows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Higher build time; requires specialist NLP and MLOps capability</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Where audit transparency and bespoke workflow integration are mandatory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Hybrid (recommended)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Vendor platform for document verification and OCR; in-house pipeline for normalisation, transliteration, and screening integration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of both: vendor handles OCR complexity; bank retains control over identity normalisation and screening logic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 complexity; dual vendor and internal support model</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 financial institutions with both onboarding and ongoing AML monitoring needs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60" w:after="60"/>
            </w:pPr>
            <w:r>
              <w:rPr>
                <w:rFonts w:ascii="Arial" w:cs="Arial" w:eastAsia="Arial" w:hAnsi="Arial"/>
                <w:b/>
                <w:bCs/>
                <w:color w:val="1F3864"/>
                <w:sz w:val="22"/>
                <w:szCs w:val="22"/>
              </w:rPr>
              <w:t xml:space="preserve">Recommendation: </w:t>
            </w:r>
            <w:r>
              <w:rPr>
                <w:rFonts w:ascii="Arial" w:cs="Arial" w:eastAsia="Arial" w:hAnsi="Arial"/>
                <w:sz w:val="22"/>
                <w:szCs w:val="22"/>
              </w:rPr>
              <w:t xml:space="preserve">Adopt the hybrid approach. Use a vendor platform (shortlist: Sumsub, Entrust, AU10TIX) for document intake and OCR. Build the normalisation, transliteration, LLM enrichment, and evaluation layers in-house as described in this document. This gives the bank full control over the identity normalisation logic while leveraging vendor investment in document type coverage and OCR.</w:t>
            </w:r>
          </w:p>
        </w:tc>
      </w:tr>
    </w:tbl>
    <w:p>
      <w:pPr>
        <w:spacing w:before="80" w:after="80"/>
      </w:pPr>
      <w:r>
        <w:t xml:space="preserve"/>
      </w:r>
    </w:p>
    <w:p>
      <w:pPr>
        <w:spacing w:before="80" w:after="80"/>
      </w:pPr>
      <w:r>
        <w:t xml:space="preserve"/>
      </w:r>
    </w:p>
    <w:p>
      <w:pPr>
        <w:pBdr>
          <w:bottom w:val="single" w:color="2E75B6" w:sz="4" w:space="1"/>
        </w:pBdr>
        <w:spacing w:before="160" w:after="160"/>
      </w:pPr>
      <w:r>
        <w:t xml:space="preserve"/>
      </w:r>
    </w:p>
    <w:p>
      <w:pPr>
        <w:spacing w:before="160" w:after="80"/>
        <w:jc w:val="center"/>
      </w:pPr>
      <w:r>
        <w:rPr>
          <w:rFonts w:ascii="Arial" w:cs="Arial" w:eastAsia="Arial" w:hAnsi="Arial"/>
          <w:i/>
          <w:iCs/>
          <w:color w:val="888888"/>
          <w:sz w:val="20"/>
          <w:szCs w:val="20"/>
        </w:rPr>
        <w:t xml:space="preserve">End of document</w:t>
      </w:r>
    </w:p>
    <w:p>
      <w:pPr>
        <w:spacing w:before="40" w:after="40"/>
        <w:jc w:val="center"/>
      </w:pPr>
      <w:r>
        <w:rPr>
          <w:rFonts w:ascii="Arial" w:cs="Arial" w:eastAsia="Arial" w:hAnsi="Arial"/>
          <w:color w:val="AAAAAA"/>
          <w:sz w:val="18"/>
          <w:szCs w:val="18"/>
        </w:rPr>
        <w:t xml:space="preserve">Multilingual Identity Normalisation for KYC/AML  |  Version 1.0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2026-03-19T18:01:03.701Z</dcterms:created>
  <dcterms:modified xsi:type="dcterms:W3CDTF">2026-03-19T18:01:03.702Z</dcterms:modified>
</cp:coreProperties>
</file>

<file path=docProps/custom.xml><?xml version="1.0" encoding="utf-8"?>
<Properties xmlns="http://schemas.openxmlformats.org/officeDocument/2006/custom-properties" xmlns:vt="http://schemas.openxmlformats.org/officeDocument/2006/docPropsVTypes"/>
</file>