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normal2"/>
        <w:tblW w:w="8494" w:type="dxa"/>
        <w:tblLook w:val="04A0" w:firstRow="1" w:lastRow="0" w:firstColumn="1" w:lastColumn="0" w:noHBand="0" w:noVBand="1"/>
      </w:tblPr>
      <w:tblGrid>
        <w:gridCol w:w="1788"/>
        <w:gridCol w:w="3499"/>
        <w:gridCol w:w="3207"/>
      </w:tblGrid>
      <w:tr w:rsidR="00B13050" w:rsidRPr="00B13050" w14:paraId="5A17B8D8" w14:textId="77777777" w:rsidTr="00B13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EE135C" w14:textId="77777777" w:rsidR="00B13050" w:rsidRPr="00B13050" w:rsidRDefault="00B13050" w:rsidP="00B13050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Aspecto Comparado</w:t>
            </w:r>
          </w:p>
        </w:tc>
        <w:tc>
          <w:tcPr>
            <w:tcW w:w="0" w:type="auto"/>
            <w:hideMark/>
          </w:tcPr>
          <w:p w14:paraId="066994FB" w14:textId="2B4D59DF" w:rsidR="00B13050" w:rsidRPr="00B13050" w:rsidRDefault="00B13050" w:rsidP="00B13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 xml:space="preserve">Certificado Cubano (Laboratorio </w:t>
            </w:r>
            <w:proofErr w:type="spellStart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ICooMet</w:t>
            </w:r>
            <w:proofErr w:type="spellEnd"/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1B850B85" w14:textId="77777777" w:rsidR="00B13050" w:rsidRPr="00B13050" w:rsidRDefault="00B13050" w:rsidP="00B13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Certificado Estadounidense (S.E. International, Inc.)</w:t>
            </w:r>
          </w:p>
        </w:tc>
      </w:tr>
      <w:tr w:rsidR="00B13050" w:rsidRPr="00B13050" w14:paraId="05DE4EE1" w14:textId="77777777" w:rsidTr="00B13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5B1B13E7" w14:textId="77777777" w:rsidR="00B13050" w:rsidRPr="00B13050" w:rsidRDefault="00B13050" w:rsidP="00B13050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Normas y Trazabilidad</w:t>
            </w:r>
          </w:p>
        </w:tc>
        <w:tc>
          <w:tcPr>
            <w:tcW w:w="0" w:type="auto"/>
            <w:hideMark/>
          </w:tcPr>
          <w:p w14:paraId="38D7722A" w14:textId="77777777" w:rsidR="00B13050" w:rsidRPr="00B13050" w:rsidRDefault="00B13050" w:rsidP="00B13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Normas: PR/LSCD/15 y reporte técnico No. 16 del OIEA (Recomendaciones del OIEA). Faltan: Referencias a ANSI/NCSL Z540-1 o ANSI N323-1978.</w:t>
            </w:r>
          </w:p>
        </w:tc>
        <w:tc>
          <w:tcPr>
            <w:tcW w:w="0" w:type="auto"/>
            <w:hideMark/>
          </w:tcPr>
          <w:p w14:paraId="3C4388A7" w14:textId="77777777" w:rsidR="00B13050" w:rsidRPr="00B13050" w:rsidRDefault="00B13050" w:rsidP="00B13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pt-PT" w:eastAsia="es-DO"/>
                <w14:ligatures w14:val="none"/>
              </w:rPr>
            </w:pP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val="pt-PT" w:eastAsia="es-DO"/>
                <w14:ligatures w14:val="none"/>
              </w:rPr>
              <w:t>Normas: ANSI/NCSL Z540-1, ANSI N323-1978 e ISO 17025 (Cumple explícitamente).</w:t>
            </w:r>
          </w:p>
        </w:tc>
      </w:tr>
      <w:tr w:rsidR="00B13050" w:rsidRPr="00B13050" w14:paraId="0EA15133" w14:textId="77777777" w:rsidTr="00B1305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C84C9E8" w14:textId="77777777" w:rsidR="00B13050" w:rsidRPr="00B13050" w:rsidRDefault="00B13050" w:rsidP="00B13050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pt-PT" w:eastAsia="es-DO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D429DA6" w14:textId="77777777" w:rsidR="00B13050" w:rsidRPr="00B13050" w:rsidRDefault="00B13050" w:rsidP="00B13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 xml:space="preserve">Trazabilidad: BIPM (Patrón Primario) y laboratorio de dosimetría del OIEA. </w:t>
            </w: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highlight w:val="yellow"/>
                <w:lang w:eastAsia="es-DO"/>
                <w14:ligatures w14:val="none"/>
              </w:rPr>
              <w:t>Falta: Trazabilidad al NIST</w:t>
            </w: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0FA6D761" w14:textId="77777777" w:rsidR="00B13050" w:rsidRPr="00B13050" w:rsidRDefault="00B13050" w:rsidP="00B13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Trazabilidad: NIST.</w:t>
            </w:r>
          </w:p>
        </w:tc>
      </w:tr>
      <w:tr w:rsidR="00B13050" w:rsidRPr="00B13050" w14:paraId="360E5B13" w14:textId="77777777" w:rsidTr="00B13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DB4C467" w14:textId="77777777" w:rsidR="00B13050" w:rsidRPr="00B13050" w:rsidRDefault="00B13050" w:rsidP="00B13050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ADF8A11" w14:textId="6D0C39E6" w:rsidR="00B13050" w:rsidRPr="00B13050" w:rsidRDefault="00B13050" w:rsidP="00B13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 xml:space="preserve">Cumplimiento ISO 17025: No se especifica su cumplimiento </w:t>
            </w: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highlight w:val="yellow"/>
                <w:lang w:eastAsia="es-DO"/>
                <w14:ligatures w14:val="none"/>
              </w:rPr>
              <w:t xml:space="preserve">(Elemento faltante </w:t>
            </w: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highlight w:val="yellow"/>
                <w:lang w:eastAsia="es-DO"/>
                <w14:ligatures w14:val="none"/>
              </w:rPr>
              <w:t>relevante</w:t>
            </w: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highlight w:val="yellow"/>
                <w:lang w:eastAsia="es-DO"/>
                <w14:ligatures w14:val="none"/>
              </w:rPr>
              <w:t>).</w:t>
            </w:r>
          </w:p>
        </w:tc>
        <w:tc>
          <w:tcPr>
            <w:tcW w:w="0" w:type="auto"/>
            <w:hideMark/>
          </w:tcPr>
          <w:p w14:paraId="6CC0A888" w14:textId="77777777" w:rsidR="00B13050" w:rsidRPr="00B13050" w:rsidRDefault="00B13050" w:rsidP="00B13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Cumplimiento ISO 17025: Sí (Mencionado explícitamente).</w:t>
            </w:r>
          </w:p>
        </w:tc>
      </w:tr>
      <w:tr w:rsidR="00B13050" w:rsidRPr="00B13050" w14:paraId="2D7F65AD" w14:textId="77777777" w:rsidTr="00B1305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5FC8B082" w14:textId="77777777" w:rsidR="00B13050" w:rsidRPr="00B13050" w:rsidRDefault="00B13050" w:rsidP="00B13050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Instrumento Calibrado</w:t>
            </w:r>
          </w:p>
        </w:tc>
        <w:tc>
          <w:tcPr>
            <w:tcW w:w="0" w:type="auto"/>
            <w:hideMark/>
          </w:tcPr>
          <w:p w14:paraId="31284571" w14:textId="77777777" w:rsidR="00B13050" w:rsidRPr="00B13050" w:rsidRDefault="00B13050" w:rsidP="00B13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Tipo: Dosímetro de área.</w:t>
            </w:r>
          </w:p>
        </w:tc>
        <w:tc>
          <w:tcPr>
            <w:tcW w:w="0" w:type="auto"/>
            <w:hideMark/>
          </w:tcPr>
          <w:p w14:paraId="70FCCE33" w14:textId="77777777" w:rsidR="00B13050" w:rsidRPr="00B13050" w:rsidRDefault="00B13050" w:rsidP="00B13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Tipo: Medidor de tasa de alarma.</w:t>
            </w:r>
          </w:p>
        </w:tc>
      </w:tr>
      <w:tr w:rsidR="00B13050" w:rsidRPr="00B13050" w14:paraId="0CB4F816" w14:textId="77777777" w:rsidTr="00B13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B6C6E19" w14:textId="77777777" w:rsidR="00B13050" w:rsidRPr="00B13050" w:rsidRDefault="00B13050" w:rsidP="00B13050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9C87D29" w14:textId="77777777" w:rsidR="00B13050" w:rsidRPr="00B13050" w:rsidRDefault="00B13050" w:rsidP="00B13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 xml:space="preserve">Modelo/Fabricante: RDS-30 (RADOS </w:t>
            </w:r>
            <w:proofErr w:type="spellStart"/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Technology</w:t>
            </w:r>
            <w:proofErr w:type="spellEnd"/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 xml:space="preserve"> </w:t>
            </w:r>
            <w:proofErr w:type="spellStart"/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Oy</w:t>
            </w:r>
            <w:proofErr w:type="spellEnd"/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).</w:t>
            </w:r>
          </w:p>
        </w:tc>
        <w:tc>
          <w:tcPr>
            <w:tcW w:w="0" w:type="auto"/>
            <w:hideMark/>
          </w:tcPr>
          <w:p w14:paraId="7B76840E" w14:textId="77777777" w:rsidR="00B13050" w:rsidRPr="00B13050" w:rsidRDefault="00B13050" w:rsidP="00B13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Modelo/Detector: GM modelo Ranger con detector interno.</w:t>
            </w:r>
          </w:p>
        </w:tc>
      </w:tr>
      <w:tr w:rsidR="00B13050" w:rsidRPr="00B13050" w14:paraId="42EED8C3" w14:textId="77777777" w:rsidTr="00B1305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9E2628" w14:textId="77777777" w:rsidR="00B13050" w:rsidRPr="00B13050" w:rsidRDefault="00B13050" w:rsidP="00B13050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Método de Calibración</w:t>
            </w:r>
          </w:p>
        </w:tc>
        <w:tc>
          <w:tcPr>
            <w:tcW w:w="0" w:type="auto"/>
            <w:hideMark/>
          </w:tcPr>
          <w:p w14:paraId="6F2A8EEA" w14:textId="77777777" w:rsidR="00B13050" w:rsidRPr="00B13050" w:rsidRDefault="00B13050" w:rsidP="00B13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Uso de un campo calibrado de Cs-137; el instrumento es ajustado electrónicamente si es necesario.</w:t>
            </w:r>
          </w:p>
        </w:tc>
        <w:tc>
          <w:tcPr>
            <w:tcW w:w="0" w:type="auto"/>
            <w:hideMark/>
          </w:tcPr>
          <w:p w14:paraId="4EB9A4A9" w14:textId="77777777" w:rsidR="00B13050" w:rsidRPr="00B13050" w:rsidRDefault="00B13050" w:rsidP="00B13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 xml:space="preserve">Uso de un calibrador de rayos gamma Cs-137 (662 </w:t>
            </w:r>
            <w:proofErr w:type="spellStart"/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keV</w:t>
            </w:r>
            <w:proofErr w:type="spellEnd"/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); detectores posicionados perpendicularmente a la fuente.</w:t>
            </w:r>
          </w:p>
        </w:tc>
      </w:tr>
      <w:tr w:rsidR="00B13050" w:rsidRPr="00B13050" w14:paraId="5BC75E8C" w14:textId="77777777" w:rsidTr="00B13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FE83DC" w14:textId="77777777" w:rsidR="00B13050" w:rsidRPr="00B13050" w:rsidRDefault="00B13050" w:rsidP="00B13050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Incertidumbre</w:t>
            </w:r>
          </w:p>
        </w:tc>
        <w:tc>
          <w:tcPr>
            <w:tcW w:w="0" w:type="auto"/>
            <w:hideMark/>
          </w:tcPr>
          <w:p w14:paraId="421572A7" w14:textId="77777777" w:rsidR="00B13050" w:rsidRPr="00B13050" w:rsidRDefault="00B13050" w:rsidP="00B13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 xml:space="preserve">Incertidumbre expandida con factor de cobertura K=2 (Nivel de confianza del 95%). </w:t>
            </w: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highlight w:val="yellow"/>
                <w:lang w:eastAsia="es-DO"/>
                <w14:ligatures w14:val="none"/>
              </w:rPr>
              <w:t>Mejora Sugerida: Mayor detalle sobre los métodos de evaluación de incertidumbre.</w:t>
            </w:r>
          </w:p>
        </w:tc>
        <w:tc>
          <w:tcPr>
            <w:tcW w:w="0" w:type="auto"/>
            <w:hideMark/>
          </w:tcPr>
          <w:p w14:paraId="4BDC4171" w14:textId="77777777" w:rsidR="00B13050" w:rsidRPr="00B13050" w:rsidRDefault="00B13050" w:rsidP="00B13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Incertidumbre de ±5% en las mediciones.</w:t>
            </w:r>
          </w:p>
        </w:tc>
      </w:tr>
      <w:tr w:rsidR="00B13050" w:rsidRPr="00B13050" w14:paraId="4D0AC7AD" w14:textId="77777777" w:rsidTr="00B1305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82FA2D" w14:textId="77777777" w:rsidR="00B13050" w:rsidRPr="00B13050" w:rsidRDefault="00B13050" w:rsidP="00B13050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Condiciones Ambientales</w:t>
            </w:r>
          </w:p>
        </w:tc>
        <w:tc>
          <w:tcPr>
            <w:tcW w:w="0" w:type="auto"/>
            <w:hideMark/>
          </w:tcPr>
          <w:p w14:paraId="5DC4579A" w14:textId="77777777" w:rsidR="00B13050" w:rsidRPr="00B13050" w:rsidRDefault="00B13050" w:rsidP="00B13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 xml:space="preserve">Temperatura: 25 </w:t>
            </w:r>
            <w:proofErr w:type="spellStart"/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ºC</w:t>
            </w:r>
            <w:proofErr w:type="spellEnd"/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, Presión: 1000,02 kPa, Humedad Relativa: 30%.</w:t>
            </w:r>
          </w:p>
        </w:tc>
        <w:tc>
          <w:tcPr>
            <w:tcW w:w="0" w:type="auto"/>
            <w:hideMark/>
          </w:tcPr>
          <w:p w14:paraId="5061A52E" w14:textId="77777777" w:rsidR="00B13050" w:rsidRPr="00B13050" w:rsidRDefault="00B13050" w:rsidP="00B13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 xml:space="preserve">Temperatura: 22.7 </w:t>
            </w:r>
            <w:proofErr w:type="spellStart"/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ºC</w:t>
            </w:r>
            <w:proofErr w:type="spellEnd"/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 xml:space="preserve">, Presión: 731 </w:t>
            </w:r>
            <w:proofErr w:type="spellStart"/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mmHg</w:t>
            </w:r>
            <w:proofErr w:type="spellEnd"/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, Humedad Relativa: 50.8%.</w:t>
            </w:r>
          </w:p>
        </w:tc>
      </w:tr>
      <w:tr w:rsidR="00B13050" w:rsidRPr="00B13050" w14:paraId="191E40A1" w14:textId="77777777" w:rsidTr="00B13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9B1C41" w14:textId="77777777" w:rsidR="00B13050" w:rsidRPr="00B13050" w:rsidRDefault="00B13050" w:rsidP="00B13050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Resultados de Calibración</w:t>
            </w:r>
          </w:p>
        </w:tc>
        <w:tc>
          <w:tcPr>
            <w:tcW w:w="0" w:type="auto"/>
            <w:hideMark/>
          </w:tcPr>
          <w:p w14:paraId="2697AC60" w14:textId="77777777" w:rsidR="00B13050" w:rsidRPr="00B13050" w:rsidRDefault="00B13050" w:rsidP="00B13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Presenta valores de error intrínseco en porcentajes para diferentes escalas de µSv/h.</w:t>
            </w:r>
          </w:p>
        </w:tc>
        <w:tc>
          <w:tcPr>
            <w:tcW w:w="0" w:type="auto"/>
            <w:hideMark/>
          </w:tcPr>
          <w:p w14:paraId="23BCB2A6" w14:textId="77777777" w:rsidR="00B13050" w:rsidRPr="00B13050" w:rsidRDefault="00B13050" w:rsidP="00B13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 xml:space="preserve">Muestra lecturas promedio en </w:t>
            </w:r>
            <w:proofErr w:type="spellStart"/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mR</w:t>
            </w:r>
            <w:proofErr w:type="spellEnd"/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/</w:t>
            </w:r>
            <w:proofErr w:type="spellStart"/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hr</w:t>
            </w:r>
            <w:proofErr w:type="spellEnd"/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 xml:space="preserve"> y factores de corrección para rangos específicos.</w:t>
            </w:r>
          </w:p>
        </w:tc>
      </w:tr>
      <w:tr w:rsidR="00B13050" w:rsidRPr="00B13050" w14:paraId="25C02F01" w14:textId="77777777" w:rsidTr="00B1305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A22E6A" w14:textId="77777777" w:rsidR="00B13050" w:rsidRPr="00B13050" w:rsidRDefault="00B13050" w:rsidP="00B13050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Frecuencia de Calibración</w:t>
            </w:r>
          </w:p>
        </w:tc>
        <w:tc>
          <w:tcPr>
            <w:tcW w:w="0" w:type="auto"/>
            <w:hideMark/>
          </w:tcPr>
          <w:p w14:paraId="40DB6EC0" w14:textId="77777777" w:rsidR="00B13050" w:rsidRPr="00B13050" w:rsidRDefault="00B13050" w:rsidP="00B13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 xml:space="preserve">No menciona explícitamente la fecha de vencimiento o recalibración </w:t>
            </w: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highlight w:val="yellow"/>
                <w:lang w:eastAsia="es-DO"/>
                <w14:ligatures w14:val="none"/>
              </w:rPr>
              <w:t>(Elemento faltante).</w:t>
            </w:r>
          </w:p>
        </w:tc>
        <w:tc>
          <w:tcPr>
            <w:tcW w:w="0" w:type="auto"/>
            <w:hideMark/>
          </w:tcPr>
          <w:p w14:paraId="3D349836" w14:textId="77777777" w:rsidR="00B13050" w:rsidRPr="00B13050" w:rsidRDefault="00B13050" w:rsidP="00B13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Establece fechas de calibración y vencimiento (cada dos años), facilitando el cumplimiento.</w:t>
            </w:r>
          </w:p>
        </w:tc>
      </w:tr>
      <w:tr w:rsidR="00B13050" w:rsidRPr="00B13050" w14:paraId="0E827BAD" w14:textId="77777777" w:rsidTr="00B13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D7F59B" w14:textId="77777777" w:rsidR="00B13050" w:rsidRPr="00B13050" w:rsidRDefault="00B13050" w:rsidP="00B13050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Conclusión de Conformidad (Idoneidad)</w:t>
            </w:r>
          </w:p>
        </w:tc>
        <w:tc>
          <w:tcPr>
            <w:tcW w:w="0" w:type="auto"/>
            <w:hideMark/>
          </w:tcPr>
          <w:p w14:paraId="6FF616A5" w14:textId="77777777" w:rsidR="00B13050" w:rsidRPr="00B13050" w:rsidRDefault="00B13050" w:rsidP="00B13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Áreas de Mejora: Le falta ISO 17025, trazabilidad NIST, periodicidad y acreditaciones ILAC. Necesita estas implementaciones para alcanzar la conformidad y ser competitivo en sistemas estandarizados.</w:t>
            </w:r>
          </w:p>
        </w:tc>
        <w:tc>
          <w:tcPr>
            <w:tcW w:w="0" w:type="auto"/>
            <w:hideMark/>
          </w:tcPr>
          <w:p w14:paraId="4ECFA1E4" w14:textId="77777777" w:rsidR="00B13050" w:rsidRPr="00B13050" w:rsidRDefault="00B13050" w:rsidP="00B13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 xml:space="preserve">Mayor confiabilidad técnica y cumplimiento estandarizado debido a ISO 17025, trazabilidad NIST, detalles técnicos y periodicidad clara. </w:t>
            </w: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highlight w:val="green"/>
                <w:lang w:eastAsia="es-DO"/>
                <w14:ligatures w14:val="none"/>
              </w:rPr>
              <w:t>Es la opción más confiable.</w:t>
            </w:r>
          </w:p>
        </w:tc>
      </w:tr>
    </w:tbl>
    <w:p w14:paraId="3DE13F03" w14:textId="77777777" w:rsidR="0094752D" w:rsidRDefault="0094752D"/>
    <w:sectPr w:rsidR="009475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42"/>
    <w:rsid w:val="00234330"/>
    <w:rsid w:val="00362523"/>
    <w:rsid w:val="006F48A8"/>
    <w:rsid w:val="007D5FB2"/>
    <w:rsid w:val="007E763C"/>
    <w:rsid w:val="0086034D"/>
    <w:rsid w:val="00871748"/>
    <w:rsid w:val="008822FC"/>
    <w:rsid w:val="008B18A1"/>
    <w:rsid w:val="0092360F"/>
    <w:rsid w:val="0094752D"/>
    <w:rsid w:val="009C219B"/>
    <w:rsid w:val="00AC2611"/>
    <w:rsid w:val="00B13050"/>
    <w:rsid w:val="00B35342"/>
    <w:rsid w:val="00C16391"/>
    <w:rsid w:val="00E82871"/>
    <w:rsid w:val="00FE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A2F3D"/>
  <w15:chartTrackingRefBased/>
  <w15:docId w15:val="{F431AF5D-5727-4B99-9879-1B20DC11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5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5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534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5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534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5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5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5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5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534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53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534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5342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5342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53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53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53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53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5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5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5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5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5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53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53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5342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534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5342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5342"/>
    <w:rPr>
      <w:b/>
      <w:bCs/>
      <w:smallCaps/>
      <w:color w:val="2E74B5" w:themeColor="accent1" w:themeShade="BF"/>
      <w:spacing w:val="5"/>
    </w:rPr>
  </w:style>
  <w:style w:type="table" w:styleId="Tablanormal2">
    <w:name w:val="Plain Table 2"/>
    <w:basedOn w:val="Tablanormal"/>
    <w:uiPriority w:val="42"/>
    <w:rsid w:val="00B1305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clara">
    <w:name w:val="Grid Table Light"/>
    <w:basedOn w:val="Tablanormal"/>
    <w:uiPriority w:val="40"/>
    <w:rsid w:val="00B1305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342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Rodriguez</dc:creator>
  <cp:keywords/>
  <dc:description/>
  <cp:lastModifiedBy>Karina Rodriguez</cp:lastModifiedBy>
  <cp:revision>1</cp:revision>
  <dcterms:created xsi:type="dcterms:W3CDTF">2025-10-16T13:05:00Z</dcterms:created>
  <dcterms:modified xsi:type="dcterms:W3CDTF">2025-10-16T13:36:00Z</dcterms:modified>
</cp:coreProperties>
</file>