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30ff18cf366d44d148114b36787d6942d92b65"/>
    <w:p>
      <w:pPr>
        <w:pStyle w:val="Heading1"/>
      </w:pPr>
      <w:r>
        <w:t xml:space="preserve">Viasel Build Spec — Addendum: Normalization, Codes &amp; First-of-Kind</w:t>
      </w:r>
    </w:p>
    <w:p>
      <w:pPr>
        <w:pStyle w:val="FirstParagraph"/>
      </w:pPr>
      <w:r>
        <w:rPr>
          <w:i/>
          <w:iCs/>
        </w:rPr>
        <w:t xml:space="preserve">Extends v3.0. Folds in the taxonomy/codes architecture decided Aug 2026. Additive — revises nothing.</w:t>
      </w:r>
    </w:p>
    <w:bookmarkStart w:id="9" w:name="principle"/>
    <w:p>
      <w:pPr>
        <w:pStyle w:val="Heading2"/>
      </w:pPr>
      <w:r>
        <w:t xml:space="preserve">Principle</w:t>
      </w:r>
    </w:p>
    <w:p>
      <w:pPr>
        <w:pStyle w:val="FirstParagraph"/>
      </w:pPr>
      <w:r>
        <w:rPr>
          <w:b/>
          <w:bCs/>
        </w:rPr>
        <w:t xml:space="preserve">Normalize on physics, map the codes.</w:t>
      </w:r>
      <w:r>
        <w:t xml:space="preserve"> </w:t>
      </w:r>
      <w:r>
        <w:t xml:space="preserve">The natural denominator ($/ton, $/kVA, $/MW, $/MVA, $/kW, $/ft, $/A) is the invariant join key across projects and developers. Every code (budget, OFCI, building, location, WBS, cost-code) is a</w:t>
      </w:r>
      <w:r>
        <w:t xml:space="preserve"> </w:t>
      </w:r>
      <w:r>
        <w:rPr>
          <w:b/>
          <w:bCs/>
        </w:rPr>
        <w:t xml:space="preserve">per-project attribute</w:t>
      </w:r>
      <w:r>
        <w:t xml:space="preserve">, never a join key. An equipment-type name is</w:t>
      </w:r>
      <w:r>
        <w:t xml:space="preserve"> </w:t>
      </w:r>
      <w:r>
        <w:rPr>
          <w:b/>
          <w:bCs/>
        </w:rPr>
        <w:t xml:space="preserve">physics only</w:t>
      </w:r>
      <w:r>
        <w:t xml:space="preserve">; location, vendor, phase, and first-of-kind are attributes.</w:t>
      </w:r>
    </w:p>
    <w:bookmarkEnd w:id="9"/>
    <w:bookmarkStart w:id="10" w:name="new-clarified-objects"/>
    <w:p>
      <w:pPr>
        <w:pStyle w:val="Heading2"/>
      </w:pPr>
      <w:r>
        <w:t xml:space="preserve">New / clarified objects</w:t>
      </w:r>
    </w:p>
    <w:p>
      <w:pPr>
        <w:pStyle w:val="SourceCode"/>
      </w:pPr>
      <w:r>
        <w:rPr>
          <w:rStyle w:val="VerbatimChar"/>
        </w:rPr>
        <w:t xml:space="preserve">EQUIPMENT_TYPE            canonical, physics-anchored</w:t>
      </w:r>
      <w:r>
        <w:br/>
      </w:r>
      <w:r>
        <w:rPr>
          <w:rStyle w:val="VerbatimChar"/>
        </w:rPr>
        <w:t xml:space="preserve">  design_term · unit_type_code · sub_type</w:t>
      </w:r>
      <w:r>
        <w:br/>
      </w:r>
      <w:r>
        <w:rPr>
          <w:rStyle w:val="VerbatimChar"/>
        </w:rPr>
        <w:t xml:space="preserve">  natural_denominator     → $/ton | $/kVA | $/MVA | $/MW | $/kW | $/ft | $/A | $/unit</w:t>
      </w:r>
      <w:r>
        <w:br/>
      </w:r>
      <w:r>
        <w:rPr>
          <w:rStyle w:val="VerbatimChar"/>
        </w:rPr>
        <w:t xml:space="preserve">  denominator_size        → the numeric rating parsed from the spec (e.g. 5000 for 5000kVA)</w:t>
      </w:r>
      <w:r>
        <w:br/>
      </w:r>
      <w:r>
        <w:br/>
      </w:r>
      <w:r>
        <w:rPr>
          <w:rStyle w:val="VerbatimChar"/>
        </w:rPr>
        <w:t xml:space="preserve">LOCATION_KIND             small canonical vocabulary</w:t>
      </w:r>
      <w:r>
        <w:br/>
      </w:r>
      <w:r>
        <w:rPr>
          <w:rStyle w:val="VerbatimChar"/>
        </w:rPr>
        <w:t xml:space="preserve">  kind_id · name          → Data Hall | Spine | Central Plant | Substation | Yard | Ops | Exterior</w:t>
      </w:r>
      <w:r>
        <w:br/>
      </w:r>
      <w:r>
        <w:br/>
      </w:r>
      <w:r>
        <w:rPr>
          <w:rStyle w:val="VerbatimChar"/>
        </w:rPr>
        <w:t xml:space="preserve">CODE_CROSSWALK            per-project mapping layer (the normalization layer)</w:t>
      </w:r>
      <w:r>
        <w:br/>
      </w:r>
      <w:r>
        <w:rPr>
          <w:rStyle w:val="VerbatimChar"/>
        </w:rPr>
        <w:t xml:space="preserve">  project_id · code_type  → budget | ofci | building | location | design_term | wbs | cost_code | asset</w:t>
      </w:r>
      <w:r>
        <w:br/>
      </w:r>
      <w:r>
        <w:rPr>
          <w:rStyle w:val="VerbatimChar"/>
        </w:rPr>
        <w:t xml:space="preserve">  external_code           → the developer's / project's own code (varies by project)</w:t>
      </w:r>
      <w:r>
        <w:br/>
      </w:r>
      <w:r>
        <w:rPr>
          <w:rStyle w:val="VerbatimChar"/>
        </w:rPr>
        <w:t xml:space="preserve">  canonical_id            → EQUIPMENT_TYPE, LOCATION_KIND, cost-code, etc.</w:t>
      </w:r>
      <w:r>
        <w:br/>
      </w:r>
      <w:r>
        <w:rPr>
          <w:rStyle w:val="VerbatimChar"/>
        </w:rPr>
        <w:t xml:space="preserve">  mapped_by · mapped_at · confidence</w:t>
      </w:r>
      <w:r>
        <w:br/>
      </w:r>
      <w:r>
        <w:rPr>
          <w:rStyle w:val="VerbatimChar"/>
        </w:rPr>
        <w:t xml:space="preserve">  → any external_code with no entry lands in a FAIL-LOUD unmapped queue (never silently dropped)</w:t>
      </w:r>
    </w:p>
    <w:p>
      <w:pPr>
        <w:pStyle w:val="FirstParagraph"/>
      </w:pPr>
      <w:r>
        <w:rPr>
          <w:b/>
          <w:bCs/>
        </w:rPr>
        <w:t xml:space="preserve">Attributes carried on DEMAND_LINE / SCOPE_LINE / UNIT</w:t>
      </w:r>
      <w:r>
        <w:t xml:space="preserve"> </w:t>
      </w:r>
      <w:r>
        <w:t xml:space="preserve">(not in the type name):</w:t>
      </w:r>
      <w:r>
        <w:t xml:space="preserve"> </w:t>
      </w:r>
      <w:r>
        <w:rPr>
          <w:rStyle w:val="VerbatimChar"/>
        </w:rPr>
        <w:t xml:space="preserve">location_code</w:t>
      </w:r>
      <w:r>
        <w:t xml:space="preserve"> </w:t>
      </w:r>
      <w:r>
        <w:t xml:space="preserve">(→ crosswalk → LOCATION_KIND) ·</w:t>
      </w:r>
      <w:r>
        <w:t xml:space="preserve"> </w:t>
      </w:r>
      <w:r>
        <w:rPr>
          <w:rStyle w:val="VerbatimChar"/>
        </w:rPr>
        <w:t xml:space="preserve">vendor_id</w:t>
      </w:r>
      <w:r>
        <w:t xml:space="preserve"> </w:t>
      </w:r>
      <w:r>
        <w:t xml:space="preserve">(→ vendor master) ·</w:t>
      </w:r>
      <w:r>
        <w:t xml:space="preserve"> </w:t>
      </w:r>
      <w:r>
        <w:rPr>
          <w:rStyle w:val="VerbatimChar"/>
        </w:rPr>
        <w:t xml:space="preserve">phase</w:t>
      </w:r>
      <w:r>
        <w:t xml:space="preserve"> </w:t>
      </w:r>
      <w:r>
        <w:t xml:space="preserve">(DA1/DA2/CO) ·</w:t>
      </w:r>
      <w:r>
        <w:t xml:space="preserve"> </w:t>
      </w:r>
      <w:r>
        <w:rPr>
          <w:rStyle w:val="VerbatimChar"/>
        </w:rPr>
        <w:t xml:space="preserve">first_of_kind</w:t>
      </w:r>
      <w:r>
        <w:t xml:space="preserve"> </w:t>
      </w:r>
      <w:r>
        <w:t xml:space="preserve">(bool) ·</w:t>
      </w:r>
      <w:r>
        <w:t xml:space="preserve"> </w:t>
      </w:r>
      <w:r>
        <w:rPr>
          <w:rStyle w:val="VerbatimChar"/>
        </w:rPr>
        <w:t xml:space="preserve">nre_one_time_cost</w:t>
      </w:r>
      <w:r>
        <w:t xml:space="preserve">.</w:t>
      </w:r>
    </w:p>
    <w:bookmarkEnd w:id="10"/>
    <w:bookmarkStart w:id="11" w:name="first-of-kind"/>
    <w:p>
      <w:pPr>
        <w:pStyle w:val="Heading2"/>
      </w:pPr>
      <w:r>
        <w:t xml:space="preserve">First-of-kind</w:t>
      </w:r>
    </w:p>
    <w:p>
      <w:pPr>
        <w:pStyle w:val="FirstParagraph"/>
      </w:pPr>
      <w:r>
        <w:rPr>
          <w:rStyle w:val="VerbatimChar"/>
        </w:rPr>
        <w:t xml:space="preserve">first_of_kind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cost flag, not a type.</w:t>
      </w:r>
      <w:r>
        <w:t xml:space="preserve"> </w:t>
      </w:r>
      <w:r>
        <w:t xml:space="preserve">The first unit of a kind carries NRE/tooling as a one-time adder. The ROM records it and</w:t>
      </w:r>
      <w:r>
        <w:t xml:space="preserve"> </w:t>
      </w:r>
      <w:r>
        <w:rPr>
          <w:b/>
          <w:bCs/>
        </w:rPr>
        <w:t xml:space="preserve">normalizes it out</w:t>
      </w:r>
      <w:r>
        <w:t xml:space="preserve"> </w:t>
      </w:r>
      <w:r>
        <w:t xml:space="preserve">so the base $/denominator of the first unit compares apples-to-apples with the repeats. A first-of-kind Padmount Transformer @ 3250kVA is still</w:t>
      </w:r>
      <w:r>
        <w:t xml:space="preserve"> </w:t>
      </w:r>
      <w:r>
        <w:rPr>
          <w:rStyle w:val="VerbatimChar"/>
        </w:rPr>
        <w:t xml:space="preserve">Padmount Transformer @ 3250kVA</w:t>
      </w:r>
      <w:r>
        <w:t xml:space="preserve"> </w:t>
      </w:r>
      <w:r>
        <w:t xml:space="preserve">— same type,</w:t>
      </w:r>
      <w:r>
        <w:t xml:space="preserve"> </w:t>
      </w:r>
      <w:r>
        <w:rPr>
          <w:rStyle w:val="VerbatimChar"/>
        </w:rPr>
        <w:t xml:space="preserve">first_of_kind = true</w:t>
      </w:r>
      <w:r>
        <w:t xml:space="preserve">.</w:t>
      </w:r>
    </w:p>
    <w:bookmarkEnd w:id="11"/>
    <w:bookmarkStart w:id="12" w:name="rom-confidence-tier"/>
    <w:p>
      <w:pPr>
        <w:pStyle w:val="Heading2"/>
      </w:pPr>
      <w:r>
        <w:t xml:space="preserve">ROM confidence tier</w:t>
      </w:r>
    </w:p>
    <w:p>
      <w:pPr>
        <w:pStyle w:val="FirstParagraph"/>
      </w:pPr>
      <w:r>
        <w:t xml:space="preserve">The ROM’s confidence tier (§2) is sourced directly from the executed record’s sourcing status:</w:t>
      </w:r>
      <w:r>
        <w:t xml:space="preserve"> </w:t>
      </w:r>
      <w:r>
        <w:rPr>
          <w:b/>
          <w:bCs/>
        </w:rPr>
        <w:t xml:space="preserve">Executed → high · Proposal → medium · ROM/Budgetary → low.</w:t>
      </w:r>
      <w:r>
        <w:t xml:space="preserve"> </w:t>
      </w:r>
      <w:r>
        <w:t xml:space="preserve">No separate tagging needed — the data already stratifies itself.</w:t>
      </w:r>
    </w:p>
    <w:bookmarkEnd w:id="12"/>
    <w:bookmarkStart w:id="13" w:name="adoption"/>
    <w:p>
      <w:pPr>
        <w:pStyle w:val="Heading2"/>
      </w:pPr>
      <w:r>
        <w:t xml:space="preserve">Adoption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Early adopter</w:t>
      </w:r>
      <w:r>
        <w:t xml:space="preserve"> </w:t>
      </w:r>
      <w:r>
        <w:t xml:space="preserve">authors in the canonical standard from design → no crosswalk; one identity travels design→disposition.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Everyone else</w:t>
      </w:r>
      <w:r>
        <w:t xml:space="preserve"> </w:t>
      </w:r>
      <w:r>
        <w:t xml:space="preserve">keeps their own codes; the CODE_CROSSWALK maps them at onboarding. Both reconcile on the physical denominator.</w:t>
      </w:r>
    </w:p>
    <w:bookmarkEnd w:id="13"/>
    <w:bookmarkStart w:id="14" w:name="why-real-world-evidence"/>
    <w:p>
      <w:pPr>
        <w:pStyle w:val="Heading2"/>
      </w:pPr>
      <w:r>
        <w:t xml:space="preserve">Why (real-world evidence)</w:t>
      </w:r>
    </w:p>
    <w:p>
      <w:pPr>
        <w:pStyle w:val="FirstParagraph"/>
      </w:pPr>
      <w:r>
        <w:t xml:space="preserve">On their first OFCI run, analysts baked vendor + location into equipment names (</w:t>
      </w:r>
      <w:r>
        <w:rPr>
          <w:rStyle w:val="VerbatimChar"/>
        </w:rPr>
        <w:t xml:space="preserve">CMDA Transformer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Padmount Transformer – Mech</w:t>
      </w:r>
      <w:r>
        <w:t xml:space="preserve">) and</w:t>
      </w:r>
      <w:r>
        <w:t xml:space="preserve"> </w:t>
      </w:r>
      <w:r>
        <w:rPr>
          <w:b/>
          <w:bCs/>
        </w:rPr>
        <w:t xml:space="preserve">admitted it as a lesson-learned.</w:t>
      </w:r>
      <w:r>
        <w:t xml:space="preserve"> </w:t>
      </w:r>
      <w:r>
        <w:t xml:space="preserve">In the executed data,</w:t>
      </w:r>
      <w:r>
        <w:t xml:space="preserve"> </w:t>
      </w:r>
      <w:r>
        <w:rPr>
          <w:rStyle w:val="VerbatimChar"/>
        </w:rPr>
        <w:t xml:space="preserve">CMDA Transformer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MNR Transformer</w:t>
      </w:r>
      <w:r>
        <w:t xml:space="preserve"> </w:t>
      </w:r>
      <w:r>
        <w:t xml:space="preserve">both normalize to</w:t>
      </w:r>
      <w:r>
        <w:t xml:space="preserve"> </w:t>
      </w:r>
      <w:r>
        <w:rPr>
          <w:b/>
          <w:bCs/>
        </w:rPr>
        <w:t xml:space="preserve">$53.68/kVA</w:t>
      </w:r>
      <w:r>
        <w:t xml:space="preserve"> </w:t>
      </w:r>
      <w:r>
        <w:t xml:space="preserve">— the same unit, two location names. This addendum makes that error structurally impossible: physics in the name, everything else an attribute.</w:t>
      </w:r>
    </w:p>
    <w:p>
      <w:pPr>
        <w:pStyle w:val="BodyText"/>
      </w:pPr>
      <w:r>
        <w:rPr>
          <w:i/>
          <w:iCs/>
        </w:rPr>
        <w:t xml:space="preserve">Addendum v1 — extends spec §2 (normalization), §23 (identity/attributes), §33 (program setup) and the roadmap Phase-2 crosswalk (WBS/COST_CODE/ASSET maps).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2026-08-09T23:16:12Z</dcterms:created>
  <dcterms:modified xsi:type="dcterms:W3CDTF">2026-08-09T23:16:12Z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