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56"/>
          <w:szCs w:val="56"/>
        </w:rPr>
        <w:t xml:space="preserve">Viasel</w:t>
      </w:r>
    </w:p>
    <w:p>
      <w:pPr>
        <w:spacing w:after="320"/>
      </w:pPr>
      <w:r>
        <w:rPr>
          <w:rFonts w:ascii="Calibri" w:cs="Calibri" w:eastAsia="Calibri" w:hAnsi="Calibri"/>
          <w:i/>
          <w:iCs/>
          <w:sz w:val="26"/>
          <w:szCs w:val="26"/>
        </w:rPr>
        <w:t xml:space="preserve">The equipment record, demand to disposition — concept v3.0</w:t>
      </w:r>
    </w:p>
    <w:p>
      <w:pPr>
        <w:pStyle w:val="Heading1"/>
        <w:spacing w:after="160" w:before="320"/>
      </w:pPr>
      <w:r>
        <w:rPr>
          <w:rFonts w:ascii="Calibri" w:cs="Calibri" w:eastAsia="Calibri" w:hAnsi="Calibri"/>
          <w:b/>
          <w:bCs/>
          <w:sz w:val="40"/>
          <w:szCs w:val="40"/>
        </w:rPr>
        <w:t xml:space="preserve">The premise</w:t>
      </w:r>
    </w:p>
    <w:p>
      <w:pPr>
        <w:spacing w:after="160" w:line="288"/>
      </w:pPr>
      <w:r>
        <w:rPr>
          <w:rFonts w:ascii="Calibri" w:cs="Calibri" w:eastAsia="Calibri" w:hAnsi="Calibri"/>
          <w:b/>
          <w:bCs/>
          <w:sz w:val="22"/>
          <w:szCs w:val="22"/>
        </w:rPr>
        <w:t xml:space="preserve">One record per piece of capital equipment, travelling one road.</w:t>
      </w:r>
    </w:p>
    <w:p>
      <w:pPr>
        <w:spacing w:after="160" w:line="288"/>
      </w:pPr>
      <w:r>
        <w:rPr>
          <w:rFonts w:ascii="Calibri" w:cs="Calibri" w:eastAsia="Calibri" w:hAnsi="Calibri"/>
          <w:sz w:val="22"/>
          <w:szCs w:val="22"/>
        </w:rPr>
        <w:t xml:space="preserve">From the moment it is required — before a vendor is chosen, before it physically exists — through purchase, fabrication, delivery, storage, integration, installation, commissioning, operation, transfer, and disposition.</w:t>
      </w:r>
    </w:p>
    <w:p>
      <w:pPr>
        <w:spacing w:after="160" w:line="288"/>
      </w:pPr>
      <w:r>
        <w:rPr>
          <w:rFonts w:ascii="Calibri" w:cs="Calibri" w:eastAsia="Calibri" w:hAnsi="Calibri"/>
          <w:sz w:val="22"/>
          <w:szCs w:val="22"/>
        </w:rPr>
        <w:t xml:space="preserve">The record does not belong to a project, a platform, a facility, or an operator. It belongs to the equipment. It outlives every system that touches it.</w:t>
      </w:r>
    </w:p>
    <w:p>
      <w:pPr>
        <w:spacing w:after="160" w:line="288"/>
      </w:pPr>
      <w:r>
        <w:rPr>
          <w:rFonts w:ascii="Calibri" w:cs="Calibri" w:eastAsia="Calibri" w:hAnsi="Calibri"/>
          <w:b/>
          <w:bCs/>
          <w:sz w:val="22"/>
          <w:szCs w:val="22"/>
        </w:rPr>
        <w:t xml:space="preserve">Everything else is a byproduct of that record being well kept.</w:t>
      </w:r>
    </w:p>
    <w:p>
      <w:pPr>
        <w:pStyle w:val="Heading1"/>
        <w:spacing w:after="160" w:before="320"/>
      </w:pPr>
      <w:r>
        <w:rPr>
          <w:rFonts w:ascii="Calibri" w:cs="Calibri" w:eastAsia="Calibri" w:hAnsi="Calibri"/>
          <w:b/>
          <w:bCs/>
          <w:sz w:val="40"/>
          <w:szCs w:val="40"/>
        </w:rPr>
        <w:t xml:space="preserve">Why everything is a byproduct</w:t>
      </w:r>
    </w:p>
    <w:p>
      <w:pPr>
        <w:spacing w:after="160" w:line="288"/>
      </w:pPr>
      <w:r>
        <w:rPr>
          <w:rFonts w:ascii="Calibri" w:cs="Calibri" w:eastAsia="Calibri" w:hAnsi="Calibri"/>
          <w:sz w:val="22"/>
          <w:szCs w:val="22"/>
        </w:rPr>
        <w:t xml:space="preserve">The industry treats these as separate products, each with its own vendor, its own database, its own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after="40" w:line="260"/>
            </w:pPr>
            <w:r>
              <w:rPr>
                <w:rFonts w:ascii="Calibri" w:cs="Calibri" w:eastAsia="Calibri" w:hAnsi="Calibri"/>
                <w:b/>
                <w:bCs/>
                <w:sz w:val="21"/>
                <w:szCs w:val="21"/>
              </w:rPr>
              <w:t xml:space="preserve">What people buy</w:t>
            </w:r>
          </w:p>
        </w:tc>
        <w:tc>
          <w:tcPr>
            <w:tcW w:type="dxa" w:w="468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after="40" w:line="260"/>
            </w:pPr>
            <w:r>
              <w:rPr>
                <w:rFonts w:ascii="Calibri" w:cs="Calibri" w:eastAsia="Calibri" w:hAnsi="Calibri"/>
                <w:b/>
                <w:bCs/>
                <w:sz w:val="21"/>
                <w:szCs w:val="21"/>
              </w:rPr>
              <w:t xml:space="preserve">What it actually is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Estimating and budgeting tools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A query against executed price history</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Procurement management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Demand matched to supply</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Materials and yard management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Custody events against identity</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Turnover and closeout services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Documents that landed against units as gates fired</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Asset registers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The record, transcribed late and incompletely</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Condition monitoring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Telemetry against a baseline the record already holds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Residual valuation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Provenance</w:t>
            </w:r>
          </w:p>
        </w:tc>
      </w:tr>
    </w:tbl>
    <w:p>
      <w:pPr>
        <w:spacing w:after="160" w:line="288"/>
      </w:pPr>
      <w:r>
        <w:rPr>
          <w:rFonts w:ascii="Calibri" w:cs="Calibri" w:eastAsia="Calibri" w:hAnsi="Calibri"/>
          <w:sz w:val="22"/>
          <w:szCs w:val="22"/>
        </w:rPr>
        <w:t xml:space="preserve">None of these require a separate system. They require </w:t>
      </w:r>
      <w:r>
        <w:rPr>
          <w:rFonts w:ascii="Calibri" w:cs="Calibri" w:eastAsia="Calibri" w:hAnsi="Calibri"/>
          <w:b/>
          <w:bCs/>
          <w:sz w:val="22"/>
          <w:szCs w:val="22"/>
        </w:rPr>
        <w:t xml:space="preserve">one record, captured correctly at the moment each fact becomes true.</w:t>
      </w:r>
    </w:p>
    <w:p>
      <w:pPr>
        <w:spacing w:after="160" w:line="288"/>
      </w:pPr>
      <w:r>
        <w:rPr>
          <w:rFonts w:ascii="Calibri" w:cs="Calibri" w:eastAsia="Calibri" w:hAnsi="Calibri"/>
          <w:sz w:val="22"/>
          <w:szCs w:val="22"/>
        </w:rPr>
        <w:t xml:space="preserve">That is the whole thesis. Not a suite of integrated modules — a single well-managed input, from which the rest falls out. Technology makes the byproducts nearly free; only the input is expensive.</w:t>
      </w:r>
    </w:p>
    <w:p>
      <w:pPr>
        <w:pStyle w:val="Heading1"/>
        <w:spacing w:after="160" w:before="320"/>
      </w:pPr>
      <w:r>
        <w:rPr>
          <w:rFonts w:ascii="Calibri" w:cs="Calibri" w:eastAsia="Calibri" w:hAnsi="Calibri"/>
          <w:b/>
          <w:bCs/>
          <w:sz w:val="40"/>
          <w:szCs w:val="40"/>
        </w:rPr>
        <w:t xml:space="preserve">The scale that makes it matter</w:t>
      </w:r>
    </w:p>
    <w:p>
      <w:pPr>
        <w:spacing w:after="160" w:line="288"/>
      </w:pPr>
      <w:r>
        <w:rPr>
          <w:rFonts w:ascii="Calibri" w:cs="Calibri" w:eastAsia="Calibri" w:hAnsi="Calibri"/>
          <w:sz w:val="22"/>
          <w:szCs w:val="22"/>
        </w:rPr>
        <w:t xml:space="preserve">A single hyperscale campus carries billions in owner-furnished equipment — mechanical and electrical scope alone, before IT load. It is not a construction project with an equipment line item. </w:t>
      </w:r>
      <w:r>
        <w:rPr>
          <w:rFonts w:ascii="Calibri" w:cs="Calibri" w:eastAsia="Calibri" w:hAnsi="Calibri"/>
          <w:b/>
          <w:bCs/>
          <w:sz w:val="22"/>
          <w:szCs w:val="22"/>
        </w:rPr>
        <w:t xml:space="preserve">It is an equipment procurement program with a building around it.</w:t>
      </w:r>
    </w:p>
    <w:p>
      <w:pPr>
        <w:spacing w:after="160" w:line="288"/>
      </w:pPr>
      <w:r>
        <w:rPr>
          <w:rFonts w:ascii="Calibri" w:cs="Calibri" w:eastAsia="Calibri" w:hAnsi="Calibri"/>
          <w:sz w:val="22"/>
          <w:szCs w:val="22"/>
        </w:rPr>
        <w:t xml:space="preserve">And the same campus repeats. The next site buys the same chillers, the same switchgear, the same distribution units, from the same short list of manufacturers. That repetition is what makes a persistent record compound rather than merely tidy.</w:t>
      </w:r>
    </w:p>
    <w:p>
      <w:pPr>
        <w:pStyle w:val="Heading1"/>
        <w:spacing w:after="160" w:before="320"/>
      </w:pPr>
      <w:r>
        <w:rPr>
          <w:rFonts w:ascii="Calibri" w:cs="Calibri" w:eastAsia="Calibri" w:hAnsi="Calibri"/>
          <w:b/>
          <w:bCs/>
          <w:sz w:val="40"/>
          <w:szCs w:val="40"/>
        </w:rPr>
        <w:t xml:space="preserve">The problem</w:t>
      </w:r>
    </w:p>
    <w:p>
      <w:pPr>
        <w:spacing w:after="160" w:line="288"/>
      </w:pPr>
      <w:r>
        <w:rPr>
          <w:rFonts w:ascii="Calibri" w:cs="Calibri" w:eastAsia="Calibri" w:hAnsi="Calibri"/>
          <w:sz w:val="22"/>
          <w:szCs w:val="22"/>
        </w:rPr>
        <w:t xml:space="preserve">Every unit passes through four parties and five or more systems. </w:t>
      </w:r>
      <w:r>
        <w:rPr>
          <w:rFonts w:ascii="Calibri" w:cs="Calibri" w:eastAsia="Calibri" w:hAnsi="Calibri"/>
          <w:b/>
          <w:bCs/>
          <w:sz w:val="22"/>
          <w:szCs w:val="22"/>
        </w:rPr>
        <w:t xml:space="preserve">Not one of those systems holds the equipment.</w:t>
      </w:r>
      <w:r>
        <w:rPr>
          <w:rFonts w:ascii="Calibri" w:cs="Calibri" w:eastAsia="Calibri" w:hAnsi="Calibri"/>
          <w:sz w:val="22"/>
          <w:szCs w:val="22"/>
        </w:rPr>
        <w:t xml:space="preserve"> They hold projects, commitments, documents, submittals, work orders. The equipment is a description string inside somebody else’s record.</w:t>
      </w:r>
    </w:p>
    <w:p>
      <w:pPr>
        <w:spacing w:after="160" w:line="288"/>
      </w:pPr>
      <w:r>
        <w:rPr>
          <w:rFonts w:ascii="Calibri" w:cs="Calibri" w:eastAsia="Calibri" w:hAnsi="Calibri"/>
          <w:sz w:val="22"/>
          <w:szCs w:val="22"/>
        </w:rPr>
        <w:t xml:space="preserve">So at every handoff the record is rebuilt. Design knows what was required. The vendor knows what they built. The developer knows what they bought. The contractor knows what they installed. Operations knows what they are maintaining. Five descriptions of one physical object, reconstructed five times, none of them the same record.</w:t>
      </w:r>
    </w:p>
    <w:p>
      <w:pPr>
        <w:pStyle w:val="Heading2"/>
        <w:spacing w:after="140" w:before="320"/>
      </w:pPr>
      <w:r>
        <w:rPr>
          <w:rFonts w:ascii="Calibri" w:cs="Calibri" w:eastAsia="Calibri" w:hAnsi="Calibri"/>
          <w:b/>
          <w:bCs/>
          <w:sz w:val="30"/>
          <w:szCs w:val="30"/>
        </w:rPr>
        <w:t xml:space="preserve">Why it stays invisible</w:t>
      </w:r>
    </w:p>
    <w:p>
      <w:pPr>
        <w:spacing w:after="160" w:line="288"/>
      </w:pPr>
      <w:r>
        <w:rPr>
          <w:rFonts w:ascii="Calibri" w:cs="Calibri" w:eastAsia="Calibri" w:hAnsi="Calibri"/>
          <w:sz w:val="22"/>
          <w:szCs w:val="22"/>
        </w:rPr>
        <w:t xml:space="preserve">It produces correct numbers. Someone reconciles by hand, the totals tie out, and from above nothing looks broken. It fails as a slow tax: work redone, knowledge held in individuals, price history lost at each platform migration, and nobody able to answer </w:t>
      </w:r>
      <w:r>
        <w:rPr>
          <w:rFonts w:ascii="Calibri" w:cs="Calibri" w:eastAsia="Calibri" w:hAnsi="Calibri"/>
          <w:i/>
          <w:iCs/>
          <w:sz w:val="22"/>
          <w:szCs w:val="22"/>
        </w:rPr>
        <w:t xml:space="preserve">what is the current specification of this unit, where is it, and what has it been through</w:t>
      </w:r>
      <w:r>
        <w:rPr>
          <w:rFonts w:ascii="Calibri" w:cs="Calibri" w:eastAsia="Calibri" w:hAnsi="Calibri"/>
          <w:sz w:val="22"/>
          <w:szCs w:val="22"/>
        </w:rPr>
        <w:t xml:space="preserve"> without opening four documents.</w:t>
      </w:r>
    </w:p>
    <w:p>
      <w:pPr>
        <w:spacing w:after="160" w:line="288"/>
      </w:pPr>
      <w:r>
        <w:rPr>
          <w:rFonts w:ascii="Calibri" w:cs="Calibri" w:eastAsia="Calibri" w:hAnsi="Calibri"/>
          <w:sz w:val="22"/>
          <w:szCs w:val="22"/>
        </w:rPr>
        <w:t xml:space="preserve">Each system solves its own slice. The space between slices belongs to nobody. </w:t>
      </w:r>
      <w:r>
        <w:rPr>
          <w:rFonts w:ascii="Calibri" w:cs="Calibri" w:eastAsia="Calibri" w:hAnsi="Calibri"/>
          <w:b/>
          <w:bCs/>
          <w:sz w:val="22"/>
          <w:szCs w:val="22"/>
        </w:rPr>
        <w:t xml:space="preserve">That space is where the equipment lives.</w:t>
      </w:r>
    </w:p>
    <w:p>
      <w:pPr>
        <w:pStyle w:val="Heading2"/>
        <w:spacing w:after="140" w:before="320"/>
      </w:pPr>
      <w:r>
        <w:rPr>
          <w:rFonts w:ascii="Calibri" w:cs="Calibri" w:eastAsia="Calibri" w:hAnsi="Calibri"/>
          <w:b/>
          <w:bCs/>
          <w:sz w:val="30"/>
          <w:szCs w:val="30"/>
        </w:rPr>
        <w:t xml:space="preserve">Why nobody has solved it</w:t>
      </w:r>
    </w:p>
    <w:p>
      <w:pPr>
        <w:pStyle w:val="ListParagraph"/>
        <w:numPr>
          <w:ilvl w:val="0"/>
          <w:numId w:val="2"/>
        </w:numPr>
        <w:spacing w:after="100" w:line="276"/>
      </w:pPr>
      <w:r>
        <w:rPr>
          <w:rFonts w:ascii="Calibri" w:cs="Calibri" w:eastAsia="Calibri" w:hAnsi="Calibri"/>
          <w:b/>
          <w:bCs/>
          <w:sz w:val="22"/>
          <w:szCs w:val="22"/>
        </w:rPr>
        <w:t xml:space="preserve">Vendors</w:t>
      </w:r>
      <w:r>
        <w:rPr>
          <w:rFonts w:ascii="Calibri" w:cs="Calibri" w:eastAsia="Calibri" w:hAnsi="Calibri"/>
          <w:sz w:val="22"/>
          <w:szCs w:val="22"/>
        </w:rPr>
        <w:t xml:space="preserve"> have no interest in a record that makes their pricing comparable across competitors.</w:t>
      </w:r>
    </w:p>
    <w:p>
      <w:pPr>
        <w:pStyle w:val="ListParagraph"/>
        <w:numPr>
          <w:ilvl w:val="0"/>
          <w:numId w:val="2"/>
        </w:numPr>
        <w:spacing w:after="100" w:line="276"/>
      </w:pPr>
      <w:r>
        <w:rPr>
          <w:rFonts w:ascii="Calibri" w:cs="Calibri" w:eastAsia="Calibri" w:hAnsi="Calibri"/>
          <w:b/>
          <w:bCs/>
          <w:sz w:val="22"/>
          <w:szCs w:val="22"/>
        </w:rPr>
        <w:t xml:space="preserve">Contractors</w:t>
      </w:r>
      <w:r>
        <w:rPr>
          <w:rFonts w:ascii="Calibri" w:cs="Calibri" w:eastAsia="Calibri" w:hAnsi="Calibri"/>
          <w:sz w:val="22"/>
          <w:szCs w:val="22"/>
        </w:rPr>
        <w:t xml:space="preserve"> see only their own scope, and under owner-furnished procurement are not in the transaction at all.</w:t>
      </w:r>
    </w:p>
    <w:p>
      <w:pPr>
        <w:pStyle w:val="ListParagraph"/>
        <w:numPr>
          <w:ilvl w:val="0"/>
          <w:numId w:val="2"/>
        </w:numPr>
        <w:spacing w:after="100" w:line="276"/>
      </w:pPr>
      <w:r>
        <w:rPr>
          <w:rFonts w:ascii="Calibri" w:cs="Calibri" w:eastAsia="Calibri" w:hAnsi="Calibri"/>
          <w:b/>
          <w:bCs/>
          <w:sz w:val="22"/>
          <w:szCs w:val="22"/>
        </w:rPr>
        <w:t xml:space="preserve">Software vendors</w:t>
      </w:r>
      <w:r>
        <w:rPr>
          <w:rFonts w:ascii="Calibri" w:cs="Calibri" w:eastAsia="Calibri" w:hAnsi="Calibri"/>
          <w:sz w:val="22"/>
          <w:szCs w:val="22"/>
        </w:rPr>
        <w:t xml:space="preserve"> build for whoever buys, and construction software’s buyer has always been the contractor — which is why commitment management is excellent and what happens to a physical unit afterward is nobody’s feature.</w:t>
      </w:r>
    </w:p>
    <w:p>
      <w:pPr>
        <w:pStyle w:val="ListParagraph"/>
        <w:numPr>
          <w:ilvl w:val="0"/>
          <w:numId w:val="2"/>
        </w:numPr>
        <w:spacing w:after="100" w:line="276"/>
      </w:pPr>
      <w:r>
        <w:rPr>
          <w:rFonts w:ascii="Calibri" w:cs="Calibri" w:eastAsia="Calibri" w:hAnsi="Calibri"/>
          <w:b/>
          <w:bCs/>
          <w:sz w:val="22"/>
          <w:szCs w:val="22"/>
        </w:rPr>
        <w:t xml:space="preserve">Operations platforms</w:t>
      </w:r>
      <w:r>
        <w:rPr>
          <w:rFonts w:ascii="Calibri" w:cs="Calibri" w:eastAsia="Calibri" w:hAnsi="Calibri"/>
          <w:sz w:val="22"/>
          <w:szCs w:val="22"/>
        </w:rPr>
        <w:t xml:space="preserve"> start at handover and inherit whatever they are given.</w:t>
      </w:r>
    </w:p>
    <w:p>
      <w:pPr>
        <w:pStyle w:val="ListParagraph"/>
        <w:numPr>
          <w:ilvl w:val="0"/>
          <w:numId w:val="2"/>
        </w:numPr>
        <w:spacing w:after="100" w:line="276"/>
      </w:pPr>
      <w:r>
        <w:rPr>
          <w:rFonts w:ascii="Calibri" w:cs="Calibri" w:eastAsia="Calibri" w:hAnsi="Calibri"/>
          <w:b/>
          <w:bCs/>
          <w:sz w:val="22"/>
          <w:szCs w:val="22"/>
        </w:rPr>
        <w:t xml:space="preserve">Owners</w:t>
      </w:r>
      <w:r>
        <w:rPr>
          <w:rFonts w:ascii="Calibri" w:cs="Calibri" w:eastAsia="Calibri" w:hAnsi="Calibri"/>
          <w:sz w:val="22"/>
          <w:szCs w:val="22"/>
        </w:rPr>
        <w:t xml:space="preserve"> historically built once and had no reason to accumulate anything.</w:t>
      </w:r>
    </w:p>
    <w:p>
      <w:pPr>
        <w:spacing w:after="160" w:line="288"/>
      </w:pPr>
      <w:r>
        <w:rPr>
          <w:rFonts w:ascii="Calibri" w:cs="Calibri" w:eastAsia="Calibri" w:hAnsi="Calibri"/>
          <w:sz w:val="22"/>
          <w:szCs w:val="22"/>
        </w:rPr>
        <w:t xml:space="preserve">Owner-furnished procurement at repeat scale breaks that. It puts one party on both sides — commercial and physical, purchase and operation — buying the same equipment again and again. The number of organizations in that position is small, and most arrived recently. Which is why no standard exists: the few who solved it solved it internally, and the data is the last thing any of them would publish.</w:t>
      </w:r>
    </w:p>
    <w:p>
      <w:pPr>
        <w:pStyle w:val="Heading2"/>
        <w:spacing w:after="140" w:before="320"/>
      </w:pPr>
      <w:r>
        <w:rPr>
          <w:rFonts w:ascii="Calibri" w:cs="Calibri" w:eastAsia="Calibri" w:hAnsi="Calibri"/>
          <w:b/>
          <w:bCs/>
          <w:sz w:val="30"/>
          <w:szCs w:val="30"/>
        </w:rPr>
        <w:t xml:space="preserve">The competitive landscape, checked</w:t>
      </w:r>
    </w:p>
    <w:p>
      <w:pPr>
        <w:spacing w:after="160" w:line="288"/>
      </w:pPr>
      <w:r>
        <w:rPr>
          <w:rFonts w:ascii="Calibri" w:cs="Calibri" w:eastAsia="Calibri" w:hAnsi="Calibri"/>
          <w:sz w:val="22"/>
          <w:szCs w:val="22"/>
        </w:rPr>
        <w:t xml:space="preserve">Every adjacent system has a specific, confirmed hole — not assumed, verified against each vendor’s own documentation and independent third-party accounts.</w:t>
      </w:r>
    </w:p>
    <w:p>
      <w:pPr>
        <w:pStyle w:val="ListParagraph"/>
        <w:numPr>
          <w:ilvl w:val="0"/>
          <w:numId w:val="2"/>
        </w:numPr>
        <w:spacing w:after="100" w:line="276"/>
      </w:pPr>
      <w:r>
        <w:rPr>
          <w:rFonts w:ascii="Calibri" w:cs="Calibri" w:eastAsia="Calibri" w:hAnsi="Calibri"/>
          <w:b/>
          <w:bCs/>
          <w:sz w:val="22"/>
          <w:szCs w:val="22"/>
        </w:rPr>
        <w:t xml:space="preserve">Procore</w:t>
      </w:r>
      <w:r>
        <w:rPr>
          <w:rFonts w:ascii="Calibri" w:cs="Calibri" w:eastAsia="Calibri" w:hAnsi="Calibri"/>
          <w:sz w:val="22"/>
          <w:szCs w:val="22"/>
        </w:rPr>
        <w:t xml:space="preserve"> has no native asset registry — confirmed by third-party review: “it does not have an asset registry... I can’t create an asset” (</w:t>
      </w:r>
      <w:hyperlink w:history="1" r:id="rIdtwzpaji_i-1vupx_nvdkx">
        <w:r>
          <w:rPr>
            <w:rStyle w:val="Hyperlink"/>
            <w:rFonts w:ascii="Calibri" w:cs="Calibri" w:eastAsia="Calibri" w:hAnsi="Calibri"/>
            <w:sz w:val="22"/>
            <w:szCs w:val="22"/>
          </w:rPr>
          <w:t xml:space="preserve">YouTube, Procore review</w:t>
        </w:r>
      </w:hyperlink>
      <w:r>
        <w:rPr>
          <w:rFonts w:ascii="Calibri" w:cs="Calibri" w:eastAsia="Calibri" w:hAnsi="Calibri"/>
          <w:sz w:val="22"/>
          <w:szCs w:val="22"/>
        </w:rPr>
        <w:t xml:space="preserve">). Commitments and SOV line items are financial objects (cost code, amount, tax code), not physical-asset identity (</w:t>
      </w:r>
      <w:hyperlink w:history="1" r:id="rIdkfjjh26s_mlhycxffo2ud">
        <w:r>
          <w:rPr>
            <w:rStyle w:val="Hyperlink"/>
            <w:rFonts w:ascii="Calibri" w:cs="Calibri" w:eastAsia="Calibri" w:hAnsi="Calibri"/>
            <w:sz w:val="22"/>
            <w:szCs w:val="22"/>
          </w:rPr>
          <w:t xml:space="preserve">Procore Support</w:t>
        </w:r>
      </w:hyperlink>
      <w:r>
        <w:rPr>
          <w:rFonts w:ascii="Calibri" w:cs="Calibri" w:eastAsia="Calibri" w:hAnsi="Calibri"/>
          <w:sz w:val="22"/>
          <w:szCs w:val="22"/>
        </w:rPr>
        <w:t xml:space="preserve">). Portfolio Financials aggregates project-level dollar rollups only (</w:t>
      </w:r>
      <w:hyperlink w:history="1" r:id="rIdz-_vsxjgljbghj9h6uqlg">
        <w:r>
          <w:rPr>
            <w:rStyle w:val="Hyperlink"/>
            <w:rFonts w:ascii="Calibri" w:cs="Calibri" w:eastAsia="Calibri" w:hAnsi="Calibri"/>
            <w:sz w:val="22"/>
            <w:szCs w:val="22"/>
          </w:rPr>
          <w:t xml:space="preserve">Procore Support</w:t>
        </w:r>
      </w:hyperlink>
      <w:r>
        <w:rPr>
          <w:rFonts w:ascii="Calibri" w:cs="Calibri" w:eastAsia="Calibri" w:hAnsi="Calibri"/>
          <w:sz w:val="22"/>
          <w:szCs w:val="22"/>
        </w:rPr>
        <w:t xml:space="preserve">). An independent AWS data-center commissioning case study documents the same gap directly: “Procore used as a document repository only — no structured commissioning workflow. Asset Tracking: File-based with no structured traceability across thousands of assets” (</w:t>
      </w:r>
      <w:hyperlink w:history="1" r:id="rIdqw3my22ogzyoznesge3cp">
        <w:r>
          <w:rPr>
            <w:rStyle w:val="Hyperlink"/>
            <w:rFonts w:ascii="Calibri" w:cs="Calibri" w:eastAsia="Calibri" w:hAnsi="Calibri"/>
            <w:sz w:val="22"/>
            <w:szCs w:val="22"/>
          </w:rPr>
          <w:t xml:space="preserve">exto360 AWS case study</w:t>
        </w:r>
      </w:hyperlink>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b/>
          <w:bCs/>
          <w:sz w:val="22"/>
          <w:szCs w:val="22"/>
        </w:rPr>
        <w:t xml:space="preserve">CxAlloy</w:t>
      </w:r>
      <w:r>
        <w:rPr>
          <w:rFonts w:ascii="Calibri" w:cs="Calibri" w:eastAsia="Calibri" w:hAnsi="Calibri"/>
          <w:sz w:val="22"/>
          <w:szCs w:val="22"/>
        </w:rPr>
        <w:t xml:space="preserve"> is asset-centric but only from commissioning onward — checklists, tests, issues, field capture, with its own REST API and a native Procore integration (</w:t>
      </w:r>
      <w:hyperlink w:history="1" r:id="rIddmlcl3-yvx7biafb3cpql">
        <w:r>
          <w:rPr>
            <w:rStyle w:val="Hyperlink"/>
            <w:rFonts w:ascii="Calibri" w:cs="Calibri" w:eastAsia="Calibri" w:hAnsi="Calibri"/>
            <w:sz w:val="22"/>
            <w:szCs w:val="22"/>
          </w:rPr>
          <w:t xml:space="preserve">CxAlloy</w:t>
        </w:r>
      </w:hyperlink>
      <w:r>
        <w:rPr>
          <w:rFonts w:ascii="Calibri" w:cs="Calibri" w:eastAsia="Calibri" w:hAnsi="Calibri"/>
          <w:sz w:val="22"/>
          <w:szCs w:val="22"/>
        </w:rPr>
        <w:t xml:space="preserve">). It has no financial join and doesn’t exist before commissioning starts.</w:t>
      </w:r>
    </w:p>
    <w:p>
      <w:pPr>
        <w:pStyle w:val="ListParagraph"/>
        <w:numPr>
          <w:ilvl w:val="0"/>
          <w:numId w:val="2"/>
        </w:numPr>
        <w:spacing w:after="100" w:line="276"/>
      </w:pPr>
      <w:r>
        <w:rPr>
          <w:rFonts w:ascii="Calibri" w:cs="Calibri" w:eastAsia="Calibri" w:hAnsi="Calibri"/>
          <w:b/>
          <w:bCs/>
          <w:sz w:val="22"/>
          <w:szCs w:val="22"/>
        </w:rPr>
        <w:t xml:space="preserve">Primavera P6</w:t>
      </w:r>
      <w:r>
        <w:rPr>
          <w:rFonts w:ascii="Calibri" w:cs="Calibri" w:eastAsia="Calibri" w:hAnsi="Calibri"/>
          <w:sz w:val="22"/>
          <w:szCs w:val="22"/>
        </w:rPr>
        <w:t xml:space="preserve"> WBS is inherently project-bespoke: “each project has its own WBS hierarchy” (</w:t>
      </w:r>
      <w:hyperlink w:history="1" r:id="rIdwgdt66o1r0wauoavfs8jb">
        <w:r>
          <w:rPr>
            <w:rStyle w:val="Hyperlink"/>
            <w:rFonts w:ascii="Calibri" w:cs="Calibri" w:eastAsia="Calibri" w:hAnsi="Calibri"/>
            <w:sz w:val="22"/>
            <w:szCs w:val="22"/>
          </w:rPr>
          <w:t xml:space="preserve">Oracle P6 Professional User Guide</w:t>
        </w:r>
      </w:hyperlink>
      <w:r>
        <w:rPr>
          <w:rFonts w:ascii="Calibri" w:cs="Calibri" w:eastAsia="Calibri" w:hAnsi="Calibri"/>
          <w:sz w:val="22"/>
          <w:szCs w:val="22"/>
        </w:rPr>
        <w:t xml:space="preserve">), with no cross-project standard and no cost join. P6 exposes activities, WBS, and cost breakdown via a documented REST API (</w:t>
      </w:r>
      <w:hyperlink w:history="1" r:id="rIdcjdeavasq9ov0eekgocgt">
        <w:r>
          <w:rPr>
            <w:rStyle w:val="Hyperlink"/>
            <w:rFonts w:ascii="Calibri" w:cs="Calibri" w:eastAsia="Calibri" w:hAnsi="Calibri"/>
            <w:sz w:val="22"/>
            <w:szCs w:val="22"/>
          </w:rPr>
          <w:t xml:space="preserve">Oracle P6 REST API documentation</w:t>
        </w:r>
      </w:hyperlink>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b/>
          <w:bCs/>
          <w:sz w:val="22"/>
          <w:szCs w:val="22"/>
        </w:rPr>
        <w:t xml:space="preserve">Gryps</w:t>
      </w:r>
      <w:r>
        <w:rPr>
          <w:rFonts w:ascii="Calibri" w:cs="Calibri" w:eastAsia="Calibri" w:hAnsi="Calibri"/>
          <w:sz w:val="22"/>
          <w:szCs w:val="22"/>
        </w:rPr>
        <w:t xml:space="preserve"> is an RPA/NLP knowledge-graph and search layer over 30+ existing systems (Procore, e-Builder, SharePoint) — breadth of document ingestion, not domain-specific financial reconciliation logic (</w:t>
      </w:r>
      <w:hyperlink w:history="1" r:id="rIdtzhx6kbglbl1zhzyatgqw">
        <w:r>
          <w:rPr>
            <w:rStyle w:val="Hyperlink"/>
            <w:rFonts w:ascii="Calibri" w:cs="Calibri" w:eastAsia="Calibri" w:hAnsi="Calibri"/>
            <w:sz w:val="22"/>
            <w:szCs w:val="22"/>
          </w:rPr>
          <w:t xml:space="preserve">Gryps product page</w:t>
        </w:r>
      </w:hyperlink>
      <w:r>
        <w:rPr>
          <w:rFonts w:ascii="Calibri" w:cs="Calibri" w:eastAsia="Calibri" w:hAnsi="Calibri"/>
          <w:sz w:val="22"/>
          <w:szCs w:val="22"/>
        </w:rPr>
        <w:t xml:space="preserve">, </w:t>
      </w:r>
      <w:hyperlink w:history="1" r:id="rIdm9xxvwpoorkr3jhfzh7eu">
        <w:r>
          <w:rPr>
            <w:rStyle w:val="Hyperlink"/>
            <w:rFonts w:ascii="Calibri" w:cs="Calibri" w:eastAsia="Calibri" w:hAnsi="Calibri"/>
            <w:sz w:val="22"/>
            <w:szCs w:val="22"/>
          </w:rPr>
          <w:t xml:space="preserve">VentureBeat</w:t>
        </w:r>
      </w:hyperlink>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b/>
          <w:bCs/>
          <w:sz w:val="22"/>
          <w:szCs w:val="22"/>
        </w:rPr>
        <w:t xml:space="preserve">4castplus and Orcera</w:t>
      </w:r>
      <w:r>
        <w:rPr>
          <w:rFonts w:ascii="Calibri" w:cs="Calibri" w:eastAsia="Calibri" w:hAnsi="Calibri"/>
          <w:sz w:val="22"/>
          <w:szCs w:val="22"/>
        </w:rPr>
        <w:t xml:space="preserve"> run real expediting software — milestone tracking from submittal through FAT to delivery for long-lead equipment (</w:t>
      </w:r>
      <w:hyperlink w:history="1" r:id="rIdth0g_-rpgcrk6rpw0fdj9">
        <w:r>
          <w:rPr>
            <w:rStyle w:val="Hyperlink"/>
            <w:rFonts w:ascii="Calibri" w:cs="Calibri" w:eastAsia="Calibri" w:hAnsi="Calibri"/>
            <w:sz w:val="22"/>
            <w:szCs w:val="22"/>
          </w:rPr>
          <w:t xml:space="preserve">4castplus expediting software</w:t>
        </w:r>
      </w:hyperlink>
      <w:r>
        <w:rPr>
          <w:rFonts w:ascii="Calibri" w:cs="Calibri" w:eastAsia="Calibri" w:hAnsi="Calibri"/>
          <w:sz w:val="22"/>
          <w:szCs w:val="22"/>
        </w:rPr>
        <w:t xml:space="preserve">, </w:t>
      </w:r>
      <w:hyperlink w:history="1" r:id="rIdmqalffxnzlu90kkaqjphv">
        <w:r>
          <w:rPr>
            <w:rStyle w:val="Hyperlink"/>
            <w:rFonts w:ascii="Calibri" w:cs="Calibri" w:eastAsia="Calibri" w:hAnsi="Calibri"/>
            <w:sz w:val="22"/>
            <w:szCs w:val="22"/>
          </w:rPr>
          <w:t xml:space="preserve">Orcera industrial construction</w:t>
        </w:r>
      </w:hyperlink>
      <w:r>
        <w:rPr>
          <w:rFonts w:ascii="Calibri" w:cs="Calibri" w:eastAsia="Calibri" w:hAnsi="Calibri"/>
          <w:sz w:val="22"/>
          <w:szCs w:val="22"/>
        </w:rPr>
        <w:t xml:space="preserve">). But an independent practitioner’s own field guide to managing this on data-center projects describes the actual method as a manually maintained “procurement matrix,” updated weekly by a named owner, with release dates hand-calculated backward from the required-on-site date (</w:t>
      </w:r>
      <w:hyperlink w:history="1" r:id="rIdayv9tv5ipjfxc4nuyzjr8">
        <w:r>
          <w:rPr>
            <w:rStyle w:val="Hyperlink"/>
            <w:rFonts w:ascii="Calibri" w:cs="Calibri" w:eastAsia="Calibri" w:hAnsi="Calibri"/>
            <w:sz w:val="22"/>
            <w:szCs w:val="22"/>
          </w:rPr>
          <w:t xml:space="preserve">iRecruit field guide</w:t>
        </w:r>
      </w:hyperlink>
      <w:r>
        <w:rPr>
          <w:rFonts w:ascii="Calibri" w:cs="Calibri" w:eastAsia="Calibri" w:hAnsi="Calibri"/>
          <w:sz w:val="22"/>
          <w:szCs w:val="22"/>
        </w:rPr>
        <w:t xml:space="preserve">). Neither tool appears to own a live schedule feed and a live change-order feed simultaneously — someone still has to notice a schedule slip and manually re-flag which shipments are now at risk.</w:t>
      </w:r>
    </w:p>
    <w:p>
      <w:pPr>
        <w:spacing w:after="160" w:line="288"/>
      </w:pPr>
      <w:r>
        <w:rPr>
          <w:rFonts w:ascii="Calibri" w:cs="Calibri" w:eastAsia="Calibri" w:hAnsi="Calibri"/>
          <w:sz w:val="22"/>
          <w:szCs w:val="22"/>
        </w:rPr>
        <w:t xml:space="preserve">None of these own the specific join Viasel is built around: canonical unit identity, tied simultaneously to committed cost, live schedule, and physical/commissioning status, with every change versioned. That is the white space, and it has been checked from enough angles to stop re-litigating whether it exists.</w:t>
      </w:r>
    </w:p>
    <w:p>
      <w:pPr>
        <w:pStyle w:val="Heading1"/>
        <w:spacing w:after="160" w:before="320"/>
      </w:pPr>
      <w:r>
        <w:rPr>
          <w:rFonts w:ascii="Calibri" w:cs="Calibri" w:eastAsia="Calibri" w:hAnsi="Calibri"/>
          <w:b/>
          <w:bCs/>
          <w:sz w:val="40"/>
          <w:szCs w:val="40"/>
        </w:rPr>
        <w:t xml:space="preserve">The road</w:t>
      </w:r>
    </w:p>
    <w:p>
      <w:pPr>
        <w:spacing w:after="20" w:line="276"/>
      </w:pPr>
      <w:r>
        <w:rPr>
          <w:rFonts w:ascii="Calibri" w:cs="Calibri" w:eastAsia="Calibri" w:hAnsi="Calibri"/>
          <w:b/>
          <w:bCs/>
          <w:sz w:val="22"/>
          <w:szCs w:val="22"/>
        </w:rPr>
        <w:t xml:space="preserve">DEMAND  </w:t>
      </w:r>
      <w:r>
        <w:rPr>
          <w:rFonts w:ascii="Calibri" w:cs="Calibri" w:eastAsia="Calibri" w:hAnsi="Calibri"/>
          <w:sz w:val="22"/>
          <w:szCs w:val="22"/>
        </w:rPr>
        <w:t xml:space="preserve">design determines what is required and by when</w:t>
      </w:r>
    </w:p>
    <w:p>
      <w:pPr>
        <w:spacing w:after="120" w:line="260"/>
        <w:ind w:left="360"/>
      </w:pPr>
      <w:r>
        <w:rPr>
          <w:rFonts w:ascii="Calibri" w:cs="Calibri" w:eastAsia="Calibri" w:hAnsi="Calibri"/>
          <w:i/>
          <w:iCs/>
          <w:sz w:val="20"/>
          <w:szCs w:val="20"/>
        </w:rPr>
        <w:t xml:space="preserve">priced against executed history, tested against schedule</w:t>
      </w:r>
    </w:p>
    <w:p>
      <w:pPr>
        <w:spacing w:after="20" w:line="276"/>
      </w:pPr>
      <w:r>
        <w:rPr>
          <w:rFonts w:ascii="Calibri" w:cs="Calibri" w:eastAsia="Calibri" w:hAnsi="Calibri"/>
          <w:b/>
          <w:bCs/>
          <w:sz w:val="22"/>
          <w:szCs w:val="22"/>
        </w:rPr>
        <w:t xml:space="preserve">FREEZE  </w:t>
      </w:r>
      <w:r>
        <w:rPr>
          <w:rFonts w:ascii="Calibri" w:cs="Calibri" w:eastAsia="Calibri" w:hAnsi="Calibri"/>
          <w:sz w:val="22"/>
          <w:szCs w:val="22"/>
        </w:rPr>
        <w:t xml:space="preserve">demand locked, scoped, reopenable</w:t>
      </w:r>
    </w:p>
    <w:p>
      <w:pPr>
        <w:spacing w:after="120" w:line="260"/>
        <w:ind w:left="360"/>
      </w:pPr>
      <w:r>
        <w:rPr>
          <w:rFonts w:ascii="Calibri" w:cs="Calibri" w:eastAsia="Calibri" w:hAnsi="Calibri"/>
          <w:i/>
          <w:iCs/>
          <w:sz w:val="20"/>
          <w:szCs w:val="20"/>
        </w:rPr>
        <w:t xml:space="preserve">the gate that unlocks matching</w:t>
      </w:r>
    </w:p>
    <w:p>
      <w:pPr>
        <w:spacing w:after="20" w:line="276"/>
      </w:pPr>
      <w:r>
        <w:rPr>
          <w:rFonts w:ascii="Calibri" w:cs="Calibri" w:eastAsia="Calibri" w:hAnsi="Calibri"/>
          <w:b/>
          <w:bCs/>
          <w:sz w:val="22"/>
          <w:szCs w:val="22"/>
        </w:rPr>
        <w:t xml:space="preserve">SOURCING  </w:t>
      </w:r>
      <w:r>
        <w:rPr>
          <w:rFonts w:ascii="Calibri" w:cs="Calibri" w:eastAsia="Calibri" w:hAnsi="Calibri"/>
          <w:sz w:val="22"/>
          <w:szCs w:val="22"/>
        </w:rPr>
        <w:t xml:space="preserve">buy-by date derived from lead time</w:t>
      </w:r>
    </w:p>
    <w:p>
      <w:pPr>
        <w:spacing w:after="120" w:line="260"/>
        <w:ind w:left="360"/>
      </w:pPr>
      <w:r>
        <w:rPr>
          <w:rFonts w:ascii="Calibri" w:cs="Calibri" w:eastAsia="Calibri" w:hAnsi="Calibri"/>
          <w:i/>
          <w:iCs/>
          <w:sz w:val="20"/>
          <w:szCs w:val="20"/>
        </w:rPr>
        <w:t xml:space="preserve">candidates quoted, leveled, awarded</w:t>
      </w:r>
    </w:p>
    <w:p>
      <w:pPr>
        <w:spacing w:after="20" w:line="276"/>
      </w:pPr>
      <w:r>
        <w:rPr>
          <w:rFonts w:ascii="Calibri" w:cs="Calibri" w:eastAsia="Calibri" w:hAnsi="Calibri"/>
          <w:b/>
          <w:bCs/>
          <w:sz w:val="22"/>
          <w:szCs w:val="22"/>
        </w:rPr>
        <w:t xml:space="preserve">AGREEMENT  </w:t>
      </w:r>
      <w:r>
        <w:rPr>
          <w:rFonts w:ascii="Calibri" w:cs="Calibri" w:eastAsia="Calibri" w:hAnsi="Calibri"/>
          <w:sz w:val="22"/>
          <w:szCs w:val="22"/>
        </w:rPr>
        <w:t xml:space="preserve">scope lines matched to demand, terms structured</w:t>
      </w:r>
    </w:p>
    <w:p>
      <w:pPr>
        <w:spacing w:after="120" w:line="260"/>
        <w:ind w:left="360"/>
      </w:pPr>
      <w:r>
        <w:rPr>
          <w:rFonts w:ascii="Calibri" w:cs="Calibri" w:eastAsia="Calibri" w:hAnsi="Calibri"/>
          <w:i/>
          <w:iCs/>
          <w:sz w:val="20"/>
          <w:szCs w:val="20"/>
        </w:rPr>
        <w:t xml:space="preserve">identity issued, tag applied at factory</w:t>
      </w:r>
    </w:p>
    <w:p>
      <w:pPr>
        <w:spacing w:after="120" w:line="276"/>
      </w:pPr>
      <w:r>
        <w:rPr>
          <w:rFonts w:ascii="Calibri" w:cs="Calibri" w:eastAsia="Calibri" w:hAnsi="Calibri"/>
          <w:b/>
          <w:bCs/>
          <w:sz w:val="22"/>
          <w:szCs w:val="22"/>
        </w:rPr>
        <w:t xml:space="preserve">PRODUCTION  </w:t>
      </w:r>
      <w:r>
        <w:rPr>
          <w:rFonts w:ascii="Calibri" w:cs="Calibri" w:eastAsia="Calibri" w:hAnsi="Calibri"/>
          <w:sz w:val="22"/>
          <w:szCs w:val="22"/>
        </w:rPr>
        <w:t xml:space="preserve">release, factory test, capacity against commitment</w:t>
      </w:r>
    </w:p>
    <w:p>
      <w:pPr>
        <w:spacing w:after="20" w:line="276"/>
      </w:pPr>
      <w:r>
        <w:rPr>
          <w:rFonts w:ascii="Calibri" w:cs="Calibri" w:eastAsia="Calibri" w:hAnsi="Calibri"/>
          <w:b/>
          <w:bCs/>
          <w:sz w:val="22"/>
          <w:szCs w:val="22"/>
        </w:rPr>
        <w:t xml:space="preserve">CUSTODY  </w:t>
      </w:r>
      <w:r>
        <w:rPr>
          <w:rFonts w:ascii="Calibri" w:cs="Calibri" w:eastAsia="Calibri" w:hAnsi="Calibri"/>
          <w:sz w:val="22"/>
          <w:szCs w:val="22"/>
        </w:rPr>
        <w:t xml:space="preserve">transit, warehouse, integration, laydown</w:t>
      </w:r>
    </w:p>
    <w:p>
      <w:pPr>
        <w:spacing w:after="120" w:line="260"/>
        <w:ind w:left="360"/>
      </w:pPr>
      <w:r>
        <w:rPr>
          <w:rFonts w:ascii="Calibri" w:cs="Calibri" w:eastAsia="Calibri" w:hAnsi="Calibri"/>
          <w:i/>
          <w:iCs/>
          <w:sz w:val="20"/>
          <w:szCs w:val="20"/>
        </w:rPr>
        <w:t xml:space="preserve">protocols issued, work attested</w:t>
      </w:r>
    </w:p>
    <w:p>
      <w:pPr>
        <w:spacing w:after="120" w:line="276"/>
      </w:pPr>
      <w:r>
        <w:rPr>
          <w:rFonts w:ascii="Calibri" w:cs="Calibri" w:eastAsia="Calibri" w:hAnsi="Calibri"/>
          <w:b/>
          <w:bCs/>
          <w:sz w:val="22"/>
          <w:szCs w:val="22"/>
        </w:rPr>
        <w:t xml:space="preserve">INSTALL  </w:t>
      </w:r>
      <w:r>
        <w:rPr>
          <w:rFonts w:ascii="Calibri" w:cs="Calibri" w:eastAsia="Calibri" w:hAnsi="Calibri"/>
          <w:sz w:val="22"/>
          <w:szCs w:val="22"/>
        </w:rPr>
        <w:t xml:space="preserve">position, verification, acceptance</w:t>
      </w:r>
    </w:p>
    <w:p>
      <w:pPr>
        <w:spacing w:after="20" w:line="276"/>
      </w:pPr>
      <w:r>
        <w:rPr>
          <w:rFonts w:ascii="Calibri" w:cs="Calibri" w:eastAsia="Calibri" w:hAnsi="Calibri"/>
          <w:b/>
          <w:bCs/>
          <w:sz w:val="22"/>
          <w:szCs w:val="22"/>
        </w:rPr>
        <w:t xml:space="preserve">OPERATION  </w:t>
      </w:r>
      <w:r>
        <w:rPr>
          <w:rFonts w:ascii="Calibri" w:cs="Calibri" w:eastAsia="Calibri" w:hAnsi="Calibri"/>
          <w:sz w:val="22"/>
          <w:szCs w:val="22"/>
        </w:rPr>
        <w:t xml:space="preserve">telemetry against the baseline the record already holds</w:t>
      </w:r>
    </w:p>
    <w:p>
      <w:pPr>
        <w:spacing w:after="120" w:line="260"/>
        <w:ind w:left="360"/>
      </w:pPr>
      <w:r>
        <w:rPr>
          <w:rFonts w:ascii="Calibri" w:cs="Calibri" w:eastAsia="Calibri" w:hAnsi="Calibri"/>
          <w:i/>
          <w:iCs/>
          <w:sz w:val="20"/>
          <w:szCs w:val="20"/>
        </w:rPr>
        <w:t xml:space="preserve">service, failure, replacement</w:t>
      </w:r>
    </w:p>
    <w:p>
      <w:pPr>
        <w:spacing w:after="20" w:line="276"/>
      </w:pPr>
      <w:r>
        <w:rPr>
          <w:rFonts w:ascii="Calibri" w:cs="Calibri" w:eastAsia="Calibri" w:hAnsi="Calibri"/>
          <w:b/>
          <w:bCs/>
          <w:sz w:val="22"/>
          <w:szCs w:val="22"/>
        </w:rPr>
        <w:t xml:space="preserve">DISPOSITION  </w:t>
      </w:r>
      <w:r>
        <w:rPr>
          <w:rFonts w:ascii="Calibri" w:cs="Calibri" w:eastAsia="Calibri" w:hAnsi="Calibri"/>
          <w:sz w:val="22"/>
          <w:szCs w:val="22"/>
        </w:rPr>
        <w:t xml:space="preserve">transfer, resale, decommission</w:t>
      </w:r>
    </w:p>
    <w:p>
      <w:pPr>
        <w:spacing w:after="120" w:line="260"/>
        <w:ind w:left="360"/>
      </w:pPr>
      <w:r>
        <w:rPr>
          <w:rFonts w:ascii="Calibri" w:cs="Calibri" w:eastAsia="Calibri" w:hAnsi="Calibri"/>
          <w:i/>
          <w:iCs/>
          <w:sz w:val="20"/>
          <w:szCs w:val="20"/>
        </w:rPr>
        <w:t xml:space="preserve">the record goes with it</w:t>
      </w:r>
    </w:p>
    <w:p>
      <w:pPr>
        <w:spacing w:after="160" w:line="288"/>
      </w:pPr>
      <w:r>
        <w:rPr>
          <w:rFonts w:ascii="Calibri" w:cs="Calibri" w:eastAsia="Calibri" w:hAnsi="Calibri"/>
          <w:b/>
          <w:bCs/>
          <w:sz w:val="22"/>
          <w:szCs w:val="22"/>
        </w:rPr>
        <w:t xml:space="preserve">Identity changes character, not continuity.</w:t>
      </w:r>
      <w:r>
        <w:rPr>
          <w:rFonts w:ascii="Calibri" w:cs="Calibri" w:eastAsia="Calibri" w:hAnsi="Calibri"/>
          <w:sz w:val="22"/>
          <w:szCs w:val="22"/>
        </w:rPr>
        <w:t xml:space="preserve"> Project-scoped at procurement, because it was bought on a project’s agreement by a project’s entity. Program-scoped once physical, because the program owns it and any project’s claim is provisional — which is what makes reallocation possible. Project-scoped again once landed, permanently. Transferable at disposition.</w:t>
      </w:r>
    </w:p>
    <w:p>
      <w:pPr>
        <w:spacing w:after="160" w:line="288"/>
      </w:pPr>
      <w:r>
        <w:rPr>
          <w:rFonts w:ascii="Calibri" w:cs="Calibri" w:eastAsia="Calibri" w:hAnsi="Calibri"/>
          <w:b/>
          <w:bCs/>
          <w:sz w:val="22"/>
          <w:szCs w:val="22"/>
        </w:rPr>
        <w:t xml:space="preserve">The clause travels with the purchase.</w:t>
      </w:r>
      <w:r>
        <w:rPr>
          <w:rFonts w:ascii="Calibri" w:cs="Calibri" w:eastAsia="Calibri" w:hAnsi="Calibri"/>
          <w:sz w:val="22"/>
          <w:szCs w:val="22"/>
        </w:rPr>
        <w:t xml:space="preserve"> Terms belong to the procurement phase and cannot be altered by anything downstream.</w:t>
      </w:r>
    </w:p>
    <w:p>
      <w:pPr>
        <w:pStyle w:val="Heading1"/>
        <w:spacing w:after="160" w:before="320"/>
      </w:pPr>
      <w:r>
        <w:rPr>
          <w:rFonts w:ascii="Calibri" w:cs="Calibri" w:eastAsia="Calibri" w:hAnsi="Calibri"/>
          <w:b/>
          <w:bCs/>
          <w:sz w:val="40"/>
          <w:szCs w:val="40"/>
        </w:rPr>
        <w:t xml:space="preserve">Two applications, one record</w:t>
      </w:r>
    </w:p>
    <w:p>
      <w:pPr>
        <w:spacing w:after="160" w:line="288"/>
      </w:pPr>
      <w:r>
        <w:rPr>
          <w:rFonts w:ascii="Calibri" w:cs="Calibri" w:eastAsia="Calibri" w:hAnsi="Calibri"/>
          <w:sz w:val="22"/>
          <w:szCs w:val="22"/>
        </w:rPr>
        <w:t xml:space="preserve">The same canonical spine — unit/scope-line identity, agreement and change-event history, joined live against cost (Procore), schedule (P6), and physical status (CxAlloy) — supports two distinct day-to-day applications, not two products:</w:t>
      </w:r>
    </w:p>
    <w:p>
      <w:pPr>
        <w:spacing w:after="160" w:line="288"/>
      </w:pPr>
      <w:r>
        <w:rPr>
          <w:rFonts w:ascii="Calibri" w:cs="Calibri" w:eastAsia="Calibri" w:hAnsi="Calibri"/>
          <w:b/>
          <w:bCs/>
          <w:sz w:val="22"/>
          <w:szCs w:val="22"/>
        </w:rPr>
        <w:t xml:space="preserve">Financial and contractual truth.</w:t>
      </w:r>
      <w:r>
        <w:rPr>
          <w:rFonts w:ascii="Calibri" w:cs="Calibri" w:eastAsia="Calibri" w:hAnsi="Calibri"/>
          <w:sz w:val="22"/>
          <w:szCs w:val="22"/>
        </w:rPr>
        <w:t xml:space="preserve"> Reconciliation of committed cost, change orders, and schedule-vs-required-on-job date. Consumed by program/finance/governance roles — a small number of high-authority buyers, typically the person who owns budget and sits above vendor award memos.</w:t>
      </w:r>
    </w:p>
    <w:p>
      <w:pPr>
        <w:spacing w:after="160" w:line="288"/>
      </w:pPr>
      <w:r>
        <w:rPr>
          <w:rFonts w:ascii="Calibri" w:cs="Calibri" w:eastAsia="Calibri" w:hAnsi="Calibri"/>
          <w:b/>
          <w:bCs/>
          <w:sz w:val="22"/>
          <w:szCs w:val="22"/>
        </w:rPr>
        <w:t xml:space="preserve">Equipment logistics and schedule accountability.</w:t>
      </w:r>
      <w:r>
        <w:rPr>
          <w:rFonts w:ascii="Calibri" w:cs="Calibri" w:eastAsia="Calibri" w:hAnsi="Calibri"/>
          <w:sz w:val="22"/>
          <w:szCs w:val="22"/>
        </w:rPr>
        <w:t xml:space="preserve"> Tracking a physical unit’s position — submittal, fabrication, factory test, shipment, receipt, install — against its </w:t>
      </w:r>
      <w:r>
        <w:rPr>
          <w:rFonts w:ascii="Calibri" w:cs="Calibri" w:eastAsia="Calibri" w:hAnsi="Calibri"/>
          <w:i/>
          <w:iCs/>
          <w:sz w:val="22"/>
          <w:szCs w:val="22"/>
        </w:rPr>
        <w:t xml:space="preserve">current</w:t>
      </w:r>
      <w:r>
        <w:rPr>
          <w:rFonts w:ascii="Calibri" w:cs="Calibri" w:eastAsia="Calibri" w:hAnsi="Calibri"/>
          <w:sz w:val="22"/>
          <w:szCs w:val="22"/>
        </w:rPr>
        <w:t xml:space="preserve">, live-derived required-on-site date, rather than a date someone re-types by hand. Consumed by procurement and logistics coordinators — a larger number of daily-active users who drive retention but rarely sign contracts.</w:t>
      </w:r>
    </w:p>
    <w:p>
      <w:pPr>
        <w:spacing w:after="160" w:line="288"/>
      </w:pPr>
      <w:r>
        <w:rPr>
          <w:rFonts w:ascii="Calibri" w:cs="Calibri" w:eastAsia="Calibri" w:hAnsi="Calibri"/>
          <w:sz w:val="22"/>
          <w:szCs w:val="22"/>
        </w:rPr>
        <w:t xml:space="preserve">The financial-truth layer is the wedge: it has a proof point (see “The input problem,” below) and a buyer with budget authority. The logistics layer is the expansion: same schema, second persona, higher usage frequency. Building both from one record, rather than as separate systems, is what makes the second layer nearly free once the first is proven.</w:t>
      </w:r>
    </w:p>
    <w:p>
      <w:pPr>
        <w:pStyle w:val="Heading1"/>
        <w:spacing w:after="160" w:before="320"/>
      </w:pPr>
      <w:r>
        <w:rPr>
          <w:rFonts w:ascii="Calibri" w:cs="Calibri" w:eastAsia="Calibri" w:hAnsi="Calibri"/>
          <w:b/>
          <w:bCs/>
          <w:sz w:val="40"/>
          <w:szCs w:val="40"/>
        </w:rPr>
        <w:t xml:space="preserve">What falls out</w:t>
      </w:r>
    </w:p>
    <w:p>
      <w:pPr>
        <w:spacing w:after="160" w:line="288"/>
      </w:pPr>
      <w:r>
        <w:rPr>
          <w:rFonts w:ascii="Calibri" w:cs="Calibri" w:eastAsia="Calibri" w:hAnsi="Calibri"/>
          <w:sz w:val="22"/>
          <w:szCs w:val="22"/>
        </w:rPr>
        <w:t xml:space="preserve">Each of these is a query, not a module.</w:t>
      </w:r>
    </w:p>
    <w:p>
      <w:pPr>
        <w:pStyle w:val="Heading2"/>
        <w:spacing w:after="140" w:before="320"/>
      </w:pPr>
      <w:r>
        <w:rPr>
          <w:rFonts w:ascii="Calibri" w:cs="Calibri" w:eastAsia="Calibri" w:hAnsi="Calibri"/>
          <w:b/>
          <w:bCs/>
          <w:sz w:val="30"/>
          <w:szCs w:val="30"/>
        </w:rPr>
        <w:t xml:space="preserve">Pricing intelligence</w:t>
      </w:r>
    </w:p>
    <w:p>
      <w:pPr>
        <w:spacing w:after="160" w:line="288"/>
      </w:pPr>
      <w:r>
        <w:rPr>
          <w:rFonts w:ascii="Calibri" w:cs="Calibri" w:eastAsia="Calibri" w:hAnsi="Calibri"/>
          <w:sz w:val="22"/>
          <w:szCs w:val="22"/>
        </w:rPr>
        <w:t xml:space="preserve">Executed prices at unit grain, per location, across vendors, over time, normalized to natural denominators — $/ton, $/kVA, $/kW, $/MW. Plus quotes declined, which are market data the buyer usually throws away.</w:t>
      </w:r>
    </w:p>
    <w:p>
      <w:pPr>
        <w:spacing w:after="160" w:line="288"/>
      </w:pPr>
      <w:r>
        <w:rPr>
          <w:rFonts w:ascii="Calibri" w:cs="Calibri" w:eastAsia="Calibri" w:hAnsi="Calibri"/>
          <w:b/>
          <w:bCs/>
          <w:sz w:val="22"/>
          <w:szCs w:val="22"/>
        </w:rPr>
        <w:t xml:space="preserve">Buying:</w:t>
      </w:r>
      <w:r>
        <w:rPr>
          <w:rFonts w:ascii="Calibri" w:cs="Calibri" w:eastAsia="Calibri" w:hAnsi="Calibri"/>
          <w:sz w:val="22"/>
          <w:szCs w:val="22"/>
        </w:rPr>
        <w:t xml:space="preserve"> what the last three campuses paid, how it escalated, what the spread was between simultaneous purchases, what a quantity tier bought.</w:t>
      </w:r>
    </w:p>
    <w:p>
      <w:pPr>
        <w:spacing w:after="160" w:line="288"/>
      </w:pPr>
      <w:r>
        <w:rPr>
          <w:rFonts w:ascii="Calibri" w:cs="Calibri" w:eastAsia="Calibri" w:hAnsi="Calibri"/>
          <w:b/>
          <w:bCs/>
          <w:sz w:val="22"/>
          <w:szCs w:val="22"/>
        </w:rPr>
        <w:t xml:space="preserve">Underwriting:</w:t>
      </w:r>
      <w:r>
        <w:rPr>
          <w:rFonts w:ascii="Calibri" w:cs="Calibri" w:eastAsia="Calibri" w:hAnsi="Calibri"/>
          <w:sz w:val="22"/>
          <w:szCs w:val="22"/>
        </w:rPr>
        <w:t xml:space="preserve"> what a facility genuinely costs to procure and operate, proven from history rather than estimated. Pricing a build, underwriting the next campus, defending a number to a lender.</w:t>
      </w:r>
    </w:p>
    <w:p>
      <w:pPr>
        <w:spacing w:after="160" w:line="288"/>
      </w:pPr>
      <w:r>
        <w:rPr>
          <w:rFonts w:ascii="Calibri" w:cs="Calibri" w:eastAsia="Calibri" w:hAnsi="Calibri"/>
          <w:sz w:val="22"/>
          <w:szCs w:val="22"/>
        </w:rPr>
        <w:t xml:space="preserve">Only the direct buyer at repeat scale sees across all of it.</w:t>
      </w:r>
    </w:p>
    <w:p>
      <w:pPr>
        <w:pStyle w:val="Heading2"/>
        <w:spacing w:after="140" w:before="320"/>
      </w:pPr>
      <w:r>
        <w:rPr>
          <w:rFonts w:ascii="Calibri" w:cs="Calibri" w:eastAsia="Calibri" w:hAnsi="Calibri"/>
          <w:b/>
          <w:bCs/>
          <w:sz w:val="30"/>
          <w:szCs w:val="30"/>
        </w:rPr>
        <w:t xml:space="preserve">Lead time and feasibility</w:t>
      </w:r>
    </w:p>
    <w:p>
      <w:pPr>
        <w:spacing w:after="160" w:line="288"/>
      </w:pPr>
      <w:r>
        <w:rPr>
          <w:rFonts w:ascii="Calibri" w:cs="Calibri" w:eastAsia="Calibri" w:hAnsi="Calibri"/>
          <w:sz w:val="22"/>
          <w:szCs w:val="22"/>
        </w:rPr>
        <w:t xml:space="preserve">Actual lead times accumulate the same way prices do — by type, by vendor, by region, with variance. Which makes the buy-by date derived rather than typed, and turns sourcing event-driven: the system surfaces demand approaching its window before anyone is late.</w:t>
      </w:r>
    </w:p>
    <w:p>
      <w:pPr>
        <w:spacing w:after="160" w:line="288"/>
      </w:pPr>
      <w:r>
        <w:rPr>
          <w:rFonts w:ascii="Calibri" w:cs="Calibri" w:eastAsia="Calibri" w:hAnsi="Calibri"/>
          <w:sz w:val="22"/>
          <w:szCs w:val="22"/>
        </w:rPr>
        <w:t xml:space="preserve">The gap between a vendor’s stated lead time and their historical actual is a negotiating position, in your own data.</w:t>
      </w:r>
    </w:p>
    <w:p>
      <w:pPr>
        <w:pStyle w:val="Heading2"/>
        <w:spacing w:after="140" w:before="320"/>
      </w:pPr>
      <w:r>
        <w:rPr>
          <w:rFonts w:ascii="Calibri" w:cs="Calibri" w:eastAsia="Calibri" w:hAnsi="Calibri"/>
          <w:b/>
          <w:bCs/>
          <w:sz w:val="30"/>
          <w:szCs w:val="30"/>
        </w:rPr>
        <w:t xml:space="preserve">Exposure</w:t>
      </w:r>
    </w:p>
    <w:p>
      <w:pPr>
        <w:spacing w:after="160" w:line="288"/>
      </w:pPr>
      <w:r>
        <w:rPr>
          <w:rFonts w:ascii="Calibri" w:cs="Calibri" w:eastAsia="Calibri" w:hAnsi="Calibri"/>
          <w:sz w:val="22"/>
          <w:szCs w:val="22"/>
        </w:rPr>
        <w:t xml:space="preserve">Cancellation ladders tier by production stage. Production stage is a unit state. So </w:t>
      </w:r>
      <w:r>
        <w:rPr>
          <w:rFonts w:ascii="Calibri" w:cs="Calibri" w:eastAsia="Calibri" w:hAnsi="Calibri"/>
          <w:i/>
          <w:iCs/>
          <w:sz w:val="22"/>
          <w:szCs w:val="22"/>
        </w:rPr>
        <w:t xml:space="preserve">what do we owe if this stops today</w:t>
      </w:r>
      <w:r>
        <w:rPr>
          <w:rFonts w:ascii="Calibri" w:cs="Calibri" w:eastAsia="Calibri" w:hAnsi="Calibri"/>
          <w:sz w:val="22"/>
          <w:szCs w:val="22"/>
        </w:rPr>
        <w:t xml:space="preserve"> is a join, not an exercise.</w:t>
      </w:r>
    </w:p>
    <w:p>
      <w:pPr>
        <w:pStyle w:val="Heading2"/>
        <w:spacing w:after="140" w:before="320"/>
      </w:pPr>
      <w:r>
        <w:rPr>
          <w:rFonts w:ascii="Calibri" w:cs="Calibri" w:eastAsia="Calibri" w:hAnsi="Calibri"/>
          <w:b/>
          <w:bCs/>
          <w:sz w:val="30"/>
          <w:szCs w:val="30"/>
        </w:rPr>
        <w:t xml:space="preserve">Payment</w:t>
      </w:r>
    </w:p>
    <w:p>
      <w:pPr>
        <w:spacing w:after="160" w:line="288"/>
      </w:pPr>
      <w:r>
        <w:rPr>
          <w:rFonts w:ascii="Calibri" w:cs="Calibri" w:eastAsia="Calibri" w:hAnsi="Calibri"/>
          <w:sz w:val="22"/>
          <w:szCs w:val="22"/>
        </w:rPr>
        <w:t xml:space="preserve">Payment milestones fire on unit events — a portion of the contract sum for the goods in each shipment. </w:t>
      </w:r>
      <w:r>
        <w:rPr>
          <w:rFonts w:ascii="Calibri" w:cs="Calibri" w:eastAsia="Calibri" w:hAnsi="Calibri"/>
          <w:b/>
          <w:bCs/>
          <w:sz w:val="22"/>
          <w:szCs w:val="22"/>
        </w:rPr>
        <w:t xml:space="preserve">The invoice is derivable from a shipment event</w:t>
      </w:r>
      <w:r>
        <w:rPr>
          <w:rFonts w:ascii="Calibri" w:cs="Calibri" w:eastAsia="Calibri" w:hAnsi="Calibri"/>
          <w:sz w:val="22"/>
          <w:szCs w:val="22"/>
        </w:rPr>
        <w:t xml:space="preserve">, which is why cost cannot live in a system without units.</w:t>
      </w:r>
    </w:p>
    <w:p>
      <w:pPr>
        <w:pStyle w:val="Heading2"/>
        <w:spacing w:after="140" w:before="320"/>
      </w:pPr>
      <w:r>
        <w:rPr>
          <w:rFonts w:ascii="Calibri" w:cs="Calibri" w:eastAsia="Calibri" w:hAnsi="Calibri"/>
          <w:b/>
          <w:bCs/>
          <w:sz w:val="30"/>
          <w:szCs w:val="30"/>
        </w:rPr>
        <w:t xml:space="preserve">The mapping layer</w:t>
      </w:r>
    </w:p>
    <w:p>
      <w:pPr>
        <w:spacing w:after="160" w:line="288"/>
      </w:pPr>
      <w:r>
        <w:rPr>
          <w:rFonts w:ascii="Calibri" w:cs="Calibri" w:eastAsia="Calibri" w:hAnsi="Calibri"/>
          <w:sz w:val="22"/>
          <w:szCs w:val="22"/>
        </w:rPr>
        <w:t xml:space="preserve">Cost codes and schedule codes are not the same kind of problem, and the record should not treat them as one.</w:t>
      </w:r>
    </w:p>
    <w:p>
      <w:pPr>
        <w:spacing w:after="160" w:line="288"/>
      </w:pPr>
      <w:r>
        <w:rPr>
          <w:rFonts w:ascii="Calibri" w:cs="Calibri" w:eastAsia="Calibri" w:hAnsi="Calibri"/>
          <w:b/>
          <w:bCs/>
          <w:sz w:val="22"/>
          <w:szCs w:val="22"/>
        </w:rPr>
        <w:t xml:space="preserve">Cost codes can lean on an existing standard.</w:t>
      </w:r>
      <w:r>
        <w:rPr>
          <w:rFonts w:ascii="Calibri" w:cs="Calibri" w:eastAsia="Calibri" w:hAnsi="Calibri"/>
          <w:sz w:val="22"/>
          <w:szCs w:val="22"/>
        </w:rPr>
        <w:t xml:space="preserve"> Procore’s default cost-code segment already aligns to the CSI MasterFormat 17-division structure (</w:t>
      </w:r>
      <w:hyperlink w:history="1" r:id="rIdjgckgn-nnbfuxbrlwnugf">
        <w:r>
          <w:rPr>
            <w:rStyle w:val="Hyperlink"/>
            <w:rFonts w:ascii="Calibri" w:cs="Calibri" w:eastAsia="Calibri" w:hAnsi="Calibri"/>
            <w:sz w:val="22"/>
            <w:szCs w:val="22"/>
          </w:rPr>
          <w:t xml:space="preserve">Procore owner financial management guide</w:t>
        </w:r>
      </w:hyperlink>
      <w:r>
        <w:rPr>
          <w:rFonts w:ascii="Calibri" w:cs="Calibri" w:eastAsia="Calibri" w:hAnsi="Calibri"/>
          <w:sz w:val="22"/>
          <w:szCs w:val="22"/>
        </w:rPr>
        <w:t xml:space="preserve">), and CSI governs a crosswalk connecting MasterFormat to UniFormat and OmniClass (</w:t>
      </w:r>
      <w:hyperlink w:history="1" r:id="rId8l203zhro4lsh8bdl2l-r">
        <w:r>
          <w:rPr>
            <w:rStyle w:val="Hyperlink"/>
            <w:rFonts w:ascii="Calibri" w:cs="Calibri" w:eastAsia="Calibri" w:hAnsi="Calibri"/>
            <w:sz w:val="22"/>
            <w:szCs w:val="22"/>
          </w:rPr>
          <w:t xml:space="preserve">The Construction Standard</w:t>
        </w:r>
      </w:hyperlink>
      <w:r>
        <w:rPr>
          <w:rFonts w:ascii="Calibri" w:cs="Calibri" w:eastAsia="Calibri" w:hAnsi="Calibri"/>
          <w:sz w:val="22"/>
          <w:szCs w:val="22"/>
        </w:rPr>
        <w:t xml:space="preserve">). Most clients are already on some variant of this by default. Viasel’s canonical cost taxonomy can anchor on CSI MasterFormat rather than invent a proprietary one — real friction only appears where a client customized away from the default.</w:t>
      </w:r>
    </w:p>
    <w:p>
      <w:pPr>
        <w:spacing w:after="160" w:line="288"/>
      </w:pPr>
      <w:r>
        <w:rPr>
          <w:rFonts w:ascii="Calibri" w:cs="Calibri" w:eastAsia="Calibri" w:hAnsi="Calibri"/>
          <w:b/>
          <w:bCs/>
          <w:sz w:val="22"/>
          <w:szCs w:val="22"/>
        </w:rPr>
        <w:t xml:space="preserve">Schedule (WBS) codes have no external standard to lean on.</w:t>
      </w:r>
      <w:r>
        <w:rPr>
          <w:rFonts w:ascii="Calibri" w:cs="Calibri" w:eastAsia="Calibri" w:hAnsi="Calibri"/>
          <w:sz w:val="22"/>
          <w:szCs w:val="22"/>
        </w:rPr>
        <w:t xml:space="preserve"> Oracle’s own documentation is explicit that “each project has its own WBS hierarchy,” bespoke by design, with no industry convention (</w:t>
      </w:r>
      <w:hyperlink w:history="1" r:id="rIdones_pt6eq6zn6ofbp1sc">
        <w:r>
          <w:rPr>
            <w:rStyle w:val="Hyperlink"/>
            <w:rFonts w:ascii="Calibri" w:cs="Calibri" w:eastAsia="Calibri" w:hAnsi="Calibri"/>
            <w:sz w:val="22"/>
            <w:szCs w:val="22"/>
          </w:rPr>
          <w:t xml:space="preserve">Oracle P6 Professional User Guide</w:t>
        </w:r>
      </w:hyperlink>
      <w:r>
        <w:rPr>
          <w:rFonts w:ascii="Calibri" w:cs="Calibri" w:eastAsia="Calibri" w:hAnsi="Calibri"/>
          <w:sz w:val="22"/>
          <w:szCs w:val="22"/>
        </w:rPr>
        <w:t xml:space="preserve">). There is nothing to adopt here — every program builds its WBS to its own reporting needs. This is where a maintained crosswalk is structurally unavoidable, not a design choice Viasel is imposing.</w:t>
      </w:r>
    </w:p>
    <w:p>
      <w:pPr>
        <w:spacing w:after="160" w:line="288"/>
      </w:pPr>
      <w:r>
        <w:rPr>
          <w:rFonts w:ascii="Calibri" w:cs="Calibri" w:eastAsia="Calibri" w:hAnsi="Calibri"/>
          <w:b/>
          <w:bCs/>
          <w:sz w:val="22"/>
          <w:szCs w:val="22"/>
        </w:rPr>
        <w:t xml:space="preserve">The join point is the canonical unit or scope-line, not code-to-code.</w:t>
      </w:r>
      <w:r>
        <w:rPr>
          <w:rFonts w:ascii="Calibri" w:cs="Calibri" w:eastAsia="Calibri" w:hAnsi="Calibri"/>
          <w:sz w:val="22"/>
          <w:szCs w:val="22"/>
        </w:rPr>
        <w:t xml:space="preserve"> WBS node, cost code, and CxAlloy asset ID are not 1:1 with each other even within a single system. Each becomes a foreign key hanging off one canonical record, rather than three systems trying to reconcile directly with each other. A code that appears with no mapping — a new WBS element, an unrecognized cost code — should raise a visible, fail-loud flag against the canonical record rather than silently dropping out of reconciliation, which is exactly the kind of invisible failure that let the $1.279M mismatch above go unnoticed for as long as it did.</w:t>
      </w:r>
      <w:r>
        <w:rPr>
          <w:rFonts w:ascii="Calibri" w:cs="Calibri" w:eastAsia="Calibri" w:hAnsi="Calibri"/>
          <w:sz w:val="22"/>
          <w:szCs w:val="22"/>
        </w:rPr>
        <w:t xml:space="preserve"> Procore’s own commitment lines stay at the grain Procore already manages by — tied to a payment schedule, one line per equipment package or milestone — not one row per physical unit. Unit-level identity was never Procore’s job to carry; that grain is native to Viasel and derives from the scope-line quantity (see the diagnostic above), so the two systems complement rather than duplicate each other.</w:t>
      </w:r>
    </w:p>
    <w:p>
      <w:pPr>
        <w:spacing w:after="160" w:line="288"/>
      </w:pPr>
      <w:r>
        <w:rPr>
          <w:rFonts w:ascii="Calibri" w:cs="Calibri" w:eastAsia="Calibri" w:hAnsi="Calibri"/>
          <w:sz w:val="22"/>
          <w:szCs w:val="22"/>
        </w:rPr>
        <w:t xml:space="preserve">The one-time crosswalk-mapping cost is real and ongoing per client, but asymmetric: cheap on the cost-code side (most clients are close to the CSI default already), concentrated entirely on the WBS side (no default exists, so this is where the real engineering and services effort goes).</w:t>
      </w:r>
    </w:p>
    <w:p>
      <w:pPr>
        <w:pStyle w:val="Heading2"/>
        <w:spacing w:after="140" w:before="320"/>
      </w:pPr>
      <w:r>
        <w:rPr>
          <w:rFonts w:ascii="Calibri" w:cs="Calibri" w:eastAsia="Calibri" w:hAnsi="Calibri"/>
          <w:b/>
          <w:bCs/>
          <w:sz w:val="30"/>
          <w:szCs w:val="30"/>
        </w:rPr>
        <w:t xml:space="preserve">Turnover</w:t>
      </w:r>
    </w:p>
    <w:p>
      <w:pPr>
        <w:spacing w:after="160" w:line="288"/>
      </w:pPr>
      <w:r>
        <w:rPr>
          <w:rFonts w:ascii="Calibri" w:cs="Calibri" w:eastAsia="Calibri" w:hAnsi="Calibri"/>
          <w:sz w:val="22"/>
          <w:szCs w:val="22"/>
        </w:rPr>
        <w:t xml:space="preserve">Document requirements key to lifecycle gates. Each document lands against a unit as its trigger fires. Handover becomes an export rather than an end-of-project scrape — which matters because turnover is already a contractual deliverable with a date and a payment behind it, and it already fails.</w:t>
      </w:r>
    </w:p>
    <w:p>
      <w:pPr>
        <w:pStyle w:val="Heading2"/>
        <w:spacing w:after="140" w:before="320"/>
      </w:pPr>
      <w:r>
        <w:rPr>
          <w:rFonts w:ascii="Calibri" w:cs="Calibri" w:eastAsia="Calibri" w:hAnsi="Calibri"/>
          <w:b/>
          <w:bCs/>
          <w:sz w:val="30"/>
          <w:szCs w:val="30"/>
        </w:rPr>
        <w:t xml:space="preserve">Condition monitoring</w:t>
      </w:r>
    </w:p>
    <w:p>
      <w:pPr>
        <w:spacing w:after="160" w:line="288"/>
      </w:pPr>
      <w:r>
        <w:rPr>
          <w:rFonts w:ascii="Calibri" w:cs="Calibri" w:eastAsia="Calibri" w:hAnsi="Calibri"/>
          <w:sz w:val="22"/>
          <w:szCs w:val="22"/>
        </w:rPr>
        <w:t xml:space="preserve">Equipment broadcasts. The protocols are published and the read is one-way — outbound from the operating network, no inbound path, which answers the security objection before it is raised.</w:t>
      </w:r>
    </w:p>
    <w:p>
      <w:pPr>
        <w:spacing w:after="160" w:line="288"/>
      </w:pPr>
      <w:r>
        <w:rPr>
          <w:rFonts w:ascii="Calibri" w:cs="Calibri" w:eastAsia="Calibri" w:hAnsi="Calibri"/>
          <w:b/>
          <w:bCs/>
          <w:sz w:val="22"/>
          <w:szCs w:val="22"/>
        </w:rPr>
        <w:t xml:space="preserve">The hard part of monitoring is not the telemetry. It is the baseline.</w:t>
      </w:r>
      <w:r>
        <w:rPr>
          <w:rFonts w:ascii="Calibri" w:cs="Calibri" w:eastAsia="Calibri" w:hAnsi="Calibri"/>
          <w:sz w:val="22"/>
          <w:szCs w:val="22"/>
        </w:rPr>
        <w:t xml:space="preserve"> Most monitoring products solve it with a ninety-day learning period or a manufacturer curve. The record already holds the specification, the factory test results, and the commissioning readings for this specific unit in this specific environment under its actual load. </w:t>
      </w:r>
      <w:r>
        <w:rPr>
          <w:rFonts w:ascii="Calibri" w:cs="Calibri" w:eastAsia="Calibri" w:hAnsi="Calibri"/>
          <w:b/>
          <w:bCs/>
          <w:sz w:val="22"/>
          <w:szCs w:val="22"/>
        </w:rPr>
        <w:t xml:space="preserve">Day-zero baseline, inherited.</w:t>
      </w:r>
    </w:p>
    <w:p>
      <w:pPr>
        <w:spacing w:after="160" w:line="288"/>
      </w:pPr>
      <w:r>
        <w:rPr>
          <w:rFonts w:ascii="Calibri" w:cs="Calibri" w:eastAsia="Calibri" w:hAnsi="Calibri"/>
          <w:sz w:val="22"/>
          <w:szCs w:val="22"/>
        </w:rPr>
        <w:t xml:space="preserve">Deviation against that baseline, weighted by fleet behaviour and consequence, is a byproduct. Not a product.</w:t>
      </w:r>
    </w:p>
    <w:p>
      <w:pPr>
        <w:pStyle w:val="Heading2"/>
        <w:spacing w:after="140" w:before="320"/>
      </w:pPr>
      <w:r>
        <w:rPr>
          <w:rFonts w:ascii="Calibri" w:cs="Calibri" w:eastAsia="Calibri" w:hAnsi="Calibri"/>
          <w:b/>
          <w:bCs/>
          <w:sz w:val="30"/>
          <w:szCs w:val="30"/>
        </w:rPr>
        <w:t xml:space="preserve">Verification, in three layers</w:t>
      </w:r>
    </w:p>
    <w:p>
      <w:pPr>
        <w:spacing w:after="160" w:line="288"/>
      </w:pPr>
      <w:r>
        <w:rPr>
          <w:rFonts w:ascii="Calibri" w:cs="Calibri" w:eastAsia="Calibri" w:hAnsi="Calibri"/>
          <w:sz w:val="22"/>
          <w:szCs w:val="22"/>
        </w:rPr>
        <w:t xml:space="preserve">Once the record is joined and normalized, three distinct and complementary mechanisms keep it honest — none of them replaces the others.</w:t>
      </w:r>
    </w:p>
    <w:p>
      <w:pPr>
        <w:pStyle w:val="ListParagraph"/>
        <w:numPr>
          <w:ilvl w:val="0"/>
          <w:numId w:val="3"/>
        </w:numPr>
        <w:spacing w:after="100" w:line="276"/>
      </w:pPr>
      <w:r>
        <w:rPr>
          <w:rFonts w:ascii="Calibri" w:cs="Calibri" w:eastAsia="Calibri" w:hAnsi="Calibri"/>
          <w:b/>
          <w:bCs/>
          <w:sz w:val="22"/>
          <w:szCs w:val="22"/>
        </w:rPr>
        <w:t xml:space="preserve">Structural validation.</w:t>
      </w:r>
      <w:r>
        <w:rPr>
          <w:rFonts w:ascii="Calibri" w:cs="Calibri" w:eastAsia="Calibri" w:hAnsi="Calibri"/>
          <w:sz w:val="22"/>
          <w:szCs w:val="22"/>
        </w:rPr>
        <w:t xml:space="preserve"> A scope line without a frozen demand line is refused, not recorded. A payment schedule that doesn’t reconcile to 100% is refused. This catches malformed entries.</w:t>
      </w:r>
    </w:p>
    <w:p>
      <w:pPr>
        <w:pStyle w:val="ListParagraph"/>
        <w:numPr>
          <w:ilvl w:val="0"/>
          <w:numId w:val="3"/>
        </w:numPr>
        <w:spacing w:after="100" w:line="276"/>
      </w:pPr>
      <w:r>
        <w:rPr>
          <w:rFonts w:ascii="Calibri" w:cs="Calibri" w:eastAsia="Calibri" w:hAnsi="Calibri"/>
          <w:b/>
          <w:bCs/>
          <w:sz w:val="22"/>
          <w:szCs w:val="22"/>
        </w:rPr>
        <w:t xml:space="preserve">Independent second-source corroboration.</w:t>
      </w:r>
      <w:r>
        <w:rPr>
          <w:rFonts w:ascii="Calibri" w:cs="Calibri" w:eastAsia="Calibri" w:hAnsi="Calibri"/>
          <w:sz w:val="22"/>
          <w:szCs w:val="22"/>
        </w:rPr>
        <w:t xml:space="preserve"> A “delivered” claim checked against a schedule activity’s completion, a commissioning-start date checked against an invoice trigger. This catches direct contradictions between two systems that don’t currently talk to each other.</w:t>
      </w:r>
    </w:p>
    <w:p>
      <w:pPr>
        <w:pStyle w:val="ListParagraph"/>
        <w:numPr>
          <w:ilvl w:val="0"/>
          <w:numId w:val="3"/>
        </w:numPr>
        <w:spacing w:after="100" w:line="276"/>
      </w:pPr>
      <w:r>
        <w:rPr>
          <w:rFonts w:ascii="Calibri" w:cs="Calibri" w:eastAsia="Calibri" w:hAnsi="Calibri"/>
          <w:b/>
          <w:bCs/>
          <w:sz w:val="22"/>
          <w:szCs w:val="22"/>
        </w:rPr>
        <w:t xml:space="preserve">Statistical anomaly detection.</w:t>
      </w:r>
      <w:r>
        <w:rPr>
          <w:rFonts w:ascii="Calibri" w:cs="Calibri" w:eastAsia="Calibri" w:hAnsi="Calibri"/>
          <w:sz w:val="22"/>
          <w:szCs w:val="22"/>
        </w:rPr>
        <w:t xml:space="preserve"> A price compared against the normalized executed-price band for that equipment type and quantity tier (the same comparable-set logic the ROM already computes, run in the opposite direction, against incoming entries instead of only outbound estimates). A date compared against the trajectory of everything else in its own dependency cohort — flagged when one obligation moves against the grain of everything correlated to it.</w:t>
      </w:r>
    </w:p>
    <w:p>
      <w:pPr>
        <w:spacing w:after="160" w:line="288"/>
      </w:pPr>
      <w:r>
        <w:rPr>
          <w:rFonts w:ascii="Calibri" w:cs="Calibri" w:eastAsia="Calibri" w:hAnsi="Calibri"/>
          <w:sz w:val="22"/>
          <w:szCs w:val="22"/>
        </w:rPr>
        <w:t xml:space="preserve">The third layer only works once there is a real comparable set to be strange relative to — it should carry the same confidence-tier honesty the ROM already does on thin data, and it should only ever alert for review, never auto-correct or auto-reject. An anomaly is not an error; it is a reason to look.</w:t>
      </w:r>
    </w:p>
    <w:p>
      <w:pPr>
        <w:pStyle w:val="Heading2"/>
        <w:spacing w:after="140" w:before="320"/>
      </w:pPr>
      <w:r>
        <w:rPr>
          <w:rFonts w:ascii="Calibri" w:cs="Calibri" w:eastAsia="Calibri" w:hAnsi="Calibri"/>
          <w:b/>
          <w:bCs/>
          <w:sz w:val="30"/>
          <w:szCs w:val="30"/>
        </w:rPr>
        <w:t xml:space="preserve">Residual value</w:t>
      </w:r>
    </w:p>
    <w:p>
      <w:pPr>
        <w:spacing w:after="160" w:line="288"/>
      </w:pPr>
      <w:r>
        <w:rPr>
          <w:rFonts w:ascii="Calibri" w:cs="Calibri" w:eastAsia="Calibri" w:hAnsi="Calibri"/>
          <w:sz w:val="22"/>
          <w:szCs w:val="22"/>
        </w:rPr>
        <w:t xml:space="preserve">A unit with telemetry has a health record. A unit with the full road behind it has a biography: what was specified, what was paid, under what terms, what changed, how long it sat, whether preservation was performed, what it tested at, how it has behaved, what has been serviced.</w:t>
      </w:r>
    </w:p>
    <w:p>
      <w:pPr>
        <w:spacing w:after="160" w:line="288"/>
      </w:pPr>
      <w:r>
        <w:rPr>
          <w:rFonts w:ascii="Calibri" w:cs="Calibri" w:eastAsia="Calibri" w:hAnsi="Calibri"/>
          <w:sz w:val="22"/>
          <w:szCs w:val="22"/>
        </w:rPr>
        <w:t xml:space="preserve">That is the difference between a used asset and a documented one.</w:t>
      </w:r>
    </w:p>
    <w:p>
      <w:pPr>
        <w:pStyle w:val="Heading1"/>
        <w:spacing w:after="160" w:before="320"/>
      </w:pPr>
      <w:r>
        <w:rPr>
          <w:rFonts w:ascii="Calibri" w:cs="Calibri" w:eastAsia="Calibri" w:hAnsi="Calibri"/>
          <w:b/>
          <w:bCs/>
          <w:sz w:val="40"/>
          <w:szCs w:val="40"/>
        </w:rPr>
        <w:t xml:space="preserve">The input problem</w:t>
      </w:r>
    </w:p>
    <w:p>
      <w:pPr>
        <w:spacing w:after="160" w:line="288"/>
      </w:pPr>
      <w:r>
        <w:rPr>
          <w:rFonts w:ascii="Calibri" w:cs="Calibri" w:eastAsia="Calibri" w:hAnsi="Calibri"/>
          <w:sz w:val="22"/>
          <w:szCs w:val="22"/>
        </w:rPr>
        <w:t xml:space="preserve">Everything above depends on capture being correct at the moment each fact becomes true. That is the only genuinely expensive part, and it is where systems like this usually die.</w:t>
      </w:r>
    </w:p>
    <w:p>
      <w:pPr>
        <w:pStyle w:val="Heading2"/>
        <w:spacing w:after="140" w:before="320"/>
      </w:pPr>
      <w:r>
        <w:rPr>
          <w:rFonts w:ascii="Calibri" w:cs="Calibri" w:eastAsia="Calibri" w:hAnsi="Calibri"/>
          <w:b/>
          <w:bCs/>
          <w:sz w:val="30"/>
          <w:szCs w:val="30"/>
        </w:rPr>
        <w:t xml:space="preserve">Derive rather than enter</w:t>
      </w:r>
    </w:p>
    <w:p>
      <w:pPr>
        <w:spacing w:after="160" w:line="288"/>
      </w:pPr>
      <w:r>
        <w:rPr>
          <w:rFonts w:ascii="Calibri" w:cs="Calibri" w:eastAsia="Calibri" w:hAnsi="Calibri"/>
          <w:sz w:val="22"/>
          <w:szCs w:val="22"/>
        </w:rPr>
        <w:t xml:space="preserve">Manufacturing solved this fifty years ago. Each layer computes from the one above: forecast to production plan to component requirement to purchase order. Humans set the top and maintain the parameters; everything below derives.</w:t>
      </w:r>
    </w:p>
    <w:p>
      <w:pPr>
        <w:spacing w:after="160" w:line="288"/>
      </w:pPr>
      <w:r>
        <w:rPr>
          <w:rFonts w:ascii="Calibri" w:cs="Calibri" w:eastAsia="Calibri" w:hAnsi="Calibri"/>
          <w:sz w:val="22"/>
          <w:szCs w:val="22"/>
        </w:rPr>
        <w:t xml:space="preserve">The same applies here. Demand at design is the forecast. The type taxonomy and specifications are the bill of materials. Lead time is the planning parameter. Buy-by dates compute. The buy list derives. Scope lines come from the winning quote. Exhibits generate.</w:t>
      </w:r>
    </w:p>
    <w:p>
      <w:pPr>
        <w:spacing w:after="160" w:line="288"/>
      </w:pPr>
      <w:r>
        <w:rPr>
          <w:rFonts w:ascii="Calibri" w:cs="Calibri" w:eastAsia="Calibri" w:hAnsi="Calibri"/>
          <w:b/>
          <w:bCs/>
          <w:sz w:val="22"/>
          <w:szCs w:val="22"/>
        </w:rPr>
        <w:t xml:space="preserve">The only things entered are the things that cannot be derived.</w:t>
      </w:r>
    </w:p>
    <w:p>
      <w:pPr>
        <w:pStyle w:val="Heading2"/>
        <w:spacing w:after="140" w:before="320"/>
      </w:pPr>
      <w:r>
        <w:rPr>
          <w:rFonts w:ascii="Calibri" w:cs="Calibri" w:eastAsia="Calibri" w:hAnsi="Calibri"/>
          <w:b/>
          <w:bCs/>
          <w:sz w:val="30"/>
          <w:szCs w:val="30"/>
        </w:rPr>
        <w:t xml:space="preserve">Make the record the mechanism</w:t>
      </w:r>
    </w:p>
    <w:p>
      <w:pPr>
        <w:spacing w:after="160" w:line="288"/>
      </w:pPr>
      <w:r>
        <w:rPr>
          <w:rFonts w:ascii="Calibri" w:cs="Calibri" w:eastAsia="Calibri" w:hAnsi="Calibri"/>
          <w:sz w:val="22"/>
          <w:szCs w:val="22"/>
        </w:rPr>
        <w:t xml:space="preserve">Where entry is unavoidable, it should be a byproduct of doing the work rather than a description of it.</w:t>
      </w:r>
    </w:p>
    <w:p>
      <w:pPr>
        <w:spacing w:after="160" w:line="288"/>
      </w:pPr>
      <w:r>
        <w:rPr>
          <w:rFonts w:ascii="Calibri" w:cs="Calibri" w:eastAsia="Calibri" w:hAnsi="Calibri"/>
          <w:sz w:val="22"/>
          <w:szCs w:val="22"/>
        </w:rPr>
        <w:t xml:space="preserve">Exhibits generate from the record — so the record is not documentation of the agreement, it </w:t>
      </w:r>
      <w:r>
        <w:rPr>
          <w:rFonts w:ascii="Calibri" w:cs="Calibri" w:eastAsia="Calibri" w:hAnsi="Calibri"/>
          <w:b/>
          <w:bCs/>
          <w:sz w:val="22"/>
          <w:szCs w:val="22"/>
        </w:rPr>
        <w:t xml:space="preserve">is</w:t>
      </w:r>
      <w:r>
        <w:rPr>
          <w:rFonts w:ascii="Calibri" w:cs="Calibri" w:eastAsia="Calibri" w:hAnsi="Calibri"/>
          <w:sz w:val="22"/>
          <w:szCs w:val="22"/>
        </w:rPr>
        <w:t xml:space="preserve"> the agreement. Payment fires from a shipment event — so a vendor reporting a shipment is not reporting, they are invoicing. A tag applied at the factory means every physical touch downstream is a scan rather than a form.</w:t>
      </w:r>
    </w:p>
    <w:p>
      <w:pPr>
        <w:pStyle w:val="Heading2"/>
        <w:spacing w:after="140" w:before="320"/>
      </w:pPr>
      <w:r>
        <w:rPr>
          <w:rFonts w:ascii="Calibri" w:cs="Calibri" w:eastAsia="Calibri" w:hAnsi="Calibri"/>
          <w:b/>
          <w:bCs/>
          <w:sz w:val="30"/>
          <w:szCs w:val="30"/>
        </w:rPr>
        <w:t xml:space="preserve">Exhibits and the contracting question</w:t>
      </w:r>
    </w:p>
    <w:p>
      <w:pPr>
        <w:spacing w:after="160" w:line="288"/>
      </w:pPr>
      <w:r>
        <w:rPr>
          <w:rFonts w:ascii="Calibri" w:cs="Calibri" w:eastAsia="Calibri" w:hAnsi="Calibri"/>
          <w:sz w:val="22"/>
          <w:szCs w:val="22"/>
        </w:rPr>
        <w:t xml:space="preserve">Viasel is an exhibits generator, not a contract-authoring platform — the natural reading of “exhibits generate from the record,” made explicit. The record already holds everything an exhibit needs: frozen demand, scope lines, terms, payment schedule. What it should never hold is the base agreement itself — boilerplate legal language is a solved problem, and every counterparty already has a template and a preference for whose paper they sign. Competing for that is a fight worth avoiding, not winning.</w:t>
      </w:r>
    </w:p>
    <w:p>
      <w:pPr>
        <w:spacing w:after="160" w:line="288"/>
      </w:pPr>
      <w:r>
        <w:rPr>
          <w:rFonts w:ascii="Calibri" w:cs="Calibri" w:eastAsia="Calibri" w:hAnsi="Calibri"/>
          <w:sz w:val="22"/>
          <w:szCs w:val="22"/>
        </w:rPr>
        <w:t xml:space="preserve">So the client keeps authoring and executing wherever they already do it — Procore or otherwise. Viasel’s exhibit is a live, generated view of the canonical record, referenced by the base agreement rather than pasted into it, which is the existing structural guarantee that a placeholder cannot survive execution because there is nothing left to leave blank.</w:t>
      </w:r>
    </w:p>
    <w:p>
      <w:pPr>
        <w:spacing w:after="160" w:line="288"/>
      </w:pPr>
      <w:r>
        <w:rPr>
          <w:rFonts w:ascii="Calibri" w:cs="Calibri" w:eastAsia="Calibri" w:hAnsi="Calibri"/>
          <w:sz w:val="22"/>
          <w:szCs w:val="22"/>
        </w:rPr>
        <w:t xml:space="preserve">The open question this leaves is what happens between generation and signature — a term negotiated down, a quantity trimmed, a price re-typed by hand into the executed file, none of it flowing back through the record. </w:t>
      </w:r>
      <w:r>
        <w:rPr>
          <w:rFonts w:ascii="Calibri" w:cs="Calibri" w:eastAsia="Calibri" w:hAnsi="Calibri"/>
          <w:b/>
          <w:bCs/>
          <w:sz w:val="22"/>
          <w:szCs w:val="22"/>
        </w:rPr>
        <w:t xml:space="preserve">The answer is reconciliation, not prevention.</w:t>
      </w:r>
      <w:r>
        <w:rPr>
          <w:rFonts w:ascii="Calibri" w:cs="Calibri" w:eastAsia="Calibri" w:hAnsi="Calibri"/>
          <w:sz w:val="22"/>
          <w:szCs w:val="22"/>
        </w:rPr>
        <w:t xml:space="preserve"> Once the agreement executes, Viasel retrieves the final signed document back from the client’s system via API and compares it, field by field, against the exhibit it generated — flagging every divergence for human review rather than silently trusting that what was signed matches what was generated. Nothing auto-corrects; a flag is a prompt to look, not a rewrite of the record. This closes the one gap generation alone cannot: a change made entirely outside Viasel, after the exhibit already exists, that never became a formal amendment.</w:t>
      </w:r>
    </w:p>
    <w:p>
      <w:pPr>
        <w:pStyle w:val="Heading2"/>
        <w:spacing w:after="140" w:before="320"/>
      </w:pPr>
      <w:r>
        <w:rPr>
          <w:rFonts w:ascii="Calibri" w:cs="Calibri" w:eastAsia="Calibri" w:hAnsi="Calibri"/>
          <w:b/>
          <w:bCs/>
          <w:sz w:val="30"/>
          <w:szCs w:val="30"/>
        </w:rPr>
        <w:t xml:space="preserve">Front-loaded judgment</w:t>
      </w:r>
    </w:p>
    <w:p>
      <w:pPr>
        <w:spacing w:after="160" w:line="288"/>
      </w:pPr>
      <w:r>
        <w:rPr>
          <w:rFonts w:ascii="Calibri" w:cs="Calibri" w:eastAsia="Calibri" w:hAnsi="Calibri"/>
          <w:b/>
          <w:bCs/>
          <w:sz w:val="22"/>
          <w:szCs w:val="22"/>
        </w:rPr>
        <w:t xml:space="preserve">Depth is exercised once, at demand and at agreement setup. Everything after is administration.</w:t>
      </w:r>
    </w:p>
    <w:p>
      <w:pPr>
        <w:spacing w:after="160" w:line="288"/>
      </w:pPr>
      <w:r>
        <w:rPr>
          <w:rFonts w:ascii="Calibri" w:cs="Calibri" w:eastAsia="Calibri" w:hAnsi="Calibri"/>
          <w:sz w:val="22"/>
          <w:szCs w:val="22"/>
        </w:rPr>
        <w:t xml:space="preserve">Someone who knows the design, the program, and the vendor decides what is required and what an agreement says. A few hours of genuine expertise. Everything downstream needs that structure to exist — not the knowledge behind it.</w:t>
      </w:r>
    </w:p>
    <w:p>
      <w:pPr>
        <w:spacing w:after="160" w:line="288"/>
      </w:pPr>
      <w:r>
        <w:rPr>
          <w:rFonts w:ascii="Calibri" w:cs="Calibri" w:eastAsia="Calibri" w:hAnsi="Calibri"/>
          <w:sz w:val="22"/>
          <w:szCs w:val="22"/>
        </w:rPr>
        <w:t xml:space="preserve">Today the judgment is applied and then lost, because demand is not captured and a purchase order is a document rather than a record. Every downstream party re-derives it. The same decision, made four times, sometimes differently.</w:t>
      </w:r>
    </w:p>
    <w:p>
      <w:pPr>
        <w:spacing w:after="160" w:line="288"/>
      </w:pPr>
      <w:r>
        <w:rPr>
          <w:rFonts w:ascii="Calibri" w:cs="Calibri" w:eastAsia="Calibri" w:hAnsi="Calibri"/>
          <w:b/>
          <w:bCs/>
          <w:sz w:val="22"/>
          <w:szCs w:val="22"/>
        </w:rPr>
        <w:t xml:space="preserve">This matters more every year, because the people with that depth are leaving.</w:t>
      </w:r>
      <w:r>
        <w:rPr>
          <w:rFonts w:ascii="Calibri" w:cs="Calibri" w:eastAsia="Calibri" w:hAnsi="Calibri"/>
          <w:sz w:val="22"/>
          <w:szCs w:val="22"/>
        </w:rPr>
        <w:t xml:space="preserve"> Expertise that should be spent once at the front is spent continuously downstream, by a shrinking number of people who have it.</w:t>
      </w:r>
    </w:p>
    <w:p>
      <w:pPr>
        <w:spacing w:after="160" w:line="288"/>
      </w:pPr>
      <w:r>
        <w:rPr>
          <w:rFonts w:ascii="Calibri" w:cs="Calibri" w:eastAsia="Calibri" w:hAnsi="Calibri"/>
          <w:b/>
          <w:bCs/>
          <w:sz w:val="22"/>
          <w:szCs w:val="22"/>
        </w:rPr>
        <w:t xml:space="preserve">The diagnostic: where a downstream task still requires judgment, the setup was incomplete.</w:t>
      </w:r>
    </w:p>
    <w:p>
      <w:pPr>
        <w:pStyle w:val="Heading2"/>
        <w:spacing w:after="140" w:before="320"/>
      </w:pPr>
      <w:r>
        <w:rPr>
          <w:rFonts w:ascii="Calibri" w:cs="Calibri" w:eastAsia="Calibri" w:hAnsi="Calibri"/>
          <w:b/>
          <w:bCs/>
          <w:sz w:val="30"/>
          <w:szCs w:val="30"/>
        </w:rPr>
        <w:t xml:space="preserve">The administrative case, and where it actually breaks</w:t>
      </w:r>
    </w:p>
    <w:p>
      <w:pPr>
        <w:spacing w:after="160" w:line="288"/>
      </w:pPr>
      <w:r>
        <w:rPr>
          <w:rFonts w:ascii="Calibri" w:cs="Calibri" w:eastAsia="Calibri" w:hAnsi="Calibri"/>
          <w:sz w:val="22"/>
          <w:szCs w:val="22"/>
        </w:rPr>
        <w:t xml:space="preserve">If demand is frozen upfront on quantity, type, and location (which it is, by design-spec discipline); if purchase and change orders are entered as frozen scope at the moment of commitment (which they are, contractually); and if dates are tracked closely at the project level (which they are, as a matter of program discipline) — then everything downstream is a read, not a judgment call. That is the diagnostic this concept has always made (see “The diagnostic,” above).</w:t>
      </w:r>
    </w:p>
    <w:p>
      <w:pPr>
        <w:spacing w:after="160" w:line="288"/>
      </w:pPr>
      <w:r>
        <w:rPr>
          <w:rFonts w:ascii="Calibri" w:cs="Calibri" w:eastAsia="Calibri" w:hAnsi="Calibri"/>
          <w:sz w:val="22"/>
          <w:szCs w:val="22"/>
        </w:rPr>
        <w:t xml:space="preserve">The honest caveat is where “correctly” breaks in practice, and the record has direct proof of it: a 2026 internal governance review of 52 executed purchase orders and change orders across two live data-center programs found a $1.279M mismatch between committed cost and what was actually tracked — not because the underlying discipline was absent, but because the freeze lived in a design document, the commitment lived in a procurement platform, and the date lived in a schedule tool or a verbal update, with nothing forcing the three to reconcile against each other as they moved. The discipline was real. The enforcement across systems was not.</w:t>
      </w:r>
    </w:p>
    <w:p>
      <w:pPr>
        <w:spacing w:after="160" w:line="288"/>
      </w:pPr>
      <w:r>
        <w:rPr>
          <w:rFonts w:ascii="Calibri" w:cs="Calibri" w:eastAsia="Calibri" w:hAnsi="Calibri"/>
          <w:sz w:val="22"/>
          <w:szCs w:val="22"/>
        </w:rPr>
        <w:t xml:space="preserve">This is why the record has to do more than capture data that already exists — it has to </w:t>
      </w:r>
      <w:r>
        <w:rPr>
          <w:rFonts w:ascii="Calibri" w:cs="Calibri" w:eastAsia="Calibri" w:hAnsi="Calibri"/>
          <w:i/>
          <w:iCs/>
          <w:sz w:val="22"/>
          <w:szCs w:val="22"/>
        </w:rPr>
        <w:t xml:space="preserve">refuse</w:t>
      </w:r>
      <w:r>
        <w:rPr>
          <w:rFonts w:ascii="Calibri" w:cs="Calibri" w:eastAsia="Calibri" w:hAnsi="Calibri"/>
          <w:sz w:val="22"/>
          <w:szCs w:val="22"/>
        </w:rPr>
        <w:t xml:space="preserve"> bad state (a scope line without a frozen demand line, a payment schedule that doesn’t reconcile to 100%) and </w:t>
      </w:r>
      <w:r>
        <w:rPr>
          <w:rFonts w:ascii="Calibri" w:cs="Calibri" w:eastAsia="Calibri" w:hAnsi="Calibri"/>
          <w:i/>
          <w:iCs/>
          <w:sz w:val="22"/>
          <w:szCs w:val="22"/>
        </w:rPr>
        <w:t xml:space="preserve">corroborate</w:t>
      </w:r>
      <w:r>
        <w:rPr>
          <w:rFonts w:ascii="Calibri" w:cs="Calibri" w:eastAsia="Calibri" w:hAnsi="Calibri"/>
          <w:sz w:val="22"/>
          <w:szCs w:val="22"/>
        </w:rPr>
        <w:t xml:space="preserve"> facts against a second independent source, rather than trusting any single system’s self-report. That is the actual product: not more data capture, but enforcement and cross-validation of discipline that already exists but currently lives in disconnected hands.</w:t>
      </w:r>
    </w:p>
    <w:p>
      <w:pPr>
        <w:pStyle w:val="Heading2"/>
        <w:spacing w:after="140" w:before="320"/>
      </w:pPr>
      <w:r>
        <w:rPr>
          <w:rFonts w:ascii="Calibri" w:cs="Calibri" w:eastAsia="Calibri" w:hAnsi="Calibri"/>
          <w:b/>
          <w:bCs/>
          <w:sz w:val="30"/>
          <w:szCs w:val="30"/>
        </w:rPr>
        <w:t xml:space="preserve">What stays irreducibly human</w:t>
      </w:r>
    </w:p>
    <w:p>
      <w:pPr>
        <w:spacing w:after="160" w:line="288"/>
      </w:pPr>
      <w:r>
        <w:rPr>
          <w:rFonts w:ascii="Calibri" w:cs="Calibri" w:eastAsia="Calibri" w:hAnsi="Calibri"/>
          <w:sz w:val="22"/>
          <w:szCs w:val="22"/>
        </w:rPr>
        <w:t xml:space="preserve">No system removes the need for someone to enter something, somewhere. Four things stay human regardless of how complete the model is:</w:t>
      </w:r>
    </w:p>
    <w:p>
      <w:pPr>
        <w:pStyle w:val="ListParagraph"/>
        <w:numPr>
          <w:ilvl w:val="0"/>
          <w:numId w:val="4"/>
        </w:numPr>
        <w:spacing w:after="100" w:line="276"/>
      </w:pPr>
      <w:r>
        <w:rPr>
          <w:rFonts w:ascii="Calibri" w:cs="Calibri" w:eastAsia="Calibri" w:hAnsi="Calibri"/>
          <w:b/>
          <w:bCs/>
          <w:sz w:val="22"/>
          <w:szCs w:val="22"/>
        </w:rPr>
        <w:t xml:space="preserve">The original judgment calls</w:t>
      </w:r>
      <w:r>
        <w:rPr>
          <w:rFonts w:ascii="Calibri" w:cs="Calibri" w:eastAsia="Calibri" w:hAnsi="Calibri"/>
          <w:sz w:val="22"/>
          <w:szCs w:val="22"/>
        </w:rPr>
        <w:t xml:space="preserve"> — design freezing quantity, type, and location; a contract admin setting scope-line terms at award. Front-loaded, once per project or agreement.</w:t>
      </w:r>
    </w:p>
    <w:p>
      <w:pPr>
        <w:pStyle w:val="ListParagraph"/>
        <w:numPr>
          <w:ilvl w:val="0"/>
          <w:numId w:val="4"/>
        </w:numPr>
        <w:spacing w:after="100" w:line="276"/>
      </w:pPr>
      <w:r>
        <w:rPr>
          <w:rFonts w:ascii="Calibri" w:cs="Calibri" w:eastAsia="Calibri" w:hAnsi="Calibri"/>
          <w:b/>
          <w:bCs/>
          <w:sz w:val="22"/>
          <w:szCs w:val="22"/>
        </w:rPr>
        <w:t xml:space="preserve">Witnessed real-world events</w:t>
      </w:r>
      <w:r>
        <w:rPr>
          <w:rFonts w:ascii="Calibri" w:cs="Calibri" w:eastAsia="Calibri" w:hAnsi="Calibri"/>
          <w:sz w:val="22"/>
          <w:szCs w:val="22"/>
        </w:rPr>
        <w:t xml:space="preserve"> — a factory test passing, a truck arriving, damage found on receipt. The record can’t observe the physical world; it can only make the attestation land once, against the right unit, instead of being re-typed three times in three systems.</w:t>
      </w:r>
    </w:p>
    <w:p>
      <w:pPr>
        <w:pStyle w:val="ListParagraph"/>
        <w:numPr>
          <w:ilvl w:val="0"/>
          <w:numId w:val="4"/>
        </w:numPr>
        <w:spacing w:after="100" w:line="276"/>
      </w:pPr>
      <w:r>
        <w:rPr>
          <w:rFonts w:ascii="Calibri" w:cs="Calibri" w:eastAsia="Calibri" w:hAnsi="Calibri"/>
          <w:b/>
          <w:bCs/>
          <w:sz w:val="22"/>
          <w:szCs w:val="22"/>
        </w:rPr>
        <w:t xml:space="preserve">Mapping an external code the first time it appears</w:t>
      </w:r>
      <w:r>
        <w:rPr>
          <w:rFonts w:ascii="Calibri" w:cs="Calibri" w:eastAsia="Calibri" w:hAnsi="Calibri"/>
          <w:sz w:val="22"/>
          <w:szCs w:val="22"/>
        </w:rPr>
        <w:t xml:space="preserve"> — a client’s WBS node or cost code, mapped once to the canonical record. After that, it’s derived forever (see “The mapping layer,” above).</w:t>
      </w:r>
    </w:p>
    <w:p>
      <w:pPr>
        <w:pStyle w:val="ListParagraph"/>
        <w:numPr>
          <w:ilvl w:val="0"/>
          <w:numId w:val="4"/>
        </w:numPr>
        <w:spacing w:after="100" w:line="276"/>
      </w:pPr>
      <w:r>
        <w:rPr>
          <w:rFonts w:ascii="Calibri" w:cs="Calibri" w:eastAsia="Calibri" w:hAnsi="Calibri"/>
          <w:b/>
          <w:bCs/>
          <w:sz w:val="22"/>
          <w:szCs w:val="22"/>
        </w:rPr>
        <w:t xml:space="preserve">Approving a change</w:t>
      </w:r>
      <w:r>
        <w:rPr>
          <w:rFonts w:ascii="Calibri" w:cs="Calibri" w:eastAsia="Calibri" w:hAnsi="Calibri"/>
          <w:sz w:val="22"/>
          <w:szCs w:val="22"/>
        </w:rPr>
        <w:t xml:space="preserve"> — an owner design directive, a change order, a schedule shift. The record can flag and route it. It can’t authorize it.</w:t>
      </w:r>
    </w:p>
    <w:p>
      <w:pPr>
        <w:spacing w:after="160" w:line="288"/>
      </w:pPr>
      <w:r>
        <w:rPr>
          <w:rFonts w:ascii="Calibri" w:cs="Calibri" w:eastAsia="Calibri" w:hAnsi="Calibri"/>
          <w:sz w:val="22"/>
          <w:szCs w:val="22"/>
        </w:rPr>
        <w:t xml:space="preserve">What persists beyond that is not a data problem but a trust problem: fat-finger error and misaligned-incentive misreporting (a vendor underreporting a slip, a GC not logging a verbal date change that makes them look bad). Structural rules catch malformed entries. They don’t catch a wrong-but-well-formed one. The only real defense is independent corroboration — the same fact checked against a second system that doesn’t share an incentive to misreport it.</w:t>
      </w:r>
    </w:p>
    <w:p>
      <w:pPr>
        <w:pStyle w:val="Heading2"/>
        <w:spacing w:after="140" w:before="320"/>
      </w:pPr>
      <w:r>
        <w:rPr>
          <w:rFonts w:ascii="Calibri" w:cs="Calibri" w:eastAsia="Calibri" w:hAnsi="Calibri"/>
          <w:b/>
          <w:bCs/>
          <w:sz w:val="30"/>
          <w:szCs w:val="30"/>
        </w:rPr>
        <w:t xml:space="preserve">The real entry burden, checked against real data</w:t>
      </w:r>
    </w:p>
    <w:p>
      <w:pPr>
        <w:spacing w:after="160" w:line="288"/>
      </w:pPr>
      <w:r>
        <w:rPr>
          <w:rFonts w:ascii="Calibri" w:cs="Calibri" w:eastAsia="Calibri" w:hAnsi="Calibri"/>
          <w:sz w:val="22"/>
          <w:szCs w:val="22"/>
        </w:rPr>
        <w:t xml:space="preserve">Across a full data-center program (Project Spade, both sites), the master purchase-order and change-order tracker holds 54 distinct commercial line entries. The equipment award memos — the bill-of-materials layer — hold roughly 24 entries, one per equipment package (e.g., one line: “Air-Cooled Chillers, Quantity 360, Unit Price $1,457,933.33”), each carrying a quantity field rather than one row per physical unit. That single entry, with its quantity, is what a demand line and scope line already are in this model — individual units are instantiated downstream from it, not hand-entered. The manual onboarding burden for a program of this scale is well under 100 entries, not thousands. What has to stay correct on an ongoing basis is the state of the thousands of units those entries expand into — which is the system doing its job continuously, not an onboarding cost.</w:t>
      </w:r>
    </w:p>
    <w:p>
      <w:pPr>
        <w:pStyle w:val="Heading1"/>
        <w:spacing w:after="160" w:before="320"/>
      </w:pPr>
      <w:r>
        <w:rPr>
          <w:rFonts w:ascii="Calibri" w:cs="Calibri" w:eastAsia="Calibri" w:hAnsi="Calibri"/>
          <w:b/>
          <w:bCs/>
          <w:sz w:val="40"/>
          <w:szCs w:val="40"/>
        </w:rPr>
        <w:t xml:space="preserve">What it is not</w:t>
      </w:r>
    </w:p>
    <w:p>
      <w:pPr>
        <w:pStyle w:val="ListParagraph"/>
        <w:numPr>
          <w:ilvl w:val="0"/>
          <w:numId w:val="2"/>
        </w:numPr>
        <w:spacing w:after="100" w:line="276"/>
      </w:pPr>
      <w:r>
        <w:rPr>
          <w:rFonts w:ascii="Calibri" w:cs="Calibri" w:eastAsia="Calibri" w:hAnsi="Calibri"/>
          <w:b/>
          <w:bCs/>
          <w:sz w:val="22"/>
          <w:szCs w:val="22"/>
        </w:rPr>
        <w:t xml:space="preserve">Not a replacement for cost or project management systems.</w:t>
      </w:r>
      <w:r>
        <w:rPr>
          <w:rFonts w:ascii="Calibri" w:cs="Calibri" w:eastAsia="Calibri" w:hAnsi="Calibri"/>
          <w:sz w:val="22"/>
          <w:szCs w:val="22"/>
        </w:rPr>
        <w:t xml:space="preserve"> They keep doing money, document execution, and closeout. The record exports to them at cost-code level and reads back.</w:t>
      </w:r>
    </w:p>
    <w:p>
      <w:pPr>
        <w:pStyle w:val="ListParagraph"/>
        <w:numPr>
          <w:ilvl w:val="0"/>
          <w:numId w:val="2"/>
        </w:numPr>
        <w:spacing w:after="100" w:line="276"/>
      </w:pPr>
      <w:r>
        <w:rPr>
          <w:rFonts w:ascii="Calibri" w:cs="Calibri" w:eastAsia="Calibri" w:hAnsi="Calibri"/>
          <w:b/>
          <w:bCs/>
          <w:sz w:val="22"/>
          <w:szCs w:val="22"/>
        </w:rPr>
        <w:t xml:space="preserve">Not a commissioning system.</w:t>
      </w:r>
      <w:r>
        <w:rPr>
          <w:rFonts w:ascii="Calibri" w:cs="Calibri" w:eastAsia="Calibri" w:hAnsi="Calibri"/>
          <w:sz w:val="22"/>
          <w:szCs w:val="22"/>
        </w:rPr>
        <w:t xml:space="preserve"> Commissioning platforms own startup onward; the record holds the mapping and inherits the results.</w:t>
      </w:r>
    </w:p>
    <w:p>
      <w:pPr>
        <w:pStyle w:val="ListParagraph"/>
        <w:numPr>
          <w:ilvl w:val="0"/>
          <w:numId w:val="2"/>
        </w:numPr>
        <w:spacing w:after="100" w:line="276"/>
      </w:pPr>
      <w:r>
        <w:rPr>
          <w:rFonts w:ascii="Calibri" w:cs="Calibri" w:eastAsia="Calibri" w:hAnsi="Calibri"/>
          <w:b/>
          <w:bCs/>
          <w:sz w:val="22"/>
          <w:szCs w:val="22"/>
        </w:rPr>
        <w:t xml:space="preserve">Not a materials-management platform.</w:t>
      </w:r>
      <w:r>
        <w:rPr>
          <w:rFonts w:ascii="Calibri" w:cs="Calibri" w:eastAsia="Calibri" w:hAnsi="Calibri"/>
          <w:sz w:val="22"/>
          <w:szCs w:val="22"/>
        </w:rPr>
        <w:t xml:space="preserve"> Yard-scanning tools do that well; where volume justifies one, it becomes a custody input.</w:t>
      </w:r>
    </w:p>
    <w:p>
      <w:pPr>
        <w:pStyle w:val="ListParagraph"/>
        <w:numPr>
          <w:ilvl w:val="0"/>
          <w:numId w:val="2"/>
        </w:numPr>
        <w:spacing w:after="100" w:line="276"/>
      </w:pPr>
      <w:r>
        <w:rPr>
          <w:rFonts w:ascii="Calibri" w:cs="Calibri" w:eastAsia="Calibri" w:hAnsi="Calibri"/>
          <w:b/>
          <w:bCs/>
          <w:sz w:val="22"/>
          <w:szCs w:val="22"/>
        </w:rPr>
        <w:t xml:space="preserve">Not a monitoring product.</w:t>
      </w:r>
      <w:r>
        <w:rPr>
          <w:rFonts w:ascii="Calibri" w:cs="Calibri" w:eastAsia="Calibri" w:hAnsi="Calibri"/>
          <w:sz w:val="22"/>
          <w:szCs w:val="22"/>
        </w:rPr>
        <w:t xml:space="preserve"> Telemetry is a feed, and deviation is a query.</w:t>
      </w:r>
    </w:p>
    <w:p>
      <w:pPr>
        <w:pStyle w:val="ListParagraph"/>
        <w:numPr>
          <w:ilvl w:val="0"/>
          <w:numId w:val="2"/>
        </w:numPr>
        <w:spacing w:after="100" w:line="276"/>
      </w:pPr>
      <w:r>
        <w:rPr>
          <w:rFonts w:ascii="Calibri" w:cs="Calibri" w:eastAsia="Calibri" w:hAnsi="Calibri"/>
          <w:b/>
          <w:bCs/>
          <w:sz w:val="22"/>
          <w:szCs w:val="22"/>
        </w:rPr>
        <w:t xml:space="preserve">Not job management.</w:t>
      </w:r>
      <w:r>
        <w:rPr>
          <w:rFonts w:ascii="Calibri" w:cs="Calibri" w:eastAsia="Calibri" w:hAnsi="Calibri"/>
          <w:sz w:val="22"/>
          <w:szCs w:val="22"/>
        </w:rPr>
        <w:t xml:space="preserve"> Work is held against equipment; projects are not.</w:t>
      </w:r>
    </w:p>
    <w:p>
      <w:pPr>
        <w:pStyle w:val="ListParagraph"/>
        <w:numPr>
          <w:ilvl w:val="0"/>
          <w:numId w:val="2"/>
        </w:numPr>
        <w:spacing w:after="100" w:line="276"/>
      </w:pPr>
      <w:r>
        <w:rPr>
          <w:rFonts w:ascii="Calibri" w:cs="Calibri" w:eastAsia="Calibri" w:hAnsi="Calibri"/>
          <w:b/>
          <w:bCs/>
          <w:sz w:val="22"/>
          <w:szCs w:val="22"/>
        </w:rPr>
        <w:t xml:space="preserve">Not another tracker.</w:t>
      </w:r>
      <w:r>
        <w:rPr>
          <w:rFonts w:ascii="Calibri" w:cs="Calibri" w:eastAsia="Calibri" w:hAnsi="Calibri"/>
          <w:sz w:val="22"/>
          <w:szCs w:val="22"/>
        </w:rPr>
        <w:t xml:space="preserve"> If it becomes one more place to type the same numbers, it has failed.</w:t>
      </w:r>
    </w:p>
    <w:p>
      <w:pPr>
        <w:spacing w:after="160" w:line="288"/>
      </w:pPr>
      <w:r>
        <w:rPr>
          <w:rFonts w:ascii="Calibri" w:cs="Calibri" w:eastAsia="Calibri" w:hAnsi="Calibri"/>
          <w:b/>
          <w:bCs/>
          <w:sz w:val="22"/>
          <w:szCs w:val="22"/>
        </w:rPr>
        <w:t xml:space="preserve">Platforms are interchangeable and the record is not.</w:t>
      </w:r>
      <w:r>
        <w:rPr>
          <w:rFonts w:ascii="Calibri" w:cs="Calibri" w:eastAsia="Calibri" w:hAnsi="Calibri"/>
          <w:sz w:val="22"/>
          <w:szCs w:val="22"/>
        </w:rPr>
        <w:t xml:space="preserve"> Cost systems get migrated and take their history with them. Today’s project platform is tomorrow’s legacy conversion. If identity lives in the platform, every migration is a scramble. If identity is yours, migration is remapping.</w:t>
      </w:r>
    </w:p>
    <w:p>
      <w:pPr>
        <w:pStyle w:val="Heading1"/>
        <w:spacing w:after="160" w:before="320"/>
      </w:pPr>
      <w:r>
        <w:rPr>
          <w:rFonts w:ascii="Calibri" w:cs="Calibri" w:eastAsia="Calibri" w:hAnsi="Calibri"/>
          <w:b/>
          <w:bCs/>
          <w:sz w:val="40"/>
          <w:szCs w:val="40"/>
        </w:rPr>
        <w:t xml:space="preserve">Who writes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after="40" w:line="260"/>
            </w:pPr>
            <w:r>
              <w:rPr>
                <w:rFonts w:ascii="Calibri" w:cs="Calibri" w:eastAsia="Calibri" w:hAnsi="Calibri"/>
                <w:b/>
                <w:bCs/>
                <w:sz w:val="21"/>
                <w:szCs w:val="21"/>
              </w:rPr>
              <w:t xml:space="preserve">Party</w:t>
            </w:r>
          </w:p>
        </w:tc>
        <w:tc>
          <w:tcPr>
            <w:tcW w:type="dxa" w:w="338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after="40" w:line="260"/>
            </w:pPr>
            <w:r>
              <w:rPr>
                <w:rFonts w:ascii="Calibri" w:cs="Calibri" w:eastAsia="Calibri" w:hAnsi="Calibri"/>
                <w:b/>
                <w:bCs/>
                <w:sz w:val="21"/>
                <w:szCs w:val="21"/>
              </w:rPr>
              <w:t xml:space="preserve">Contributes</w:t>
            </w:r>
          </w:p>
        </w:tc>
        <w:tc>
          <w:tcPr>
            <w:tcW w:type="dxa" w:w="338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after="40" w:line="260"/>
            </w:pPr>
            <w:r>
              <w:rPr>
                <w:rFonts w:ascii="Calibri" w:cs="Calibri" w:eastAsia="Calibri" w:hAnsi="Calibri"/>
                <w:b/>
                <w:bCs/>
                <w:sz w:val="21"/>
                <w:szCs w:val="21"/>
              </w:rPr>
              <w:t xml:space="preserve">Consumes</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Design</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Demand, specifications, positions, required dates</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Priced options, feasibility, available inventory</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Sourcing</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Solicitations, quotes, leveling, award</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Buy-by queue, lead times, vendor reliability</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Vendor</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Production stage, commitments, factory test, serials, documents</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Scope, required dates, approved changes</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Developer</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Agreements, changes, terms, allocation, protocols</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Current spec, price, location, status, exposure</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Custodian / integrator</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Receipt, condition, custody, attestation, transformation</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Arrivals, protocol spec, zone constraints</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Contractor</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Site receipt, install position and date</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What is arriving, when, where it goes</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Operations</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Telemetry, service, failures, replacements</w:t>
            </w:r>
          </w:p>
        </w:tc>
        <w:tc>
          <w:tcPr>
            <w:tcW w:type="dxa" w:w="3380"/>
            <w:tcBorders>
              <w:top w:val="single" w:color="999999" w:sz="4"/>
              <w:left w:val="single" w:color="999999" w:sz="4"/>
              <w:bottom w:val="single" w:color="999999" w:sz="4"/>
              <w:right w:val="single" w:color="999999" w:sz="4"/>
            </w:tcBorders>
            <w:tcMar>
              <w:top w:type="dxa" w:w="80"/>
              <w:left w:type="dxa" w:w="120"/>
              <w:bottom w:type="dxa" w:w="80"/>
              <w:right w:type="dxa" w:w="120"/>
            </w:tcMar>
            <w:vAlign w:val="top"/>
          </w:tcPr>
          <w:p>
            <w:pPr>
              <w:spacing w:after="40" w:line="260"/>
            </w:pPr>
            <w:r>
              <w:rPr>
                <w:rFonts w:ascii="Calibri" w:cs="Calibri" w:eastAsia="Calibri" w:hAnsi="Calibri"/>
                <w:sz w:val="22"/>
                <w:szCs w:val="22"/>
              </w:rPr>
              <w:t xml:space="preserve">Full provenance, warranty, baseline, as-built</w:t>
            </w:r>
          </w:p>
        </w:tc>
      </w:tr>
    </w:tbl>
    <w:p>
      <w:pPr>
        <w:spacing w:after="160" w:line="288"/>
      </w:pPr>
      <w:r>
        <w:rPr>
          <w:rFonts w:ascii="Calibri" w:cs="Calibri" w:eastAsia="Calibri" w:hAnsi="Calibri"/>
          <w:sz w:val="22"/>
          <w:szCs w:val="22"/>
        </w:rPr>
        <w:t xml:space="preserve">The vendor holds half the information the owner needs, and today the relationship is chase-and-retype. Shared-object beats that for both — and their payment fires on what they report.</w:t>
      </w:r>
    </w:p>
    <w:p>
      <w:pPr>
        <w:spacing w:after="160" w:line="288"/>
      </w:pPr>
      <w:r>
        <w:rPr>
          <w:rFonts w:ascii="Calibri" w:cs="Calibri" w:eastAsia="Calibri" w:hAnsi="Calibri"/>
          <w:b/>
          <w:bCs/>
          <w:sz w:val="22"/>
          <w:szCs w:val="22"/>
        </w:rPr>
        <w:t xml:space="preserve">Permissions attach to records and fields, not folders</w:t>
      </w:r>
      <w:r>
        <w:rPr>
          <w:rFonts w:ascii="Calibri" w:cs="Calibri" w:eastAsia="Calibri" w:hAnsi="Calibri"/>
          <w:sz w:val="22"/>
          <w:szCs w:val="22"/>
        </w:rPr>
        <w:t xml:space="preserve">, which is what makes commercial data invisible to operational seats without blocking the work.</w:t>
      </w:r>
    </w:p>
    <w:p>
      <w:pPr>
        <w:pStyle w:val="Heading1"/>
        <w:spacing w:after="160" w:before="320"/>
      </w:pPr>
      <w:r>
        <w:rPr>
          <w:rFonts w:ascii="Calibri" w:cs="Calibri" w:eastAsia="Calibri" w:hAnsi="Calibri"/>
          <w:b/>
          <w:bCs/>
          <w:sz w:val="40"/>
          <w:szCs w:val="40"/>
        </w:rPr>
        <w:t xml:space="preserve">Why the pattern generalizes</w:t>
      </w:r>
    </w:p>
    <w:p>
      <w:pPr>
        <w:spacing w:after="160" w:line="288"/>
      </w:pPr>
      <w:r>
        <w:rPr>
          <w:rFonts w:ascii="Calibri" w:cs="Calibri" w:eastAsia="Calibri" w:hAnsi="Calibri"/>
          <w:sz w:val="22"/>
          <w:szCs w:val="22"/>
        </w:rPr>
        <w:t xml:space="preserve">Scope discipline is what makes it portable. Kept to equipment lifecycle, it holds anywhere capital equipment is bought direct, moves through stages, and outlives the project that installed it — hospitals, fabs, utilities, industrial plants, transit.</w:t>
      </w:r>
    </w:p>
    <w:p>
      <w:pPr>
        <w:spacing w:after="160" w:line="288"/>
      </w:pPr>
      <w:r>
        <w:rPr>
          <w:rFonts w:ascii="Calibri" w:cs="Calibri" w:eastAsia="Calibri" w:hAnsi="Calibri"/>
          <w:sz w:val="22"/>
          <w:szCs w:val="22"/>
        </w:rPr>
        <w:t xml:space="preserve">Data centers are where it is most acute: the highest equipment-to-building ratio, the shortest schedules, the most repetition, and the largest single-campus spend. Solving it there produces a model that transfers.</w:t>
      </w:r>
    </w:p>
    <w:p>
      <w:pPr>
        <w:pStyle w:val="Heading1"/>
        <w:spacing w:after="160" w:before="320"/>
      </w:pPr>
      <w:r>
        <w:rPr>
          <w:rFonts w:ascii="Calibri" w:cs="Calibri" w:eastAsia="Calibri" w:hAnsi="Calibri"/>
          <w:b/>
          <w:bCs/>
          <w:sz w:val="40"/>
          <w:szCs w:val="40"/>
        </w:rPr>
        <w:t xml:space="preserve">Custody and distribution</w:t>
      </w:r>
    </w:p>
    <w:p>
      <w:pPr>
        <w:spacing w:after="160" w:line="288"/>
      </w:pPr>
      <w:r>
        <w:rPr>
          <w:rFonts w:ascii="Calibri" w:cs="Calibri" w:eastAsia="Calibri" w:hAnsi="Calibri"/>
          <w:b/>
          <w:bCs/>
          <w:sz w:val="22"/>
          <w:szCs w:val="22"/>
        </w:rPr>
        <w:t xml:space="preserve">The record is owned by whoever holds title to the equipment.</w:t>
      </w:r>
      <w:r>
        <w:rPr>
          <w:rFonts w:ascii="Calibri" w:cs="Calibri" w:eastAsia="Calibri" w:hAnsi="Calibri"/>
          <w:sz w:val="22"/>
          <w:szCs w:val="22"/>
        </w:rPr>
        <w:t xml:space="preserve"> Ownership and access are different things: one owner, many scoped leases. The title-holder owns the record; every other party — design, sourcing, vendor, custodian, contractor, operations — writes to its own face through a lease scoped to records and fields, not folders. A vendor’s lease is portable: one clean spine of their own state carried across every customer, rather than a bespoke relationship with each. Participation costs them nothing they fear — the buyer already holds the executed price, so the vendor contributes state, not new pricing exposure.</w:t>
      </w:r>
    </w:p>
    <w:p>
      <w:pPr>
        <w:spacing w:after="160" w:line="288"/>
      </w:pPr>
      <w:r>
        <w:rPr>
          <w:rFonts w:ascii="Calibri" w:cs="Calibri" w:eastAsia="Calibri" w:hAnsi="Calibri"/>
          <w:b/>
          <w:bCs/>
          <w:sz w:val="22"/>
          <w:szCs w:val="22"/>
        </w:rPr>
        <w:t xml:space="preserve">Custody follows the equipment.</w:t>
      </w:r>
      <w:r>
        <w:rPr>
          <w:rFonts w:ascii="Calibri" w:cs="Calibri" w:eastAsia="Calibri" w:hAnsi="Calibri"/>
          <w:sz w:val="22"/>
          <w:szCs w:val="22"/>
        </w:rPr>
        <w:t xml:space="preserve"> It transfers with title — developer to owner at handover, owner to the next owner at resale — and the transfer splits: unit-level provenance is gifted to the new holder; the normalized cross-campus price history stays with the party that accumulated it. If the owner self-develops, there is no handoff.</w:t>
      </w:r>
    </w:p>
    <w:p>
      <w:pPr>
        <w:spacing w:after="160" w:line="288"/>
      </w:pPr>
      <w:r>
        <w:rPr>
          <w:rFonts w:ascii="Calibri" w:cs="Calibri" w:eastAsia="Calibri" w:hAnsi="Calibri"/>
          <w:b/>
          <w:bCs/>
          <w:sz w:val="22"/>
          <w:szCs w:val="22"/>
        </w:rPr>
        <w:t xml:space="preserve">The transfer is the distribution.</w:t>
      </w:r>
      <w:r>
        <w:rPr>
          <w:rFonts w:ascii="Calibri" w:cs="Calibri" w:eastAsia="Calibri" w:hAnsi="Calibri"/>
          <w:sz w:val="22"/>
          <w:szCs w:val="22"/>
        </w:rPr>
        <w:t xml:space="preserve"> Every handoff hands the next holder a record they need and cannot recreate, so each becomes a subscriber in turn. The record carries the product to its next owner. Single-owner value stands alone from day one; breadth is upside, not a precondition.</w:t>
      </w:r>
    </w:p>
    <w:p>
      <w:pPr>
        <w:pStyle w:val="Heading1"/>
        <w:spacing w:after="160" w:before="320"/>
      </w:pPr>
      <w:r>
        <w:rPr>
          <w:rFonts w:ascii="Calibri" w:cs="Calibri" w:eastAsia="Calibri" w:hAnsi="Calibri"/>
          <w:b/>
          <w:bCs/>
          <w:sz w:val="40"/>
          <w:szCs w:val="40"/>
        </w:rPr>
        <w:t xml:space="preserve">Open questions</w:t>
      </w:r>
    </w:p>
    <w:p>
      <w:pPr>
        <w:spacing w:after="160" w:line="288"/>
      </w:pPr>
      <w:r>
        <w:rPr>
          <w:rFonts w:ascii="Calibri" w:cs="Calibri" w:eastAsia="Calibri" w:hAnsi="Calibri"/>
          <w:b/>
          <w:bCs/>
          <w:sz w:val="22"/>
          <w:szCs w:val="22"/>
        </w:rPr>
        <w:t xml:space="preserve">IT hardware.</w:t>
      </w:r>
      <w:r>
        <w:rPr>
          <w:rFonts w:ascii="Calibri" w:cs="Calibri" w:eastAsia="Calibri" w:hAnsi="Calibri"/>
          <w:sz w:val="22"/>
          <w:szCs w:val="22"/>
        </w:rPr>
        <w:t xml:space="preserve"> A far larger asset base with faster refresh cycles and different buyers. If in scope, the concept strengthens considerably and the lifecycle model changes.</w:t>
      </w:r>
    </w:p>
    <w:p>
      <w:pPr>
        <w:spacing w:after="160" w:line="288"/>
      </w:pPr>
      <w:r>
        <w:rPr>
          <w:rFonts w:ascii="Calibri" w:cs="Calibri" w:eastAsia="Calibri" w:hAnsi="Calibri"/>
          <w:b/>
          <w:bCs/>
          <w:sz w:val="22"/>
          <w:szCs w:val="22"/>
        </w:rPr>
        <w:t xml:space="preserve">Pooled history — deferred, not open.</w:t>
      </w:r>
      <w:r>
        <w:rPr>
          <w:rFonts w:ascii="Calibri" w:cs="Calibri" w:eastAsia="Calibri" w:hAnsi="Calibri"/>
          <w:sz w:val="22"/>
          <w:szCs w:val="22"/>
        </w:rPr>
        <w:t xml:space="preserve"> Breadth beats depth, and no single owner reaches the breadth that makes price and lead-time data most valuable. But pooling is where one buyer’s price becomes visible to another — real new exposure and a first-mover problem among competitors. Deliberately out of scope for the first build; single-owner is achievable now and does not depend on it.</w:t>
      </w:r>
    </w:p>
    <w:p>
      <w:pPr>
        <w:spacing w:after="160" w:line="288"/>
      </w:pPr>
      <w:r>
        <w:rPr>
          <w:rFonts w:ascii="Calibri" w:cs="Calibri" w:eastAsia="Calibri" w:hAnsi="Calibri"/>
          <w:b/>
          <w:bCs/>
          <w:sz w:val="22"/>
          <w:szCs w:val="22"/>
        </w:rPr>
        <w:t xml:space="preserve">The first slice.</w:t>
      </w:r>
      <w:r>
        <w:rPr>
          <w:rFonts w:ascii="Calibri" w:cs="Calibri" w:eastAsia="Calibri" w:hAnsi="Calibri"/>
          <w:sz w:val="22"/>
          <w:szCs w:val="22"/>
        </w:rPr>
        <w:t xml:space="preserve"> The road is long; the spine is short. Demand → freeze → match → scope lines → change events resolving. If derivation holds end to end on one narrow path against data where the answer is already known, everything else is addition.</w:t>
      </w:r>
    </w:p>
    <w:p>
      <w:pPr>
        <w:pBdr>
          <w:bottom w:val="single" w:color="AAAAAA" w:sz="6" w:space="1"/>
        </w:pBdr>
        <w:spacing w:after="200" w:before="200"/>
      </w:pPr>
    </w:p>
    <w:p>
      <w:pPr>
        <w:spacing w:after="0" w:before="120"/>
      </w:pPr>
      <w:r>
        <w:rPr>
          <w:rFonts w:ascii="Calibri" w:cs="Calibri" w:eastAsia="Calibri" w:hAnsi="Calibri"/>
          <w:i/>
          <w:iCs/>
          <w:sz w:val="20"/>
          <w:szCs w:val="20"/>
        </w:rPr>
        <w:t xml:space="preserve">v3.0 — concept.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30" w:before="26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110" w:before="220"/>
      <w:outlineLvl w:val="2"/>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wzpaji_i-1vupx_nvdkx" Type="http://schemas.openxmlformats.org/officeDocument/2006/relationships/hyperlink" Target="https://www.youtube.com/watch?v=3tGKrDkyljQ" TargetMode="External"/><Relationship Id="rIdkfjjh26s_mlhycxffo2ud" Type="http://schemas.openxmlformats.org/officeDocument/2006/relationships/hyperlink" Target="https://support.procore.com/products/online/user-guide/project-level/commitments/tutorials/add-a-related-item-to-a-purchase-order-or-subcontract" TargetMode="External"/><Relationship Id="rIdz-_vsxjgljbghj9h6uqlg" Type="http://schemas.openxmlformats.org/officeDocument/2006/relationships/hyperlink" Target="https://support.procore.com/products/portfolio-financials/user-guide/reporting" TargetMode="External"/><Relationship Id="rIdqw3my22ogzyoznesge3cp" Type="http://schemas.openxmlformats.org/officeDocument/2006/relationships/hyperlink" Target="https://exto360.com/exto18/wp-content/uploads/2026/03/AWS-Data-Center-Campus.pdf" TargetMode="External"/><Relationship Id="rIddmlcl3-yvx7biafb3cpql" Type="http://schemas.openxmlformats.org/officeDocument/2006/relationships/hyperlink" Target="https://www.cxalloy.com/" TargetMode="External"/><Relationship Id="rIdwgdt66o1r0wauoavfs8jb" Type="http://schemas.openxmlformats.org/officeDocument/2006/relationships/hyperlink" Target="https://docs.oracle.com/cd/F88968_01/English/User_Guides/p6_pro_user/work_breakdown_structure.htm" TargetMode="External"/><Relationship Id="rIdcjdeavasq9ov0eekgocgt" Type="http://schemas.openxmlformats.org/officeDocument/2006/relationships/hyperlink" Target="https://docs.oracle.com/cd/F51301_01/English/Integration_Documentation/rest_api/rest-endpoints.html" TargetMode="External"/><Relationship Id="rIdtzhx6kbglbl1zhzyatgqw" Type="http://schemas.openxmlformats.org/officeDocument/2006/relationships/hyperlink" Target="https://www.gryps.io/product" TargetMode="External"/><Relationship Id="rIdm9xxvwpoorkr3jhfzh7eu" Type="http://schemas.openxmlformats.org/officeDocument/2006/relationships/hyperlink" Target="https://venturebeat.com/technology/gryps-an-rpa-platform-focusing-on-construction-raises-1-5m" TargetMode="External"/><Relationship Id="rIdth0g_-rpgcrk6rpw0fdj9" Type="http://schemas.openxmlformats.org/officeDocument/2006/relationships/hyperlink" Target="https://4castplus.com/expediting-software/" TargetMode="External"/><Relationship Id="rIdmqalffxnzlu90kkaqjphv" Type="http://schemas.openxmlformats.org/officeDocument/2006/relationships/hyperlink" Target="https://www.orcera.ai/industries/industrial-construction" TargetMode="External"/><Relationship Id="rIdayv9tv5ipjfxc4nuyzjr8" Type="http://schemas.openxmlformats.org/officeDocument/2006/relationships/hyperlink" Target="https://www.irecruit.co/insights/how-data-center-construction-project-managers-manage-equipment-lead-times" TargetMode="External"/><Relationship Id="rIdjgckgn-nnbfuxbrlwnugf" Type="http://schemas.openxmlformats.org/officeDocument/2006/relationships/hyperlink" Target="https://v2.support.procore.com/en-ca/process-guides/owner-financial-management-user-guide/work-breakdown-structure-setup/" TargetMode="External"/><Relationship Id="rId8l203zhro4lsh8bdl2l-r" Type="http://schemas.openxmlformats.org/officeDocument/2006/relationships/hyperlink" Target="https://theconstructionstandard.com/download-cost-codes-cost-estimation" TargetMode="External"/><Relationship Id="rIdones_pt6eq6zn6ofbp1sc" Type="http://schemas.openxmlformats.org/officeDocument/2006/relationships/hyperlink" Target="https://docs.oracle.com/cd/F88968_01/English/User_Guides/p6_pro_user/work_breakdown_structure.htm"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2026-08-09T18:44:21.322Z</dcterms:created>
  <dcterms:modified xsi:type="dcterms:W3CDTF">2026-08-09T18:44:21.323Z</dcterms:modified>
</cp:coreProperties>
</file>

<file path=docProps/custom.xml><?xml version="1.0" encoding="utf-8"?>
<Properties xmlns="http://schemas.openxmlformats.org/officeDocument/2006/custom-properties" xmlns:vt="http://schemas.openxmlformats.org/officeDocument/2006/docPropsVTypes"/>
</file>