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44"/>
          <w:szCs w:val="44"/>
        </w:rPr>
        <w:t xml:space="preserve">Viasel — MVP Scope &amp; Sequencing</w:t>
      </w:r>
    </w:p>
    <w:p>
      <w:pPr>
        <w:spacing w:after="240"/>
      </w:pPr>
      <w:r>
        <w:rPr>
          <w:rFonts w:ascii="Calibri" w:cs="Calibri" w:eastAsia="Calibri" w:hAnsi="Calibri"/>
          <w:i/>
          <w:iCs/>
          <w:sz w:val="26"/>
          <w:szCs w:val="26"/>
        </w:rPr>
        <w:t xml:space="preserve">Full phased roadmap, against the v3.0 build specification</w:t>
      </w:r>
    </w:p>
    <w:p>
      <w:pPr>
        <w:spacing w:after="160" w:line="288"/>
      </w:pPr>
      <w:r>
        <w:rPr>
          <w:rFonts w:ascii="Calibri" w:cs="Calibri" w:eastAsia="Calibri" w:hAnsi="Calibri"/>
          <w:sz w:val="22"/>
          <w:szCs w:val="22"/>
        </w:rPr>
        <w:t xml:space="preserve">Cost and build speed are deliberately out of scope for this document. This defines what needs to exist, in what order, and why — not how long it takes or what it costs.</w:t>
      </w:r>
    </w:p>
    <w:p>
      <w:pPr>
        <w:pStyle w:val="Heading1"/>
        <w:spacing w:after="160" w:before="320"/>
      </w:pPr>
      <w:r>
        <w:rPr>
          <w:rFonts w:ascii="Calibri" w:cs="Calibri" w:eastAsia="Calibri" w:hAnsi="Calibri"/>
          <w:b/>
          <w:bCs/>
          <w:sz w:val="40"/>
          <w:szCs w:val="40"/>
        </w:rPr>
        <w:t xml:space="preserve">Why this sequencing</w:t>
      </w:r>
    </w:p>
    <w:p>
      <w:pPr>
        <w:spacing w:after="160" w:line="288"/>
      </w:pPr>
      <w:r>
        <w:rPr>
          <w:rFonts w:ascii="Calibri" w:cs="Calibri" w:eastAsia="Calibri" w:hAnsi="Calibri"/>
          <w:sz w:val="22"/>
          <w:szCs w:val="22"/>
        </w:rPr>
        <w:t xml:space="preserve">All four phases below run on the same canonical record — unit identity, set upfront by design (what’s needed, where), with dates layered on top (by when). Phase 1 establishes and locks that identity: a demand line is priced against real executed history and frozen before anything downstream can be trusted. Phase 2 builds directly on a frozen, priced demand line and ships two joined accountability chains together, at equal weight: date-obligation accountability across every party in the chain (A), and financial and cost reconciliation against the same canonical record (B). Neither of those two is the secondary output; both are fully built and demoed in Phase 2. Phase 3 expands into physical custody and logistics tracking on the same schema. Phase 4 layers AI-assisted anomaly detection last, because it only means something once there is a clean, joined baseline across Phases 1 through 3 to be anomalous relative to.</w:t>
      </w:r>
    </w:p>
    <w:p>
      <w:pPr>
        <w:pBdr>
          <w:bottom w:val="single" w:color="AAAAAA" w:sz="6" w:space="1"/>
        </w:pBdr>
        <w:spacing w:after="200" w:before="200"/>
      </w:pPr>
    </w:p>
    <w:p>
      <w:pPr>
        <w:pStyle w:val="Heading1"/>
        <w:spacing w:after="160" w:before="320"/>
      </w:pPr>
      <w:r>
        <w:rPr>
          <w:rFonts w:ascii="Calibri" w:cs="Calibri" w:eastAsia="Calibri" w:hAnsi="Calibri"/>
          <w:b/>
          <w:bCs/>
          <w:sz w:val="40"/>
          <w:szCs w:val="40"/>
        </w:rPr>
        <w:t xml:space="preserve">Phase 1 — The ROM &amp; Demand-Freeze Engine (the foundation)</w:t>
      </w:r>
    </w:p>
    <w:p>
      <w:pPr>
        <w:spacing w:after="160" w:line="288"/>
      </w:pPr>
      <w:r>
        <w:rPr>
          <w:rFonts w:ascii="Calibri" w:cs="Calibri" w:eastAsia="Calibri" w:hAnsi="Calibri"/>
          <w:b/>
          <w:bCs/>
          <w:sz w:val="22"/>
          <w:szCs w:val="22"/>
        </w:rPr>
        <w:t xml:space="preserve">What it proves:</w:t>
      </w:r>
      <w:r>
        <w:rPr>
          <w:rFonts w:ascii="Calibri" w:cs="Calibri" w:eastAsia="Calibri" w:hAnsi="Calibri"/>
          <w:sz w:val="22"/>
          <w:szCs w:val="22"/>
        </w:rPr>
        <w:t xml:space="preserve"> that demand — not the purchase order — is the system’s actual entry point, and that a demand line can be priced against real executed history and locked before anything downstream is allowed to build on it. Phase 2’s four-date chain and cost reconciliation both assume a demand line that is already priced and frozen: a date commitment against unfrozen demand is a promise against a moving target, and a cost reconciliation against unfrozen demand is reconciling to a number that can still change out from under it. This phase exists first because Phase 2 depends on it structurally, not because it matters more. It maps directly onto how the work already runs: the design dictates what’s needed and where, upfront; the schedule dictates by when. Demand exists as a complete, quantified requirement before a vendor is ever involved.</w:t>
      </w:r>
    </w:p>
    <w:p>
      <w:pPr>
        <w:spacing w:after="160" w:line="276"/>
      </w:pPr>
      <w:r>
        <w:rPr>
          <w:rFonts w:ascii="Calibri" w:cs="Calibri" w:eastAsia="Calibri" w:hAnsi="Calibri"/>
          <w:b/>
          <w:bCs/>
          <w:sz w:val="22"/>
          <w:szCs w:val="22"/>
        </w:rPr>
        <w:t xml:space="preserve">Demand originates at design (§1). </w:t>
      </w:r>
      <w:r>
        <w:rPr>
          <w:rFonts w:ascii="Calibri" w:cs="Calibri" w:eastAsia="Calibri" w:hAnsi="Calibri"/>
          <w:sz w:val="22"/>
          <w:szCs w:val="22"/>
        </w:rPr>
        <w:t xml:space="preserve">Every requirement is captured as a </w:t>
      </w:r>
      <w:r>
        <w:rPr>
          <w:rFonts w:ascii="Consolas" w:cs="Consolas" w:eastAsia="Consolas" w:hAnsi="Consolas"/>
          <w:sz w:val="20"/>
          <w:szCs w:val="20"/>
        </w:rPr>
        <w:t xml:space="preserve">DEMAND_LINE</w:t>
      </w:r>
      <w:r>
        <w:rPr>
          <w:rFonts w:ascii="Calibri" w:cs="Calibri" w:eastAsia="Calibri" w:hAnsi="Calibri"/>
          <w:sz w:val="22"/>
          <w:szCs w:val="22"/>
        </w:rPr>
        <w:t xml:space="preserve"> — </w:t>
      </w:r>
      <w:r>
        <w:rPr>
          <w:rFonts w:ascii="Consolas" w:cs="Consolas" w:eastAsia="Consolas" w:hAnsi="Consolas"/>
          <w:sz w:val="20"/>
          <w:szCs w:val="20"/>
        </w:rPr>
        <w:t xml:space="preserve">demand_id · project_id · equipment_type_id · spec_attributes · qty · target_building/area/position · required_by_date · rom_unit_price · rom_confidence · rom_comparables_count · revision · state</w:t>
      </w:r>
      <w:r>
        <w:rPr>
          <w:rFonts w:ascii="Calibri" w:cs="Calibri" w:eastAsia="Calibri" w:hAnsi="Calibri"/>
          <w:sz w:val="22"/>
          <w:szCs w:val="22"/>
        </w:rPr>
        <w:t xml:space="preserve">. Position may be assigned at design or resolved later: where design specifies position, demand is one-to-one with units from the start; where it specifies quantity against a type and building, position assignment happens downstream.</w:t>
      </w:r>
    </w:p>
    <w:p>
      <w:pPr>
        <w:spacing w:after="100" w:line="276"/>
      </w:pPr>
      <w:r>
        <w:rPr>
          <w:rFonts w:ascii="Calibri" w:cs="Calibri" w:eastAsia="Calibri" w:hAnsi="Calibri"/>
          <w:b/>
          <w:bCs/>
          <w:sz w:val="22"/>
          <w:szCs w:val="22"/>
        </w:rPr>
        <w:t xml:space="preserve">The ROM is the first byproduct (§2). </w:t>
      </w:r>
      <w:r>
        <w:rPr>
          <w:rFonts w:ascii="Calibri" w:cs="Calibri" w:eastAsia="Calibri" w:hAnsi="Calibri"/>
          <w:sz w:val="22"/>
          <w:szCs w:val="22"/>
        </w:rPr>
        <w:t xml:space="preserve">It is not a separate estimating tool — it is a query against executed history, and simply the first one the record produces. Everything downstream depends on demand being captured the moment it is created, and the ROM is what makes capturing it worth someone’s time. Input: equipment type, spec attributes, quantity, required-by date, region. Output is a full price band, not a single number, assembled from seven layers of normalized executed history:</w:t>
      </w:r>
    </w:p>
    <w:p>
      <w:pPr>
        <w:pStyle w:val="ListParagraph"/>
        <w:numPr>
          <w:ilvl w:val="0"/>
          <w:numId w:val="2"/>
        </w:numPr>
        <w:spacing w:after="100" w:line="276"/>
      </w:pPr>
      <w:r>
        <w:rPr>
          <w:rFonts w:ascii="Calibri" w:cs="Calibri" w:eastAsia="Calibri" w:hAnsi="Calibri"/>
          <w:sz w:val="22"/>
          <w:szCs w:val="22"/>
        </w:rPr>
        <w:t xml:space="preserve">Base — normalized unit price from executed scope lines of that type, quantity-tier adjusted</w:t>
      </w:r>
    </w:p>
    <w:p>
      <w:pPr>
        <w:pStyle w:val="ListParagraph"/>
        <w:numPr>
          <w:ilvl w:val="0"/>
          <w:numId w:val="2"/>
        </w:numPr>
        <w:spacing w:after="100" w:line="276"/>
      </w:pPr>
      <w:r>
        <w:rPr>
          <w:rFonts w:ascii="Calibri" w:cs="Calibri" w:eastAsia="Calibri" w:hAnsi="Calibri"/>
          <w:sz w:val="22"/>
          <w:szCs w:val="22"/>
        </w:rPr>
        <w:t xml:space="preserve">Services — startup and commissioning</w:t>
      </w:r>
    </w:p>
    <w:p>
      <w:pPr>
        <w:pStyle w:val="ListParagraph"/>
        <w:numPr>
          <w:ilvl w:val="0"/>
          <w:numId w:val="2"/>
        </w:numPr>
        <w:spacing w:after="100" w:line="276"/>
      </w:pPr>
      <w:r>
        <w:rPr>
          <w:rFonts w:ascii="Calibri" w:cs="Calibri" w:eastAsia="Calibri" w:hAnsi="Calibri"/>
          <w:sz w:val="22"/>
          <w:szCs w:val="22"/>
        </w:rPr>
        <w:t xml:space="preserve">Freight — adjusted for origin</w:t>
      </w:r>
    </w:p>
    <w:p>
      <w:pPr>
        <w:pStyle w:val="ListParagraph"/>
        <w:numPr>
          <w:ilvl w:val="0"/>
          <w:numId w:val="2"/>
        </w:numPr>
        <w:spacing w:after="100" w:line="276"/>
      </w:pPr>
      <w:r>
        <w:rPr>
          <w:rFonts w:ascii="Calibri" w:cs="Calibri" w:eastAsia="Calibri" w:hAnsi="Calibri"/>
          <w:sz w:val="22"/>
          <w:szCs w:val="22"/>
        </w:rPr>
        <w:t xml:space="preserve">Tariff — country-of-origin exposure</w:t>
      </w:r>
    </w:p>
    <w:p>
      <w:pPr>
        <w:pStyle w:val="ListParagraph"/>
        <w:numPr>
          <w:ilvl w:val="0"/>
          <w:numId w:val="2"/>
        </w:numPr>
        <w:spacing w:after="100" w:line="276"/>
      </w:pPr>
      <w:r>
        <w:rPr>
          <w:rFonts w:ascii="Calibri" w:cs="Calibri" w:eastAsia="Calibri" w:hAnsi="Calibri"/>
          <w:sz w:val="22"/>
          <w:szCs w:val="22"/>
        </w:rPr>
        <w:t xml:space="preserve">Tax — by jurisdiction</w:t>
      </w:r>
    </w:p>
    <w:p>
      <w:pPr>
        <w:pStyle w:val="ListParagraph"/>
        <w:numPr>
          <w:ilvl w:val="0"/>
          <w:numId w:val="2"/>
        </w:numPr>
        <w:spacing w:after="100" w:line="276"/>
      </w:pPr>
      <w:r>
        <w:rPr>
          <w:rFonts w:ascii="Calibri" w:cs="Calibri" w:eastAsia="Calibri" w:hAnsi="Calibri"/>
          <w:sz w:val="22"/>
          <w:szCs w:val="22"/>
        </w:rPr>
        <w:t xml:space="preserve">Escalation — to the required-by date</w:t>
      </w:r>
    </w:p>
    <w:p>
      <w:pPr>
        <w:pStyle w:val="ListParagraph"/>
        <w:numPr>
          <w:ilvl w:val="0"/>
          <w:numId w:val="2"/>
        </w:numPr>
        <w:spacing w:after="160" w:line="276"/>
      </w:pPr>
      <w:r>
        <w:rPr>
          <w:rFonts w:ascii="Calibri" w:cs="Calibri" w:eastAsia="Calibri" w:hAnsi="Calibri"/>
          <w:sz w:val="22"/>
          <w:szCs w:val="22"/>
        </w:rPr>
        <w:t xml:space="preserve">Confidence band — widened by age and thinness of the comparable set</w:t>
      </w:r>
    </w:p>
    <w:p>
      <w:pPr>
        <w:spacing w:after="160" w:line="276"/>
      </w:pPr>
      <w:r>
        <w:rPr>
          <w:rFonts w:ascii="Calibri" w:cs="Calibri" w:eastAsia="Calibri" w:hAnsi="Calibri"/>
          <w:sz w:val="22"/>
          <w:szCs w:val="22"/>
        </w:rPr>
        <w:t xml:space="preserve">Normalization is the mechanism: </w:t>
      </w:r>
      <w:r>
        <w:rPr>
          <w:rFonts w:ascii="Calibri" w:cs="Calibri" w:eastAsia="Calibri" w:hAnsi="Calibri"/>
          <w:sz w:val="22"/>
          <w:szCs w:val="22"/>
        </w:rPr>
        <w:t xml:space="preserve">raw prices do not compare across projects, so each equipment type carries a natural denominator — $/ton, $/kVA, $/kW, $/MW, $/lineup, $/ft — and the type taxonomy collapses design terms to comparable unit types. Every ROM output carries its confidence tier and comparable count: a price built on sixteen executed lineups is a different object from one built on two, and the number says so. Schedule feasibility runs alongside price — required-by date checked against known lead times and vendor throughput, because a ROM that produces a price for a date nobody can hit is a wrong answer. The ROM output doubles as project initiation: demand and budget are created as the same artifact, which is what makes the executed-price record load-bearing — a project that does not exist yet can be priced from the company’s own history and defended. Before there is enough history, the ROM falls back to quotes, published pricing, and judgment, and its confidence tier says so explicitly.</w:t>
      </w:r>
    </w:p>
    <w:p>
      <w:pPr>
        <w:spacing w:after="160" w:line="276"/>
      </w:pPr>
      <w:r>
        <w:rPr>
          <w:rFonts w:ascii="Calibri" w:cs="Calibri" w:eastAsia="Calibri" w:hAnsi="Calibri"/>
          <w:b/>
          <w:bCs/>
          <w:sz w:val="22"/>
          <w:szCs w:val="22"/>
        </w:rPr>
        <w:t xml:space="preserve">Design freeze is the gate (§3). </w:t>
      </w:r>
      <w:r>
        <w:rPr>
          <w:rFonts w:ascii="Calibri" w:cs="Calibri" w:eastAsia="Calibri" w:hAnsi="Calibri"/>
          <w:sz w:val="22"/>
          <w:szCs w:val="22"/>
        </w:rPr>
        <w:t xml:space="preserve">Before freeze, nothing is stable enough to match supply against. After it, demand is fixed and authoritative and the program can act on it. Freeze is captured as a </w:t>
      </w:r>
      <w:r>
        <w:rPr>
          <w:rFonts w:ascii="Consolas" w:cs="Consolas" w:eastAsia="Consolas" w:hAnsi="Consolas"/>
          <w:sz w:val="20"/>
          <w:szCs w:val="20"/>
        </w:rPr>
        <w:t xml:space="preserve">FREEZE_EVENT</w:t>
      </w:r>
      <w:r>
        <w:rPr>
          <w:rFonts w:ascii="Calibri" w:cs="Calibri" w:eastAsia="Calibri" w:hAnsi="Calibri"/>
          <w:sz w:val="22"/>
          <w:szCs w:val="22"/>
        </w:rPr>
        <w:t xml:space="preserve"> — </w:t>
      </w:r>
      <w:r>
        <w:rPr>
          <w:rFonts w:ascii="Consolas" w:cs="Consolas" w:eastAsia="Consolas" w:hAnsi="Consolas"/>
          <w:sz w:val="20"/>
          <w:szCs w:val="20"/>
        </w:rPr>
        <w:t xml:space="preserve">freeze_id · project_id · scope (project | building | system) · demand_lines[] captured at freeze · actor · timestamp</w:t>
      </w:r>
      <w:r>
        <w:rPr>
          <w:rFonts w:ascii="Calibri" w:cs="Calibri" w:eastAsia="Calibri" w:hAnsi="Calibri"/>
          <w:sz w:val="22"/>
          <w:szCs w:val="22"/>
        </w:rPr>
        <w:t xml:space="preserve"> — and is reversible through a </w:t>
      </w:r>
      <w:r>
        <w:rPr>
          <w:rFonts w:ascii="Consolas" w:cs="Consolas" w:eastAsia="Consolas" w:hAnsi="Consolas"/>
          <w:sz w:val="20"/>
          <w:szCs w:val="20"/>
        </w:rPr>
        <w:t xml:space="preserve">THAW_EVENT</w:t>
      </w:r>
      <w:r>
        <w:rPr>
          <w:rFonts w:ascii="Calibri" w:cs="Calibri" w:eastAsia="Calibri" w:hAnsi="Calibri"/>
          <w:sz w:val="22"/>
          <w:szCs w:val="22"/>
        </w:rPr>
        <w:t xml:space="preserve"> — </w:t>
      </w:r>
      <w:r>
        <w:rPr>
          <w:rFonts w:ascii="Consolas" w:cs="Consolas" w:eastAsia="Consolas" w:hAnsi="Consolas"/>
          <w:sz w:val="20"/>
          <w:szCs w:val="20"/>
        </w:rPr>
        <w:t xml:space="preserve">thaw_id · freeze_id · triggering_odd_id · released_lines[] · actor · timestamp · reason</w:t>
      </w:r>
      <w:r>
        <w:rPr>
          <w:rFonts w:ascii="Calibri" w:cs="Calibri" w:eastAsia="Calibri" w:hAnsi="Calibri"/>
          <w:sz w:val="22"/>
          <w:szCs w:val="22"/>
        </w:rPr>
        <w:t xml:space="preserve">. Freeze is scoped, not global: a project freezes in parts as design releases in parts, with a building or system frozen while the rest keeps moving. It is reopenable — an Owner Design Directive (ODD, §4) can thaw portions of a freeze, and what is preserved is not the frozen state itself but the full history: what was frozen, when, what thawed it, and what it looked like before and after.</w:t>
      </w:r>
    </w:p>
    <w:p>
      <w:pPr>
        <w:spacing w:after="160" w:line="276"/>
      </w:pPr>
      <w:r>
        <w:rPr>
          <w:rFonts w:ascii="Calibri" w:cs="Calibri" w:eastAsia="Calibri" w:hAnsi="Calibri"/>
          <w:sz w:val="22"/>
          <w:szCs w:val="22"/>
        </w:rPr>
        <w:t xml:space="preserve">A demand line’s state moves </w:t>
      </w:r>
      <w:r>
        <w:rPr>
          <w:rFonts w:ascii="Consolas" w:cs="Consolas" w:eastAsia="Consolas" w:hAnsi="Consolas"/>
          <w:sz w:val="20"/>
          <w:szCs w:val="20"/>
        </w:rPr>
        <w:t xml:space="preserve">drafted → frozen → matching → matched → satisfied</w:t>
      </w:r>
      <w:r>
        <w:rPr>
          <w:rFonts w:ascii="Calibri" w:cs="Calibri" w:eastAsia="Calibri" w:hAnsi="Calibri"/>
          <w:sz w:val="22"/>
          <w:szCs w:val="22"/>
        </w:rPr>
        <w:t xml:space="preserve">, with </w:t>
      </w:r>
      <w:r>
        <w:rPr>
          <w:rFonts w:ascii="Consolas" w:cs="Consolas" w:eastAsia="Consolas" w:hAnsi="Consolas"/>
          <w:sz w:val="20"/>
          <w:szCs w:val="20"/>
        </w:rPr>
        <w:t xml:space="preserve">frozen → thawed → (revised) → frozen</w:t>
      </w:r>
      <w:r>
        <w:rPr>
          <w:rFonts w:ascii="Calibri" w:cs="Calibri" w:eastAsia="Calibri" w:hAnsi="Calibri"/>
          <w:sz w:val="22"/>
          <w:szCs w:val="22"/>
        </w:rPr>
        <w:t xml:space="preserve"> as the correction loop, and </w:t>
      </w:r>
      <w:r>
        <w:rPr>
          <w:rFonts w:ascii="Consolas" w:cs="Consolas" w:eastAsia="Consolas" w:hAnsi="Consolas"/>
          <w:sz w:val="20"/>
          <w:szCs w:val="20"/>
        </w:rPr>
        <w:t xml:space="preserve">cancelled</w:t>
      </w:r>
      <w:r>
        <w:rPr>
          <w:rFonts w:ascii="Calibri" w:cs="Calibri" w:eastAsia="Calibri" w:hAnsi="Calibri"/>
          <w:sz w:val="22"/>
          <w:szCs w:val="22"/>
        </w:rPr>
        <w:t xml:space="preserve"> reachable from any state. Only frozen demand is matchable — thawed lines drop out of the match until they refreeze. Supply already matched against a line that gets thawed becomes provisional: committed against demand that is back in question. This is exactly where exposure concentrates — a unit already in production against a line someone just reopened is the first thing that should surface, not something buried until reconciliation catches it later. This is also the mechanism behind the non-negotiable named under validation rules below: a scope line can never be committed against demand that is unstable or does not formally exist yet.</w:t>
      </w:r>
    </w:p>
    <w:p>
      <w:pPr>
        <w:spacing w:after="100" w:before="160" w:line="276"/>
      </w:pPr>
      <w:r>
        <w:rPr>
          <w:rFonts w:ascii="Calibri" w:cs="Calibri" w:eastAsia="Calibri" w:hAnsi="Calibri"/>
          <w:b/>
          <w:bCs/>
          <w:sz w:val="22"/>
          <w:szCs w:val="22"/>
        </w:rPr>
        <w:t xml:space="preserve">In scope for Phase 1 build:</w:t>
      </w:r>
    </w:p>
    <w:p>
      <w:pPr>
        <w:pStyle w:val="ListParagraph"/>
        <w:numPr>
          <w:ilvl w:val="0"/>
          <w:numId w:val="2"/>
        </w:numPr>
        <w:spacing w:after="100" w:line="276"/>
      </w:pPr>
      <w:r>
        <w:rPr>
          <w:rFonts w:ascii="Calibri" w:cs="Calibri" w:eastAsia="Calibri" w:hAnsi="Calibri"/>
          <w:b/>
          <w:bCs/>
          <w:sz w:val="22"/>
          <w:szCs w:val="22"/>
        </w:rPr>
        <w:t xml:space="preserve">The DEMAND_LINE object and ROM pricing engine</w:t>
      </w:r>
      <w:r>
        <w:rPr>
          <w:rFonts w:ascii="Calibri" w:cs="Calibri" w:eastAsia="Calibri" w:hAnsi="Calibri"/>
          <w:sz w:val="22"/>
          <w:szCs w:val="22"/>
        </w:rPr>
        <w:t xml:space="preserve"> — the full seven-layer price band above, seeded from real executed award-memo data (Spade/Mitten), with confidence tier and comparable count surfaced on every output.</w:t>
      </w:r>
    </w:p>
    <w:p>
      <w:pPr>
        <w:pStyle w:val="ListParagraph"/>
        <w:numPr>
          <w:ilvl w:val="0"/>
          <w:numId w:val="2"/>
        </w:numPr>
        <w:spacing w:after="100" w:line="276"/>
      </w:pPr>
      <w:r>
        <w:rPr>
          <w:rFonts w:ascii="Calibri" w:cs="Calibri" w:eastAsia="Calibri" w:hAnsi="Calibri"/>
          <w:b/>
          <w:bCs/>
          <w:sz w:val="22"/>
          <w:szCs w:val="22"/>
        </w:rPr>
        <w:t xml:space="preserve">The FREEZE_EVENT / THAW_EVENT objects and the demand-line state machine</w:t>
      </w:r>
      <w:r>
        <w:rPr>
          <w:rFonts w:ascii="Calibri" w:cs="Calibri" w:eastAsia="Calibri" w:hAnsi="Calibri"/>
          <w:sz w:val="22"/>
          <w:szCs w:val="22"/>
        </w:rPr>
        <w:t xml:space="preserve"> — freeze scoped per project, building, or system, reopenable via ODD, with full before/after history preserved across thaw and refreeze.</w:t>
      </w:r>
    </w:p>
    <w:p>
      <w:pPr>
        <w:pStyle w:val="ListParagraph"/>
        <w:numPr>
          <w:ilvl w:val="0"/>
          <w:numId w:val="2"/>
        </w:numPr>
        <w:spacing w:after="120" w:line="276"/>
      </w:pPr>
      <w:r>
        <w:rPr>
          <w:rFonts w:ascii="Calibri" w:cs="Calibri" w:eastAsia="Calibri" w:hAnsi="Calibri"/>
          <w:b/>
          <w:bCs/>
          <w:sz w:val="22"/>
          <w:szCs w:val="22"/>
        </w:rPr>
        <w:t xml:space="preserve">Enforcement of “scope line requires a frozen demand line” at entry (§37)</w:t>
      </w:r>
      <w:r>
        <w:rPr>
          <w:rFonts w:ascii="Calibri" w:cs="Calibri" w:eastAsia="Calibri" w:hAnsi="Calibri"/>
          <w:sz w:val="22"/>
          <w:szCs w:val="22"/>
        </w:rPr>
        <w:t xml:space="preserve"> — supply can never be committed against demand that is not frozen; this is where that rule actually lives, not as a generic validation checkbox.</w:t>
      </w:r>
    </w:p>
    <w:p>
      <w:pPr>
        <w:spacing w:after="160" w:line="288"/>
      </w:pPr>
      <w:r>
        <w:rPr>
          <w:rFonts w:ascii="Calibri" w:cs="Calibri" w:eastAsia="Calibri" w:hAnsi="Calibri"/>
          <w:b/>
          <w:bCs/>
          <w:sz w:val="22"/>
          <w:szCs w:val="22"/>
        </w:rPr>
        <w:t xml:space="preserve">Buyer/persona:</w:t>
      </w:r>
      <w:r>
        <w:rPr>
          <w:rFonts w:ascii="Calibri" w:cs="Calibri" w:eastAsia="Calibri" w:hAnsi="Calibri"/>
          <w:sz w:val="22"/>
          <w:szCs w:val="22"/>
        </w:rPr>
        <w:t xml:space="preserve"> the Design role (§36) — ROM calculator, demand lines, freeze scope and state — and the Program role, which tracks demand fulfillment by freeze set (covered, pending procurement, in progress, at risk) across projects. This is where a project gets priced and locked before procurement starts.</w:t>
      </w:r>
    </w:p>
    <w:p>
      <w:pPr>
        <w:pBdr>
          <w:bottom w:val="single" w:color="AAAAAA" w:sz="6" w:space="1"/>
        </w:pBdr>
        <w:spacing w:after="200" w:before="200"/>
      </w:pPr>
    </w:p>
    <w:p>
      <w:pPr>
        <w:pStyle w:val="Heading1"/>
        <w:spacing w:after="160" w:before="320"/>
      </w:pPr>
      <w:r>
        <w:rPr>
          <w:rFonts w:ascii="Calibri" w:cs="Calibri" w:eastAsia="Calibri" w:hAnsi="Calibri"/>
          <w:b/>
          <w:bCs/>
          <w:sz w:val="40"/>
          <w:szCs w:val="40"/>
        </w:rPr>
        <w:t xml:space="preserve">Phase 2 — Date accountability and cost reconciliation (the wedge)</w:t>
      </w:r>
    </w:p>
    <w:p>
      <w:pPr>
        <w:spacing w:after="160" w:line="288"/>
      </w:pPr>
      <w:r>
        <w:rPr>
          <w:rFonts w:ascii="Calibri" w:cs="Calibri" w:eastAsia="Calibri" w:hAnsi="Calibri"/>
          <w:b/>
          <w:bCs/>
          <w:sz w:val="22"/>
          <w:szCs w:val="22"/>
        </w:rPr>
        <w:t xml:space="preserve">What it proves:</w:t>
      </w:r>
      <w:r>
        <w:rPr>
          <w:rFonts w:ascii="Calibri" w:cs="Calibri" w:eastAsia="Calibri" w:hAnsi="Calibri"/>
          <w:sz w:val="22"/>
          <w:szCs w:val="22"/>
        </w:rPr>
        <w:t xml:space="preserve"> that the canonical record can join two accountability chains that today live in separate, manually-maintained systems — a chain of independent date commitments, set by different parties and moving independently, and a chain of committed-vs-actual cost and change-order value across those same units — and compute both live instead of by hand, against demand that Phase 1 has already priced and frozen. These are presented below as two co-equal parts, (A) and (B), not as a headline capability with a secondary attachment.</w:t>
      </w:r>
    </w:p>
    <w:p>
      <w:pPr>
        <w:spacing w:after="160" w:line="288"/>
      </w:pPr>
      <w:r>
        <w:rPr>
          <w:rFonts w:ascii="Calibri" w:cs="Calibri" w:eastAsia="Calibri" w:hAnsi="Calibri"/>
          <w:b/>
          <w:bCs/>
          <w:sz w:val="22"/>
          <w:szCs w:val="22"/>
        </w:rPr>
        <w:t xml:space="preserve">This is not hypothetical — it is already the schema of a real, currently-manual tracker.</w:t>
      </w:r>
      <w:r>
        <w:rPr>
          <w:rFonts w:ascii="Calibri" w:cs="Calibri" w:eastAsia="Calibri" w:hAnsi="Calibri"/>
          <w:sz w:val="22"/>
          <w:szCs w:val="22"/>
        </w:rPr>
        <w:t xml:space="preserve"> STL01’s production tracking file already carries these exact fields, one row per physical unit, filled in manually: </w:t>
      </w:r>
      <w:r>
        <w:rPr>
          <w:rFonts w:ascii="Consolas" w:cs="Consolas" w:eastAsia="Consolas" w:hAnsi="Consolas"/>
          <w:sz w:val="20"/>
          <w:szCs w:val="20"/>
        </w:rPr>
        <w:t xml:space="preserve">Site Need By Date</w:t>
      </w:r>
      <w:r>
        <w:rPr>
          <w:rFonts w:ascii="Calibri" w:cs="Calibri" w:eastAsia="Calibri" w:hAnsi="Calibri"/>
          <w:sz w:val="22"/>
          <w:szCs w:val="22"/>
        </w:rPr>
        <w:t xml:space="preserve">, </w:t>
      </w:r>
      <w:r>
        <w:rPr>
          <w:rFonts w:ascii="Consolas" w:cs="Consolas" w:eastAsia="Consolas" w:hAnsi="Consolas"/>
          <w:sz w:val="20"/>
          <w:szCs w:val="20"/>
        </w:rPr>
        <w:t xml:space="preserve">Committed Supplier Delivery Date</w:t>
      </w:r>
      <w:r>
        <w:rPr>
          <w:rFonts w:ascii="Calibri" w:cs="Calibri" w:eastAsia="Calibri" w:hAnsi="Calibri"/>
          <w:sz w:val="22"/>
          <w:szCs w:val="22"/>
        </w:rPr>
        <w:t xml:space="preserve">, </w:t>
      </w:r>
      <w:r>
        <w:rPr>
          <w:rFonts w:ascii="Consolas" w:cs="Consolas" w:eastAsia="Consolas" w:hAnsi="Consolas"/>
          <w:sz w:val="20"/>
          <w:szCs w:val="20"/>
        </w:rPr>
        <w:t xml:space="preserve">Current Ship Date</w:t>
      </w:r>
      <w:r>
        <w:rPr>
          <w:rFonts w:ascii="Calibri" w:cs="Calibri" w:eastAsia="Calibri" w:hAnsi="Calibri"/>
          <w:sz w:val="22"/>
          <w:szCs w:val="22"/>
        </w:rPr>
        <w:t xml:space="preserve">, </w:t>
      </w:r>
      <w:r>
        <w:rPr>
          <w:rFonts w:ascii="Consolas" w:cs="Consolas" w:eastAsia="Consolas" w:hAnsi="Consolas"/>
          <w:sz w:val="20"/>
          <w:szCs w:val="20"/>
        </w:rPr>
        <w:t xml:space="preserve">Commitment v Site ROJ Need</w:t>
      </w:r>
      <w:r>
        <w:rPr>
          <w:rFonts w:ascii="Calibri" w:cs="Calibri" w:eastAsia="Calibri" w:hAnsi="Calibri"/>
          <w:sz w:val="22"/>
          <w:szCs w:val="22"/>
        </w:rPr>
        <w:t xml:space="preserve">, </w:t>
      </w:r>
      <w:r>
        <w:rPr>
          <w:rFonts w:ascii="Consolas" w:cs="Consolas" w:eastAsia="Consolas" w:hAnsi="Consolas"/>
          <w:sz w:val="20"/>
          <w:szCs w:val="20"/>
        </w:rPr>
        <w:t xml:space="preserve">Supplier v Site ROJ Variance</w:t>
      </w:r>
      <w:r>
        <w:rPr>
          <w:rFonts w:ascii="Calibri" w:cs="Calibri" w:eastAsia="Calibri" w:hAnsi="Calibri"/>
          <w:sz w:val="22"/>
          <w:szCs w:val="22"/>
        </w:rPr>
        <w:t xml:space="preserve">, </w:t>
      </w:r>
      <w:r>
        <w:rPr>
          <w:rFonts w:ascii="Consolas" w:cs="Consolas" w:eastAsia="Consolas" w:hAnsi="Consolas"/>
          <w:sz w:val="20"/>
          <w:szCs w:val="20"/>
        </w:rPr>
        <w:t xml:space="preserve">Factory Witness Date</w:t>
      </w:r>
      <w:r>
        <w:rPr>
          <w:rFonts w:ascii="Calibri" w:cs="Calibri" w:eastAsia="Calibri" w:hAnsi="Calibri"/>
          <w:sz w:val="22"/>
          <w:szCs w:val="22"/>
        </w:rPr>
        <w:t xml:space="preserve">, </w:t>
      </w:r>
      <w:r>
        <w:rPr>
          <w:rFonts w:ascii="Consolas" w:cs="Consolas" w:eastAsia="Consolas" w:hAnsi="Consolas"/>
          <w:sz w:val="20"/>
          <w:szCs w:val="20"/>
        </w:rPr>
        <w:t xml:space="preserve">Ship Date</w:t>
      </w:r>
      <w:r>
        <w:rPr>
          <w:rFonts w:ascii="Calibri" w:cs="Calibri" w:eastAsia="Calibri" w:hAnsi="Calibri"/>
          <w:sz w:val="22"/>
          <w:szCs w:val="22"/>
        </w:rPr>
        <w:t xml:space="preserve">, </w:t>
      </w:r>
      <w:r>
        <w:rPr>
          <w:rFonts w:ascii="Consolas" w:cs="Consolas" w:eastAsia="Consolas" w:hAnsi="Consolas"/>
          <w:sz w:val="20"/>
          <w:szCs w:val="20"/>
        </w:rPr>
        <w:t xml:space="preserve">Actual Delivery Date</w:t>
      </w:r>
      <w:r>
        <w:rPr>
          <w:rFonts w:ascii="Calibri" w:cs="Calibri" w:eastAsia="Calibri" w:hAnsi="Calibri"/>
          <w:sz w:val="22"/>
          <w:szCs w:val="22"/>
        </w:rPr>
        <w:t xml:space="preserve">, </w:t>
      </w:r>
      <w:r>
        <w:rPr>
          <w:rFonts w:ascii="Consolas" w:cs="Consolas" w:eastAsia="Consolas" w:hAnsi="Consolas"/>
          <w:sz w:val="20"/>
          <w:szCs w:val="20"/>
        </w:rPr>
        <w:t xml:space="preserve">Liquidated Damages Dates</w:t>
      </w:r>
      <w:r>
        <w:rPr>
          <w:rFonts w:ascii="Calibri" w:cs="Calibri" w:eastAsia="Calibri" w:hAnsi="Calibri"/>
          <w:sz w:val="22"/>
          <w:szCs w:val="22"/>
        </w:rPr>
        <w:t xml:space="preserve">, </w:t>
      </w:r>
      <w:r>
        <w:rPr>
          <w:rFonts w:ascii="Consolas" w:cs="Consolas" w:eastAsia="Consolas" w:hAnsi="Consolas"/>
          <w:sz w:val="20"/>
          <w:szCs w:val="20"/>
        </w:rPr>
        <w:t xml:space="preserve">Estimated Ship Date</w:t>
      </w:r>
      <w:r>
        <w:rPr>
          <w:rFonts w:ascii="Calibri" w:cs="Calibri" w:eastAsia="Calibri" w:hAnsi="Calibri"/>
          <w:sz w:val="22"/>
          <w:szCs w:val="22"/>
        </w:rPr>
        <w:t xml:space="preserve">, and </w:t>
      </w:r>
      <w:r>
        <w:rPr>
          <w:rFonts w:ascii="Consolas" w:cs="Consolas" w:eastAsia="Consolas" w:hAnsi="Consolas"/>
          <w:sz w:val="20"/>
          <w:szCs w:val="20"/>
        </w:rPr>
        <w:t xml:space="preserve">Estimated Delivery Date</w:t>
      </w:r>
      <w:r>
        <w:rPr>
          <w:rFonts w:ascii="Calibri" w:cs="Calibri" w:eastAsia="Calibri" w:hAnsi="Calibri"/>
          <w:sz w:val="22"/>
          <w:szCs w:val="22"/>
        </w:rPr>
        <w:t xml:space="preserve">. Viasel’s Phase 2 job is to make every one of these fields a live, derived value instead of a hand-typed one — and to catch what the current spreadsheet workflow cannot: four independent, dated snapshots of the same PO/CO tracker exist in one working folder (06.29, 07.01, 07.06, 07.17), each a manually re-saved copy rather than one continuously live record. That versioning pattern is itself the proof — the underlying discipline to track this exists; the mechanism to keep it live and reconciled across parties does not.</w:t>
      </w:r>
    </w:p>
    <w:p>
      <w:pPr>
        <w:spacing w:after="100" w:before="160" w:line="276"/>
      </w:pPr>
      <w:r>
        <w:rPr>
          <w:rFonts w:ascii="Calibri" w:cs="Calibri" w:eastAsia="Calibri" w:hAnsi="Calibri"/>
          <w:b/>
          <w:bCs/>
          <w:sz w:val="22"/>
          <w:szCs w:val="22"/>
        </w:rPr>
        <w:t xml:space="preserve">The chain, as four independent, party-owned dates per unit:</w:t>
      </w:r>
    </w:p>
    <w:p>
      <w:pPr>
        <w:pStyle w:val="ListParagraph"/>
        <w:numPr>
          <w:ilvl w:val="0"/>
          <w:numId w:val="4"/>
        </w:numPr>
        <w:spacing w:after="100" w:line="276"/>
      </w:pPr>
      <w:r>
        <w:rPr>
          <w:rFonts w:ascii="Calibri" w:cs="Calibri" w:eastAsia="Calibri" w:hAnsi="Calibri"/>
          <w:b/>
          <w:bCs/>
          <w:sz w:val="22"/>
          <w:szCs w:val="22"/>
        </w:rPr>
        <w:t xml:space="preserve">Client contractual milestone</w:t>
      </w:r>
      <w:r>
        <w:rPr>
          <w:rFonts w:ascii="Calibri" w:cs="Calibri" w:eastAsia="Calibri" w:hAnsi="Calibri"/>
          <w:sz w:val="22"/>
          <w:szCs w:val="22"/>
        </w:rPr>
        <w:t xml:space="preserve"> — when the client needs the building or system live. Set once in the contract; only moves on a formal change.</w:t>
      </w:r>
    </w:p>
    <w:p>
      <w:pPr>
        <w:pStyle w:val="ListParagraph"/>
        <w:numPr>
          <w:ilvl w:val="0"/>
          <w:numId w:val="4"/>
        </w:numPr>
        <w:spacing w:after="100" w:line="276"/>
      </w:pPr>
      <w:r>
        <w:rPr>
          <w:rFonts w:ascii="Calibri" w:cs="Calibri" w:eastAsia="Calibri" w:hAnsi="Calibri"/>
          <w:b/>
          <w:bCs/>
          <w:sz w:val="22"/>
          <w:szCs w:val="22"/>
        </w:rPr>
        <w:t xml:space="preserve">GC/schedule need-date</w:t>
      </w:r>
      <w:r>
        <w:rPr>
          <w:rFonts w:ascii="Calibri" w:cs="Calibri" w:eastAsia="Calibri" w:hAnsi="Calibri"/>
          <w:sz w:val="22"/>
          <w:szCs w:val="22"/>
        </w:rPr>
        <w:t xml:space="preserve"> — </w:t>
      </w:r>
      <w:r>
        <w:rPr>
          <w:rFonts w:ascii="Consolas" w:cs="Consolas" w:eastAsia="Consolas" w:hAnsi="Consolas"/>
          <w:sz w:val="20"/>
          <w:szCs w:val="20"/>
        </w:rPr>
        <w:t xml:space="preserve">Site Need By Date</w:t>
      </w:r>
      <w:r>
        <w:rPr>
          <w:rFonts w:ascii="Calibri" w:cs="Calibri" w:eastAsia="Calibri" w:hAnsi="Calibri"/>
          <w:sz w:val="22"/>
          <w:szCs w:val="22"/>
        </w:rPr>
        <w:t xml:space="preserve"> in the real tracker. Backed out from the client milestone using the GC’s own schedule logic and buffer. Should be a live read off P6, not a static cell.</w:t>
      </w:r>
    </w:p>
    <w:p>
      <w:pPr>
        <w:pStyle w:val="ListParagraph"/>
        <w:numPr>
          <w:ilvl w:val="0"/>
          <w:numId w:val="4"/>
        </w:numPr>
        <w:spacing w:after="100" w:line="276"/>
      </w:pPr>
      <w:r>
        <w:rPr>
          <w:rFonts w:ascii="Calibri" w:cs="Calibri" w:eastAsia="Calibri" w:hAnsi="Calibri"/>
          <w:b/>
          <w:bCs/>
          <w:sz w:val="22"/>
          <w:szCs w:val="22"/>
        </w:rPr>
        <w:t xml:space="preserve">Vendor commitment</w:t>
      </w:r>
      <w:r>
        <w:rPr>
          <w:rFonts w:ascii="Calibri" w:cs="Calibri" w:eastAsia="Calibri" w:hAnsi="Calibri"/>
          <w:sz w:val="22"/>
          <w:szCs w:val="22"/>
        </w:rPr>
        <w:t xml:space="preserve"> — </w:t>
      </w:r>
      <w:r>
        <w:rPr>
          <w:rFonts w:ascii="Consolas" w:cs="Consolas" w:eastAsia="Consolas" w:hAnsi="Consolas"/>
          <w:sz w:val="20"/>
          <w:szCs w:val="20"/>
        </w:rPr>
        <w:t xml:space="preserve">Committed Supplier Delivery Date</w:t>
      </w:r>
      <w:r>
        <w:rPr>
          <w:rFonts w:ascii="Calibri" w:cs="Calibri" w:eastAsia="Calibri" w:hAnsi="Calibri"/>
          <w:sz w:val="22"/>
          <w:szCs w:val="22"/>
        </w:rPr>
        <w:t xml:space="preserve">. The vendor’s promise at award, tied to the PO. Only moves on a formal change order.</w:t>
      </w:r>
    </w:p>
    <w:p>
      <w:pPr>
        <w:pStyle w:val="ListParagraph"/>
        <w:numPr>
          <w:ilvl w:val="0"/>
          <w:numId w:val="4"/>
        </w:numPr>
        <w:spacing w:after="160" w:line="276"/>
      </w:pPr>
      <w:r>
        <w:rPr>
          <w:rFonts w:ascii="Calibri" w:cs="Calibri" w:eastAsia="Calibri" w:hAnsi="Calibri"/>
          <w:b/>
          <w:bCs/>
          <w:sz w:val="22"/>
          <w:szCs w:val="22"/>
        </w:rPr>
        <w:t xml:space="preserve">Vendor actual</w:t>
      </w:r>
      <w:r>
        <w:rPr>
          <w:rFonts w:ascii="Calibri" w:cs="Calibri" w:eastAsia="Calibri" w:hAnsi="Calibri"/>
          <w:sz w:val="22"/>
          <w:szCs w:val="22"/>
        </w:rPr>
        <w:t xml:space="preserve"> — </w:t>
      </w:r>
      <w:r>
        <w:rPr>
          <w:rFonts w:ascii="Consolas" w:cs="Consolas" w:eastAsia="Consolas" w:hAnsi="Consolas"/>
          <w:sz w:val="20"/>
          <w:szCs w:val="20"/>
        </w:rPr>
        <w:t xml:space="preserve">Factory Witness Date</w:t>
      </w:r>
      <w:r>
        <w:rPr>
          <w:rFonts w:ascii="Calibri" w:cs="Calibri" w:eastAsia="Calibri" w:hAnsi="Calibri"/>
          <w:sz w:val="22"/>
          <w:szCs w:val="22"/>
        </w:rPr>
        <w:t xml:space="preserve">, </w:t>
      </w:r>
      <w:r>
        <w:rPr>
          <w:rFonts w:ascii="Consolas" w:cs="Consolas" w:eastAsia="Consolas" w:hAnsi="Consolas"/>
          <w:sz w:val="20"/>
          <w:szCs w:val="20"/>
        </w:rPr>
        <w:t xml:space="preserve">Ship Date</w:t>
      </w:r>
      <w:r>
        <w:rPr>
          <w:rFonts w:ascii="Calibri" w:cs="Calibri" w:eastAsia="Calibri" w:hAnsi="Calibri"/>
          <w:sz w:val="22"/>
          <w:szCs w:val="22"/>
        </w:rPr>
        <w:t xml:space="preserve">, </w:t>
      </w:r>
      <w:r>
        <w:rPr>
          <w:rFonts w:ascii="Consolas" w:cs="Consolas" w:eastAsia="Consolas" w:hAnsi="Consolas"/>
          <w:sz w:val="20"/>
          <w:szCs w:val="20"/>
        </w:rPr>
        <w:t xml:space="preserve">Actual Delivery Date</w:t>
      </w:r>
      <w:r>
        <w:rPr>
          <w:rFonts w:ascii="Calibri" w:cs="Calibri" w:eastAsia="Calibri" w:hAnsi="Calibri"/>
          <w:sz w:val="22"/>
          <w:szCs w:val="22"/>
        </w:rPr>
        <w:t xml:space="preserve">. What really happened, sourced from independently verified events, not self-report alone.</w:t>
      </w:r>
    </w:p>
    <w:p>
      <w:pPr>
        <w:spacing w:after="100" w:line="276"/>
      </w:pPr>
      <w:r>
        <w:rPr>
          <w:rFonts w:ascii="Calibri" w:cs="Calibri" w:eastAsia="Calibri" w:hAnsi="Calibri"/>
          <w:b/>
          <w:bCs/>
          <w:sz w:val="22"/>
          <w:szCs w:val="22"/>
        </w:rPr>
        <w:t xml:space="preserve">The computed values that make this useful — already named as columns, currently calculated by hand:</w:t>
      </w:r>
    </w:p>
    <w:p>
      <w:pPr>
        <w:pStyle w:val="ListParagraph"/>
        <w:numPr>
          <w:ilvl w:val="0"/>
          <w:numId w:val="2"/>
        </w:numPr>
        <w:spacing w:after="100" w:line="276"/>
      </w:pPr>
      <w:r>
        <w:rPr>
          <w:rFonts w:ascii="Consolas" w:cs="Consolas" w:eastAsia="Consolas" w:hAnsi="Consolas"/>
          <w:sz w:val="20"/>
          <w:szCs w:val="20"/>
        </w:rPr>
        <w:t xml:space="preserve">Commitment v Site ROJ Need</w:t>
      </w:r>
      <w:r>
        <w:rPr>
          <w:rFonts w:ascii="Calibri" w:cs="Calibri" w:eastAsia="Calibri" w:hAnsi="Calibri"/>
          <w:sz w:val="22"/>
          <w:szCs w:val="22"/>
        </w:rPr>
        <w:t xml:space="preserve"> — the buffer between the GC’s need-date and the vendor’s commitment. How much margin exists if the vendor delivers exactly as promised.</w:t>
      </w:r>
    </w:p>
    <w:p>
      <w:pPr>
        <w:pStyle w:val="ListParagraph"/>
        <w:numPr>
          <w:ilvl w:val="0"/>
          <w:numId w:val="2"/>
        </w:numPr>
        <w:spacing w:after="100" w:line="276"/>
      </w:pPr>
      <w:r>
        <w:rPr>
          <w:rFonts w:ascii="Consolas" w:cs="Consolas" w:eastAsia="Consolas" w:hAnsi="Consolas"/>
          <w:sz w:val="20"/>
          <w:szCs w:val="20"/>
        </w:rPr>
        <w:t xml:space="preserve">Supplier v Site ROJ Variance</w:t>
      </w:r>
      <w:r>
        <w:rPr>
          <w:rFonts w:ascii="Calibri" w:cs="Calibri" w:eastAsia="Calibri" w:hAnsi="Calibri"/>
          <w:sz w:val="22"/>
          <w:szCs w:val="22"/>
        </w:rPr>
        <w:t xml:space="preserve"> — variance between commitment and actual. Is the vendor tracking to what they promised.</w:t>
      </w:r>
    </w:p>
    <w:p>
      <w:pPr>
        <w:pStyle w:val="ListParagraph"/>
        <w:numPr>
          <w:ilvl w:val="0"/>
          <w:numId w:val="2"/>
        </w:numPr>
        <w:spacing w:after="160" w:line="276"/>
      </w:pPr>
      <w:r>
        <w:rPr>
          <w:rFonts w:ascii="Consolas" w:cs="Consolas" w:eastAsia="Consolas" w:hAnsi="Consolas"/>
          <w:sz w:val="20"/>
          <w:szCs w:val="20"/>
        </w:rPr>
        <w:t xml:space="preserve">Liquidated Damages Dates</w:t>
      </w:r>
      <w:r>
        <w:rPr>
          <w:rFonts w:ascii="Calibri" w:cs="Calibri" w:eastAsia="Calibri" w:hAnsi="Calibri"/>
          <w:sz w:val="22"/>
          <w:szCs w:val="22"/>
        </w:rPr>
        <w:t xml:space="preserve"> — the exposure mechanism. Once a variance breaches a threshold, this should compute a dollar exposure automatically and surface it for a human decision — never auto-withhold payment, only ever recommend and quantify.</w:t>
      </w:r>
    </w:p>
    <w:p>
      <w:pPr>
        <w:spacing w:after="160" w:line="288"/>
      </w:pPr>
      <w:r>
        <w:rPr>
          <w:rFonts w:ascii="Calibri" w:cs="Calibri" w:eastAsia="Calibri" w:hAnsi="Calibri"/>
          <w:b/>
          <w:bCs/>
          <w:sz w:val="22"/>
          <w:szCs w:val="22"/>
        </w:rPr>
        <w:t xml:space="preserve">Four accountable parties, not one:</w:t>
      </w:r>
      <w:r>
        <w:rPr>
          <w:rFonts w:ascii="Calibri" w:cs="Calibri" w:eastAsia="Calibri" w:hAnsi="Calibri"/>
          <w:sz w:val="22"/>
          <w:szCs w:val="22"/>
        </w:rPr>
        <w:t xml:space="preserve"> vendor (commitment vs. actual), general contractor (schedule execution — is the need-date itself moving because of upstream compression), client (are contractual milestones still achievable), and, as the chain extends into Phase 3, the commissioning agent (SLA from a verified landed date to CxAlloy checklist completion, not from CxAlloy’s own self-reported ready flag).</w:t>
      </w:r>
    </w:p>
    <w:p>
      <w:pPr>
        <w:spacing w:after="100" w:line="276"/>
      </w:pPr>
      <w:r>
        <w:rPr>
          <w:rFonts w:ascii="Calibri" w:cs="Calibri" w:eastAsia="Calibri" w:hAnsi="Calibri"/>
          <w:b/>
          <w:bCs/>
          <w:sz w:val="22"/>
          <w:szCs w:val="22"/>
        </w:rPr>
        <w:t xml:space="preserve">In scope for Phase 2 build — reconciliation and accountability engines:</w:t>
      </w:r>
    </w:p>
    <w:p>
      <w:pPr>
        <w:pStyle w:val="ListParagraph"/>
        <w:numPr>
          <w:ilvl w:val="0"/>
          <w:numId w:val="2"/>
        </w:numPr>
        <w:spacing w:after="100" w:line="276"/>
      </w:pPr>
      <w:r>
        <w:rPr>
          <w:rFonts w:ascii="Calibri" w:cs="Calibri" w:eastAsia="Calibri" w:hAnsi="Calibri"/>
          <w:sz w:val="22"/>
          <w:szCs w:val="22"/>
        </w:rPr>
        <w:t xml:space="preserve">The reconciliation engine — canonical unit/scope-line as the join anchor, with live pulls from Procore (commitments, SOV, change orders via OAuth2 REST API), P6 (activities, WBS, float via EPPM REST API), and CxAlloy (asset status, commissioning completion via its REST API), replacing the manual BBS-owner reconciliation that currently produces mismatches like the $1.279M gap found across 52 executed POs/COs in Project Spade and Mitten — now extended to carry all four date layers per unit (client milestone, GC need-date, vendor commitment, vendor actual), not just cost.</w:t>
      </w:r>
    </w:p>
    <w:p>
      <w:pPr>
        <w:pStyle w:val="ListParagraph"/>
        <w:numPr>
          <w:ilvl w:val="0"/>
          <w:numId w:val="2"/>
        </w:numPr>
        <w:spacing w:after="100" w:line="276"/>
      </w:pPr>
      <w:r>
        <w:rPr>
          <w:rFonts w:ascii="Calibri" w:cs="Calibri" w:eastAsia="Calibri" w:hAnsi="Calibri"/>
          <w:sz w:val="22"/>
          <w:szCs w:val="22"/>
        </w:rPr>
        <w:t xml:space="preserve">The buffer/variance calculator — computing </w:t>
      </w:r>
      <w:r>
        <w:rPr>
          <w:rFonts w:ascii="Consolas" w:cs="Consolas" w:eastAsia="Consolas" w:hAnsi="Consolas"/>
          <w:sz w:val="20"/>
          <w:szCs w:val="20"/>
        </w:rPr>
        <w:t xml:space="preserve">Commitment v Site ROJ Need</w:t>
      </w:r>
      <w:r>
        <w:rPr>
          <w:rFonts w:ascii="Calibri" w:cs="Calibri" w:eastAsia="Calibri" w:hAnsi="Calibri"/>
          <w:sz w:val="22"/>
          <w:szCs w:val="22"/>
        </w:rPr>
        <w:t xml:space="preserve"> and </w:t>
      </w:r>
      <w:r>
        <w:rPr>
          <w:rFonts w:ascii="Consolas" w:cs="Consolas" w:eastAsia="Consolas" w:hAnsi="Consolas"/>
          <w:sz w:val="20"/>
          <w:szCs w:val="20"/>
        </w:rPr>
        <w:t xml:space="preserve">Supplier v Site ROJ Variance</w:t>
      </w:r>
      <w:r>
        <w:rPr>
          <w:rFonts w:ascii="Calibri" w:cs="Calibri" w:eastAsia="Calibri" w:hAnsi="Calibri"/>
          <w:sz w:val="22"/>
          <w:szCs w:val="22"/>
        </w:rPr>
        <w:t xml:space="preserve"> live instead of by hand.</w:t>
      </w:r>
    </w:p>
    <w:p>
      <w:pPr>
        <w:pStyle w:val="ListParagraph"/>
        <w:numPr>
          <w:ilvl w:val="0"/>
          <w:numId w:val="2"/>
        </w:numPr>
        <w:spacing w:after="100" w:line="276"/>
      </w:pPr>
      <w:r>
        <w:rPr>
          <w:rFonts w:ascii="Calibri" w:cs="Calibri" w:eastAsia="Calibri" w:hAnsi="Calibri"/>
          <w:sz w:val="22"/>
          <w:szCs w:val="22"/>
        </w:rPr>
        <w:t xml:space="preserve">The exposure calculator — LD/backcharge dollar exposure computed the moment a variance breaches a threshold, advisory only.</w:t>
      </w:r>
    </w:p>
    <w:p>
      <w:pPr>
        <w:pStyle w:val="ListParagraph"/>
        <w:numPr>
          <w:ilvl w:val="0"/>
          <w:numId w:val="2"/>
        </w:numPr>
        <w:spacing w:after="100" w:line="276"/>
      </w:pPr>
      <w:r>
        <w:rPr>
          <w:rFonts w:ascii="Calibri" w:cs="Calibri" w:eastAsia="Calibri" w:hAnsi="Calibri"/>
          <w:sz w:val="22"/>
          <w:szCs w:val="22"/>
        </w:rPr>
        <w:t xml:space="preserve">The validation-rules engine — existing §37 non-negotiables enforced at entry: quantity/UOM required, term deviations flagged not silently accepted, payment schedule reconciles to 100%. (Frozen-demand-line enforcement is its own rule with its own object model — it is covered in full under Phase 1, the ROM &amp; Demand-Freeze Engine, not folded in here.)</w:t>
      </w:r>
    </w:p>
    <w:p>
      <w:pPr>
        <w:spacing w:after="100" w:before="160" w:line="276"/>
      </w:pPr>
      <w:r>
        <w:rPr>
          <w:rFonts w:ascii="Calibri" w:cs="Calibri" w:eastAsia="Calibri" w:hAnsi="Calibri"/>
          <w:b/>
          <w:bCs/>
          <w:sz w:val="22"/>
          <w:szCs w:val="22"/>
        </w:rPr>
        <w:t xml:space="preserve">New build-spec objects required (not present in v3.0):</w:t>
      </w:r>
    </w:p>
    <w:p>
      <w:pPr>
        <w:pStyle w:val="ListParagraph"/>
        <w:numPr>
          <w:ilvl w:val="0"/>
          <w:numId w:val="2"/>
        </w:numPr>
        <w:spacing w:after="100" w:line="276"/>
      </w:pPr>
      <w:r>
        <w:rPr>
          <w:rFonts w:ascii="Calibri" w:cs="Calibri" w:eastAsia="Calibri" w:hAnsi="Calibri"/>
          <w:b/>
          <w:bCs/>
          <w:sz w:val="22"/>
          <w:szCs w:val="22"/>
        </w:rPr>
        <w:t xml:space="preserve">The external-system connector and crosswalk-mapping layer.</w:t>
      </w:r>
      <w:r>
        <w:rPr>
          <w:rFonts w:ascii="Calibri" w:cs="Calibri" w:eastAsia="Calibri" w:hAnsi="Calibri"/>
          <w:sz w:val="22"/>
          <w:szCs w:val="22"/>
        </w:rPr>
        <w:t xml:space="preserve"> Currently </w:t>
      </w:r>
      <w:r>
        <w:rPr>
          <w:rFonts w:ascii="Consolas" w:cs="Consolas" w:eastAsia="Consolas" w:hAnsi="Consolas"/>
          <w:sz w:val="20"/>
          <w:szCs w:val="20"/>
        </w:rPr>
        <w:t xml:space="preserve">OBLIGATION</w:t>
      </w:r>
      <w:r>
        <w:rPr>
          <w:rFonts w:ascii="Calibri" w:cs="Calibri" w:eastAsia="Calibri" w:hAnsi="Calibri"/>
          <w:sz w:val="22"/>
          <w:szCs w:val="22"/>
        </w:rPr>
        <w:t xml:space="preserve"> carries a generic </w:t>
      </w:r>
      <w:r>
        <w:rPr>
          <w:rFonts w:ascii="Consolas" w:cs="Consolas" w:eastAsia="Consolas" w:hAnsi="Consolas"/>
          <w:sz w:val="20"/>
          <w:szCs w:val="20"/>
        </w:rPr>
        <w:t xml:space="preserve">source_system</w:t>
      </w:r>
      <w:r>
        <w:rPr>
          <w:rFonts w:ascii="Calibri" w:cs="Calibri" w:eastAsia="Calibri" w:hAnsi="Calibri"/>
          <w:sz w:val="22"/>
          <w:szCs w:val="22"/>
        </w:rPr>
        <w:t xml:space="preserve"> field (§25) and cost-code allocation is only modeled as an outbound export (§32). Missing: </w:t>
      </w:r>
      <w:r>
        <w:rPr>
          <w:rFonts w:ascii="Consolas" w:cs="Consolas" w:eastAsia="Consolas" w:hAnsi="Consolas"/>
          <w:sz w:val="20"/>
          <w:szCs w:val="20"/>
        </w:rPr>
        <w:t xml:space="preserve">WBS_MAP</w:t>
      </w:r>
      <w:r>
        <w:rPr>
          <w:rFonts w:ascii="Calibri" w:cs="Calibri" w:eastAsia="Calibri" w:hAnsi="Calibri"/>
          <w:sz w:val="22"/>
          <w:szCs w:val="22"/>
        </w:rPr>
        <w:t xml:space="preserve"> (P6 schedule-code crosswalk), </w:t>
      </w:r>
      <w:r>
        <w:rPr>
          <w:rFonts w:ascii="Consolas" w:cs="Consolas" w:eastAsia="Consolas" w:hAnsi="Consolas"/>
          <w:sz w:val="20"/>
          <w:szCs w:val="20"/>
        </w:rPr>
        <w:t xml:space="preserve">COST_CODE_MAP</w:t>
      </w:r>
      <w:r>
        <w:rPr>
          <w:rFonts w:ascii="Calibri" w:cs="Calibri" w:eastAsia="Calibri" w:hAnsi="Calibri"/>
          <w:sz w:val="22"/>
          <w:szCs w:val="22"/>
        </w:rPr>
        <w:t xml:space="preserve"> (Procore cost-code crosswalk), and </w:t>
      </w:r>
      <w:r>
        <w:rPr>
          <w:rFonts w:ascii="Consolas" w:cs="Consolas" w:eastAsia="Consolas" w:hAnsi="Consolas"/>
          <w:sz w:val="20"/>
          <w:szCs w:val="20"/>
        </w:rPr>
        <w:t xml:space="preserve">ASSET_MAP</w:t>
      </w:r>
      <w:r>
        <w:rPr>
          <w:rFonts w:ascii="Calibri" w:cs="Calibri" w:eastAsia="Calibri" w:hAnsi="Calibri"/>
          <w:sz w:val="22"/>
          <w:szCs w:val="22"/>
        </w:rPr>
        <w:t xml:space="preserve"> (CxAlloy asset/commissioning-ID crosswalk) — each recording </w:t>
      </w:r>
      <w:r>
        <w:rPr>
          <w:rFonts w:ascii="Consolas" w:cs="Consolas" w:eastAsia="Consolas" w:hAnsi="Consolas"/>
          <w:sz w:val="20"/>
          <w:szCs w:val="20"/>
        </w:rPr>
        <w:t xml:space="preserve">external_system · external_code · canonical_id · mapped_by · mapped_at · confidence</w:t>
      </w:r>
      <w:r>
        <w:rPr>
          <w:rFonts w:ascii="Calibri" w:cs="Calibri" w:eastAsia="Calibri" w:hAnsi="Calibri"/>
          <w:sz w:val="22"/>
          <w:szCs w:val="22"/>
        </w:rPr>
        <w:t xml:space="preserve">. Procore’s commitment lines stay at the grain Procore already uses — one line per equipment package or payment milestone, tied to a payment schedule, not one row per physical unit. Asset-level identity is not something Procore is asked to carry; it’s derived downstream inside Viasel from the scope-line quantity, the same way it already works today (§14). Missing: a defined sync cadence per source (P6 dates polled on interval; Procore commitments and COs pulled on change event; CxAlloy documents and completion status pulled on commissioning-complete event). Missing: an </w:t>
      </w:r>
      <w:r>
        <w:rPr>
          <w:rFonts w:ascii="Consolas" w:cs="Consolas" w:eastAsia="Consolas" w:hAnsi="Consolas"/>
          <w:sz w:val="20"/>
          <w:szCs w:val="20"/>
        </w:rPr>
        <w:t xml:space="preserve">UNMAPPED_CODE</w:t>
      </w:r>
      <w:r>
        <w:rPr>
          <w:rFonts w:ascii="Calibri" w:cs="Calibri" w:eastAsia="Calibri" w:hAnsi="Calibri"/>
          <w:sz w:val="22"/>
          <w:szCs w:val="22"/>
        </w:rPr>
        <w:t xml:space="preserve"> fail-loud queue — any code from a source system with no crosswalk entry surfaces immediately rather than silently dropping out of reconciliation.</w:t>
      </w:r>
    </w:p>
    <w:p>
      <w:pPr>
        <w:pStyle w:val="ListParagraph"/>
        <w:numPr>
          <w:ilvl w:val="0"/>
          <w:numId w:val="3"/>
        </w:numPr>
        <w:spacing w:after="120" w:line="276"/>
      </w:pPr>
      <w:r>
        <w:rPr>
          <w:rFonts w:ascii="Calibri" w:cs="Calibri" w:eastAsia="Calibri" w:hAnsi="Calibri"/>
          <w:b/>
          <w:bCs/>
          <w:sz w:val="22"/>
          <w:szCs w:val="22"/>
        </w:rPr>
        <w:t xml:space="preserve">A one-time historical-ingestion workflow.</w:t>
      </w:r>
      <w:r>
        <w:rPr>
          <w:rFonts w:ascii="Calibri" w:cs="Calibri" w:eastAsia="Calibri" w:hAnsi="Calibri"/>
          <w:sz w:val="22"/>
          <w:szCs w:val="22"/>
        </w:rPr>
        <w:t xml:space="preserve"> §34 describes ongoing front-loaded judgment per new agreement, but not the bounded, one-time act of ingesting a client’s pre-existing PO/CO/tracker history and normalizing it into canonical form at onboarding — the exact manual work already validated against Project Spade’s 54 PO/CO lines and ~24 equipment-package BOM entries. This should be named as its own workflow, distinct from steady-state operation.</w:t>
      </w:r>
    </w:p>
    <w:p>
      <w:pPr>
        <w:pStyle w:val="ListParagraph"/>
        <w:numPr>
          <w:ilvl w:val="0"/>
          <w:numId w:val="3"/>
        </w:numPr>
        <w:spacing w:after="120" w:line="276"/>
      </w:pPr>
      <w:r>
        <w:rPr>
          <w:rFonts w:ascii="Calibri" w:cs="Calibri" w:eastAsia="Calibri" w:hAnsi="Calibri"/>
          <w:b/>
          <w:bCs/>
          <w:sz w:val="22"/>
          <w:szCs w:val="22"/>
        </w:rPr>
        <w:t xml:space="preserve">The four-date-layer extension.</w:t>
      </w:r>
      <w:r>
        <w:rPr>
          <w:rFonts w:ascii="Calibri" w:cs="Calibri" w:eastAsia="Calibri" w:hAnsi="Calibri"/>
          <w:sz w:val="22"/>
          <w:szCs w:val="22"/>
        </w:rPr>
        <w:t xml:space="preserve"> Both objects above must now also carry the four-date-layer extension to the </w:t>
      </w:r>
      <w:r>
        <w:rPr>
          <w:rFonts w:ascii="Consolas" w:cs="Consolas" w:eastAsia="Consolas" w:hAnsi="Consolas"/>
          <w:sz w:val="20"/>
          <w:szCs w:val="20"/>
        </w:rPr>
        <w:t xml:space="preserve">OBLIGATION</w:t>
      </w:r>
      <w:r>
        <w:rPr>
          <w:rFonts w:ascii="Calibri" w:cs="Calibri" w:eastAsia="Calibri" w:hAnsi="Calibri"/>
          <w:sz w:val="22"/>
          <w:szCs w:val="22"/>
        </w:rPr>
        <w:t xml:space="preserve"> object (§25) described above: </w:t>
      </w:r>
      <w:r>
        <w:rPr>
          <w:rFonts w:ascii="Consolas" w:cs="Consolas" w:eastAsia="Consolas" w:hAnsi="Consolas"/>
          <w:sz w:val="20"/>
          <w:szCs w:val="20"/>
        </w:rPr>
        <w:t xml:space="preserve">committed_value · derived_value · actual_value · variance · exposure</w:t>
      </w:r>
      <w:r>
        <w:rPr>
          <w:rFonts w:ascii="Calibri" w:cs="Calibri" w:eastAsia="Calibri" w:hAnsi="Calibri"/>
          <w:sz w:val="22"/>
          <w:szCs w:val="22"/>
        </w:rPr>
        <w:t xml:space="preserve"> per date type, per unit — carried by the connector/crosswalk layer and populated during historical ingestion alike.</w:t>
      </w:r>
    </w:p>
    <w:p>
      <w:pPr>
        <w:spacing w:after="160" w:line="288"/>
      </w:pPr>
      <w:r>
        <w:rPr>
          <w:rFonts w:ascii="Calibri" w:cs="Calibri" w:eastAsia="Calibri" w:hAnsi="Calibri"/>
          <w:b/>
          <w:bCs/>
          <w:sz w:val="22"/>
          <w:szCs w:val="22"/>
        </w:rPr>
        <w:t xml:space="preserve">Buyer/persona:</w:t>
      </w:r>
      <w:r>
        <w:rPr>
          <w:rFonts w:ascii="Calibri" w:cs="Calibri" w:eastAsia="Calibri" w:hAnsi="Calibri"/>
          <w:sz w:val="22"/>
          <w:szCs w:val="22"/>
        </w:rPr>
        <w:t xml:space="preserve"> program, finance, and governance roles — the BBS-owner-equivalent with budget authority. This is the layer with an existing proof point (the case study) and a governance-level buyer who can sign.</w:t>
      </w:r>
    </w:p>
    <w:p>
      <w:pPr>
        <w:pBdr>
          <w:bottom w:val="single" w:color="AAAAAA" w:sz="6" w:space="1"/>
        </w:pBdr>
        <w:spacing w:after="200" w:before="200"/>
      </w:pPr>
    </w:p>
    <w:p>
      <w:pPr>
        <w:pStyle w:val="Heading1"/>
        <w:spacing w:after="160" w:before="320"/>
      </w:pPr>
      <w:r>
        <w:rPr>
          <w:rFonts w:ascii="Calibri" w:cs="Calibri" w:eastAsia="Calibri" w:hAnsi="Calibri"/>
          <w:b/>
          <w:bCs/>
          <w:sz w:val="40"/>
          <w:szCs w:val="40"/>
        </w:rPr>
        <w:t xml:space="preserve">Phase 3 — Equipment logistics and schedule accountability</w:t>
      </w:r>
    </w:p>
    <w:p>
      <w:pPr>
        <w:spacing w:after="160" w:line="288"/>
      </w:pPr>
      <w:r>
        <w:rPr>
          <w:rFonts w:ascii="Calibri" w:cs="Calibri" w:eastAsia="Calibri" w:hAnsi="Calibri"/>
          <w:b/>
          <w:bCs/>
          <w:sz w:val="22"/>
          <w:szCs w:val="22"/>
        </w:rPr>
        <w:t xml:space="preserve">What it proves:</w:t>
      </w:r>
      <w:r>
        <w:rPr>
          <w:rFonts w:ascii="Calibri" w:cs="Calibri" w:eastAsia="Calibri" w:hAnsi="Calibri"/>
          <w:sz w:val="22"/>
          <w:szCs w:val="22"/>
        </w:rPr>
        <w:t xml:space="preserve"> that the same canonical record, once trustworthy, makes physical-equipment tracking against a live schedule nearly free — differentiated from existing expediting tools by owning a required-on-site date that recomputes automatically instead of being manually re-typed.</w:t>
      </w:r>
    </w:p>
    <w:p>
      <w:pPr>
        <w:spacing w:after="100" w:line="276"/>
      </w:pPr>
      <w:r>
        <w:rPr>
          <w:rFonts w:ascii="Calibri" w:cs="Calibri" w:eastAsia="Calibri" w:hAnsi="Calibri"/>
          <w:b/>
          <w:bCs/>
          <w:sz w:val="22"/>
          <w:szCs w:val="22"/>
        </w:rPr>
        <w:t xml:space="preserve">In scope — already modeled in v3.0, not new:</w:t>
      </w:r>
    </w:p>
    <w:p>
      <w:pPr>
        <w:pStyle w:val="ListParagraph"/>
        <w:numPr>
          <w:ilvl w:val="0"/>
          <w:numId w:val="2"/>
        </w:numPr>
        <w:spacing w:after="100" w:line="276"/>
      </w:pPr>
      <w:r>
        <w:rPr>
          <w:rFonts w:ascii="Calibri" w:cs="Calibri" w:eastAsia="Calibri" w:hAnsi="Calibri"/>
          <w:b/>
          <w:bCs/>
          <w:sz w:val="22"/>
          <w:szCs w:val="22"/>
        </w:rPr>
        <w:t xml:space="preserve">Custody and gate tracking.</w:t>
      </w:r>
      <w:r>
        <w:rPr>
          <w:rFonts w:ascii="Calibri" w:cs="Calibri" w:eastAsia="Calibri" w:hAnsi="Calibri"/>
          <w:sz w:val="22"/>
          <w:szCs w:val="22"/>
        </w:rPr>
        <w:t xml:space="preserve"> §26–28 already model </w:t>
      </w:r>
      <w:r>
        <w:rPr>
          <w:rFonts w:ascii="Consolas" w:cs="Consolas" w:eastAsia="Consolas" w:hAnsi="Consolas"/>
          <w:sz w:val="20"/>
          <w:szCs w:val="20"/>
        </w:rPr>
        <w:t xml:space="preserve">MOVEMENT</w:t>
      </w:r>
      <w:r>
        <w:rPr>
          <w:rFonts w:ascii="Calibri" w:cs="Calibri" w:eastAsia="Calibri" w:hAnsi="Calibri"/>
          <w:sz w:val="22"/>
          <w:szCs w:val="22"/>
        </w:rPr>
        <w:t xml:space="preserve"> and </w:t>
      </w:r>
      <w:r>
        <w:rPr>
          <w:rFonts w:ascii="Consolas" w:cs="Consolas" w:eastAsia="Consolas" w:hAnsi="Consolas"/>
          <w:sz w:val="20"/>
          <w:szCs w:val="20"/>
        </w:rPr>
        <w:t xml:space="preserve">GATE_EVENT</w:t>
      </w:r>
      <w:r>
        <w:rPr>
          <w:rFonts w:ascii="Calibri" w:cs="Calibri" w:eastAsia="Calibri" w:hAnsi="Calibri"/>
          <w:sz w:val="22"/>
          <w:szCs w:val="22"/>
        </w:rPr>
        <w:t xml:space="preserve"> across Factory → Released → In Transit → Received → {Laydown | Warehouse | Integrator | Position} → Staged → Installed → Accepted, with gates at submittal approval, manufacturing release, factory witness test, shipment, delivery, and verification acceptance. This is the same milestone shape as commercial expediting tools (4castplus, Orcera), already specified as first-class objects.</w:t>
      </w:r>
    </w:p>
    <w:p>
      <w:pPr>
        <w:pStyle w:val="ListParagraph"/>
        <w:numPr>
          <w:ilvl w:val="0"/>
          <w:numId w:val="2"/>
        </w:numPr>
        <w:spacing w:after="100" w:line="276"/>
      </w:pPr>
      <w:r>
        <w:rPr>
          <w:rFonts w:ascii="Calibri" w:cs="Calibri" w:eastAsia="Calibri" w:hAnsi="Calibri"/>
          <w:b/>
          <w:bCs/>
          <w:sz w:val="22"/>
          <w:szCs w:val="22"/>
        </w:rPr>
        <w:t xml:space="preserve">The Logistics role view.</w:t>
      </w:r>
      <w:r>
        <w:rPr>
          <w:rFonts w:ascii="Calibri" w:cs="Calibri" w:eastAsia="Calibri" w:hAnsi="Calibri"/>
          <w:sz w:val="22"/>
          <w:szCs w:val="22"/>
        </w:rPr>
        <w:t xml:space="preserve"> §36 already names this view: position, transit, storage, exceptions, protocol compliance, receiving readiness.</w:t>
      </w:r>
    </w:p>
    <w:p>
      <w:pPr>
        <w:pStyle w:val="ListParagraph"/>
        <w:numPr>
          <w:ilvl w:val="0"/>
          <w:numId w:val="2"/>
        </w:numPr>
        <w:spacing w:after="100" w:line="276"/>
      </w:pPr>
      <w:r>
        <w:rPr>
          <w:rFonts w:ascii="Calibri" w:cs="Calibri" w:eastAsia="Calibri" w:hAnsi="Calibri"/>
          <w:b/>
          <w:bCs/>
          <w:sz w:val="22"/>
          <w:szCs w:val="22"/>
        </w:rPr>
        <w:t xml:space="preserve">Document-by-trigger closeout.</w:t>
      </w:r>
      <w:r>
        <w:rPr>
          <w:rFonts w:ascii="Calibri" w:cs="Calibri" w:eastAsia="Calibri" w:hAnsi="Calibri"/>
          <w:sz w:val="22"/>
          <w:szCs w:val="22"/>
        </w:rPr>
        <w:t xml:space="preserve"> §41 already fires required documents off lifecycle gates (e.g., </w:t>
      </w:r>
      <w:r>
        <w:rPr>
          <w:rFonts w:ascii="Consolas" w:cs="Consolas" w:eastAsia="Consolas" w:hAnsi="Consolas"/>
          <w:sz w:val="20"/>
          <w:szCs w:val="20"/>
        </w:rPr>
        <w:t xml:space="preserve">upon_commissioning</w:t>
      </w:r>
      <w:r>
        <w:rPr>
          <w:rFonts w:ascii="Calibri" w:cs="Calibri" w:eastAsia="Calibri" w:hAnsi="Calibri"/>
          <w:sz w:val="22"/>
          <w:szCs w:val="22"/>
        </w:rPr>
        <w:t xml:space="preserve">, </w:t>
      </w:r>
      <w:r>
        <w:rPr>
          <w:rFonts w:ascii="Consolas" w:cs="Consolas" w:eastAsia="Consolas" w:hAnsi="Consolas"/>
          <w:sz w:val="20"/>
          <w:szCs w:val="20"/>
        </w:rPr>
        <w:t xml:space="preserve">prior_to_final_payment</w:t>
      </w:r>
      <w:r>
        <w:rPr>
          <w:rFonts w:ascii="Calibri" w:cs="Calibri" w:eastAsia="Calibri" w:hAnsi="Calibri"/>
          <w:sz w:val="22"/>
          <w:szCs w:val="22"/>
        </w:rPr>
        <w:t xml:space="preserve">) landing against the unit automatically — this is the mechanism for pulling completed CxAlloy commissioning packages back into a per-asset closeout folder the moment commissioning finishes.</w:t>
      </w:r>
    </w:p>
    <w:p>
      <w:pPr>
        <w:spacing w:after="100" w:before="160" w:line="276"/>
      </w:pPr>
      <w:r>
        <w:rPr>
          <w:rFonts w:ascii="Calibri" w:cs="Calibri" w:eastAsia="Calibri" w:hAnsi="Calibri"/>
          <w:b/>
          <w:bCs/>
          <w:sz w:val="22"/>
          <w:szCs w:val="22"/>
        </w:rPr>
        <w:t xml:space="preserve">What’s actually new for Phase 3:</w:t>
      </w:r>
    </w:p>
    <w:p>
      <w:pPr>
        <w:pStyle w:val="ListParagraph"/>
        <w:numPr>
          <w:ilvl w:val="0"/>
          <w:numId w:val="2"/>
        </w:numPr>
        <w:spacing w:after="100" w:line="276"/>
      </w:pPr>
      <w:r>
        <w:rPr>
          <w:rFonts w:ascii="Calibri" w:cs="Calibri" w:eastAsia="Calibri" w:hAnsi="Calibri"/>
          <w:b/>
          <w:bCs/>
          <w:sz w:val="22"/>
          <w:szCs w:val="22"/>
        </w:rPr>
        <w:t xml:space="preserve">Live-derived required-on-site date.</w:t>
      </w:r>
      <w:r>
        <w:rPr>
          <w:rFonts w:ascii="Calibri" w:cs="Calibri" w:eastAsia="Calibri" w:hAnsi="Calibri"/>
          <w:sz w:val="22"/>
          <w:szCs w:val="22"/>
        </w:rPr>
        <w:t xml:space="preserve"> Today’s expediting tools (4castplus, Orcera) track milestones after a PO commits, but the required-on-site date itself is manually maintained — a practitioner’s own field guide confirms this is run as a hand-updated weekly “procurement matrix.” Viasel’s differentiation: the required-on-site date is derived directly from the canonical record’s live schedule (P6) and change-order (Procore) state, so a CO or schedule shift automatically recomputes which shipments are now at risk, without anyone re-typing a date.</w:t>
      </w:r>
    </w:p>
    <w:p>
      <w:pPr>
        <w:pStyle w:val="ListParagraph"/>
        <w:numPr>
          <w:ilvl w:val="0"/>
          <w:numId w:val="2"/>
        </w:numPr>
        <w:spacing w:after="100" w:line="276"/>
      </w:pPr>
      <w:r>
        <w:rPr>
          <w:rFonts w:ascii="Calibri" w:cs="Calibri" w:eastAsia="Calibri" w:hAnsi="Calibri"/>
          <w:b/>
          <w:bCs/>
          <w:sz w:val="22"/>
          <w:szCs w:val="22"/>
        </w:rPr>
        <w:t xml:space="preserve">Viasel is an exhibits generator, not a contract-authoring platform.</w:t>
      </w:r>
      <w:r>
        <w:rPr>
          <w:rFonts w:ascii="Calibri" w:cs="Calibri" w:eastAsia="Calibri" w:hAnsi="Calibri"/>
          <w:sz w:val="22"/>
          <w:szCs w:val="22"/>
        </w:rPr>
        <w:t xml:space="preserve"> §35’s Agreement session already generates exhibits from the canonical record — scope lines, terms, payment schedule — never from a template a counterparty fills in. The client keeps authoring and executing the base agreement wherever they already do it — Procore or otherwise — Viasel doesn’t compete for that. What closes the loop: once the agreement executes, Viasel retrieves the final executed document back from the client’s system via API and reconciles it, field by field, against the exhibit it generated — flagging anything that changed between generation and execution (a term edited during signature, a quantity or price that moved) for human review. Nothing is auto-corrected. This is a new mechanism, not present anywhere in the v3.0 spec.</w:t>
      </w:r>
    </w:p>
    <w:p>
      <w:pPr>
        <w:pStyle w:val="ListParagraph"/>
        <w:numPr>
          <w:ilvl w:val="0"/>
          <w:numId w:val="2"/>
        </w:numPr>
        <w:spacing w:after="100" w:line="276"/>
      </w:pPr>
      <w:r>
        <w:rPr>
          <w:rFonts w:ascii="Calibri" w:cs="Calibri" w:eastAsia="Calibri" w:hAnsi="Calibri"/>
          <w:sz w:val="22"/>
          <w:szCs w:val="22"/>
        </w:rPr>
        <w:t xml:space="preserve">The commissioning SLA clock must start from an independently verified “landed” event (GC or logistics receiving confirmation), not from CxAlloy’s own “Ready for Commissioning” flag — otherwise a slow commissioning team can delay marking equipment ready and never show as late. The gap between physical landed and CxAlloy’s ready flag being set is itself a useful, trackable number.</w:t>
      </w:r>
    </w:p>
    <w:p>
      <w:pPr>
        <w:spacing w:after="160" w:line="288"/>
      </w:pPr>
      <w:r>
        <w:rPr>
          <w:rFonts w:ascii="Calibri" w:cs="Calibri" w:eastAsia="Calibri" w:hAnsi="Calibri"/>
          <w:b/>
          <w:bCs/>
          <w:sz w:val="22"/>
          <w:szCs w:val="22"/>
        </w:rPr>
        <w:t xml:space="preserve">Buyer/persona:</w:t>
      </w:r>
      <w:r>
        <w:rPr>
          <w:rFonts w:ascii="Calibri" w:cs="Calibri" w:eastAsia="Calibri" w:hAnsi="Calibri"/>
          <w:sz w:val="22"/>
          <w:szCs w:val="22"/>
        </w:rPr>
        <w:t xml:space="preserve"> procurement and logistics coordinators — a larger day-to-day user base, lower contract authority, higher usage frequency. This is the retention and expansion layer, not the initial sale.</w:t>
      </w:r>
    </w:p>
    <w:p>
      <w:pPr>
        <w:pBdr>
          <w:bottom w:val="single" w:color="AAAAAA" w:sz="6" w:space="1"/>
        </w:pBdr>
        <w:spacing w:after="200" w:before="200"/>
      </w:pPr>
    </w:p>
    <w:p>
      <w:pPr>
        <w:pStyle w:val="Heading1"/>
        <w:spacing w:after="160" w:before="320"/>
      </w:pPr>
      <w:r>
        <w:rPr>
          <w:rFonts w:ascii="Calibri" w:cs="Calibri" w:eastAsia="Calibri" w:hAnsi="Calibri"/>
          <w:b/>
          <w:bCs/>
          <w:sz w:val="40"/>
          <w:szCs w:val="40"/>
        </w:rPr>
        <w:t xml:space="preserve">Phase 4 — AI-assisted anomaly detection</w:t>
      </w:r>
    </w:p>
    <w:p>
      <w:pPr>
        <w:spacing w:after="160" w:line="288"/>
      </w:pPr>
      <w:r>
        <w:rPr>
          <w:rFonts w:ascii="Calibri" w:cs="Calibri" w:eastAsia="Calibri" w:hAnsi="Calibri"/>
          <w:b/>
          <w:bCs/>
          <w:sz w:val="22"/>
          <w:szCs w:val="22"/>
        </w:rPr>
        <w:t xml:space="preserve">What it proves:</w:t>
      </w:r>
      <w:r>
        <w:rPr>
          <w:rFonts w:ascii="Calibri" w:cs="Calibri" w:eastAsia="Calibri" w:hAnsi="Calibri"/>
          <w:sz w:val="22"/>
          <w:szCs w:val="22"/>
        </w:rPr>
        <w:t xml:space="preserve"> that the joined, normalized record can flag statistically abnormal facts for human review — a capability that has no baseline to work against until Phases 1 through 3 are producing clean data.</w:t>
      </w:r>
    </w:p>
    <w:p>
      <w:pPr>
        <w:spacing w:after="100" w:line="276"/>
      </w:pPr>
      <w:r>
        <w:rPr>
          <w:rFonts w:ascii="Calibri" w:cs="Calibri" w:eastAsia="Calibri" w:hAnsi="Calibri"/>
          <w:b/>
          <w:bCs/>
          <w:sz w:val="22"/>
          <w:szCs w:val="22"/>
        </w:rPr>
        <w:t xml:space="preserve">In scope:</w:t>
      </w:r>
    </w:p>
    <w:p>
      <w:pPr>
        <w:pStyle w:val="ListParagraph"/>
        <w:numPr>
          <w:ilvl w:val="0"/>
          <w:numId w:val="2"/>
        </w:numPr>
        <w:spacing w:after="100" w:line="276"/>
      </w:pPr>
      <w:r>
        <w:rPr>
          <w:rFonts w:ascii="Calibri" w:cs="Calibri" w:eastAsia="Calibri" w:hAnsi="Calibri"/>
          <w:b/>
          <w:bCs/>
          <w:sz w:val="22"/>
          <w:szCs w:val="22"/>
        </w:rPr>
        <w:t xml:space="preserve">Cost-anomaly flagging.</w:t>
      </w:r>
      <w:r>
        <w:rPr>
          <w:rFonts w:ascii="Calibri" w:cs="Calibri" w:eastAsia="Calibri" w:hAnsi="Calibri"/>
          <w:sz w:val="22"/>
          <w:szCs w:val="22"/>
        </w:rPr>
        <w:t xml:space="preserve"> Runs the ROM’s existing normalized-comparable-set logic (§2) in reverse: any incoming committed price is checked against the normalized band for its equipment type and quantity tier, flagged if it falls outside the expected range, with the same confidence-tier honesty the ROM already applies on thin comparable sets.</w:t>
      </w:r>
    </w:p>
    <w:p>
      <w:pPr>
        <w:pStyle w:val="ListParagraph"/>
        <w:numPr>
          <w:ilvl w:val="0"/>
          <w:numId w:val="2"/>
        </w:numPr>
        <w:spacing w:after="100" w:line="276"/>
      </w:pPr>
      <w:r>
        <w:rPr>
          <w:rFonts w:ascii="Calibri" w:cs="Calibri" w:eastAsia="Calibri" w:hAnsi="Calibri"/>
          <w:b/>
          <w:bCs/>
          <w:sz w:val="22"/>
          <w:szCs w:val="22"/>
        </w:rPr>
        <w:t xml:space="preserve">Date-divergence flagging.</w:t>
      </w:r>
      <w:r>
        <w:rPr>
          <w:rFonts w:ascii="Calibri" w:cs="Calibri" w:eastAsia="Calibri" w:hAnsi="Calibri"/>
          <w:sz w:val="22"/>
          <w:szCs w:val="22"/>
        </w:rPr>
        <w:t xml:space="preserve"> A new derived capability, not present in v3.0: obligations that should move together (same WBS branch, same milestone dependency, same vendor package) are clustered, and any obligation that diverges from its own cohort’s trajectory is flagged. Extends §39’s list of derived outputs.</w:t>
      </w:r>
    </w:p>
    <w:p>
      <w:pPr>
        <w:pStyle w:val="ListParagraph"/>
        <w:numPr>
          <w:ilvl w:val="0"/>
          <w:numId w:val="2"/>
        </w:numPr>
        <w:spacing w:after="100" w:line="276"/>
      </w:pPr>
      <w:r>
        <w:rPr>
          <w:rFonts w:ascii="Calibri" w:cs="Calibri" w:eastAsia="Calibri" w:hAnsi="Calibri"/>
          <w:b/>
          <w:bCs/>
          <w:sz w:val="22"/>
          <w:szCs w:val="22"/>
        </w:rPr>
        <w:t xml:space="preserve">Governing principle, non-negotiable:</w:t>
      </w:r>
      <w:r>
        <w:rPr>
          <w:rFonts w:ascii="Calibri" w:cs="Calibri" w:eastAsia="Calibri" w:hAnsi="Calibri"/>
          <w:sz w:val="22"/>
          <w:szCs w:val="22"/>
        </w:rPr>
        <w:t xml:space="preserve"> every flag in this phase is advisory only. Structural rules (§37) may refuse a malformed entry outright. Statistical flags never auto-correct or auto-reject — they surface for review, because an anomaly is not proof of an error.</w:t>
      </w:r>
    </w:p>
    <w:p>
      <w:pPr>
        <w:spacing w:after="160" w:line="288"/>
      </w:pPr>
      <w:r>
        <w:rPr>
          <w:rFonts w:ascii="Calibri" w:cs="Calibri" w:eastAsia="Calibri" w:hAnsi="Calibri"/>
          <w:b/>
          <w:bCs/>
          <w:sz w:val="22"/>
          <w:szCs w:val="22"/>
        </w:rPr>
        <w:t xml:space="preserve">Buyer/persona:</w:t>
      </w:r>
      <w:r>
        <w:rPr>
          <w:rFonts w:ascii="Calibri" w:cs="Calibri" w:eastAsia="Calibri" w:hAnsi="Calibri"/>
          <w:sz w:val="22"/>
          <w:szCs w:val="22"/>
        </w:rPr>
        <w:t xml:space="preserve"> the same governance and logistics users from Phases 1 through 3 — this phase adds a capability to existing seats rather than opening a new one.</w:t>
      </w:r>
    </w:p>
    <w:p>
      <w:pPr>
        <w:pBdr>
          <w:bottom w:val="single" w:color="AAAAAA" w:sz="6" w:space="1"/>
        </w:pBdr>
        <w:spacing w:after="200" w:before="200"/>
      </w:pPr>
    </w:p>
    <w:p>
      <w:pPr>
        <w:pStyle w:val="Heading1"/>
        <w:spacing w:after="160" w:before="320"/>
      </w:pPr>
      <w:r>
        <w:rPr>
          <w:rFonts w:ascii="Calibri" w:cs="Calibri" w:eastAsia="Calibri" w:hAnsi="Calibri"/>
          <w:b/>
          <w:bCs/>
          <w:sz w:val="40"/>
          <w:szCs w:val="40"/>
        </w:rPr>
        <w:t xml:space="preserve">What does not change</w:t>
      </w:r>
    </w:p>
    <w:p>
      <w:pPr>
        <w:spacing w:after="160" w:line="288"/>
      </w:pPr>
      <w:r>
        <w:rPr>
          <w:rFonts w:ascii="Calibri" w:cs="Calibri" w:eastAsia="Calibri" w:hAnsi="Calibri"/>
          <w:sz w:val="22"/>
          <w:szCs w:val="22"/>
        </w:rPr>
        <w:t xml:space="preserve">Everything in v3.0 Parts I through VIII, X through XIII (demand, sourcing, award, supply, change, identity, time, equipment, cost, handover/documents/spares, operation, disposition, custody/distribution) stands as specified. This roadmap only adds the connector/crosswalk layer, the historical-ingestion workflow, the contracting-adoption fork, and the anomaly-detection derived outputs — additions, not revisions, to the existing model.</w:t>
      </w:r>
    </w:p>
    <w:p>
      <w:pPr>
        <w:pBdr>
          <w:bottom w:val="single" w:color="AAAAAA" w:sz="6" w:space="1"/>
        </w:pBdr>
        <w:spacing w:after="200" w:before="200"/>
      </w:pPr>
    </w:p>
    <w:p>
      <w:pPr>
        <w:spacing w:after="0" w:before="120"/>
      </w:pPr>
      <w:r>
        <w:rPr>
          <w:rFonts w:ascii="Calibri" w:cs="Calibri" w:eastAsia="Calibri" w:hAnsi="Calibri"/>
          <w:i/>
          <w:iCs/>
          <w:sz w:val="20"/>
          <w:szCs w:val="20"/>
        </w:rPr>
        <w:t xml:space="preserve">Roadmap v1.0 — companion to Viasel_Build_Specifications v3.0 and Viasel_Concept v3.0.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000000"/>
      <w:sz w:val="32"/>
      <w:szCs w:val="32"/>
    </w:rPr>
  </w:style>
  <w:style w:type="paragraph" w:styleId="Heading2">
    <w:name w:val="Heading 2"/>
    <w:basedOn w:val="Normal"/>
    <w:next w:val="Normal"/>
    <w:qFormat/>
    <w:pPr>
      <w:spacing w:after="130" w:before="260"/>
      <w:outlineLvl w:val="1"/>
    </w:pPr>
    <w:rPr>
      <w:rFonts w:ascii="Calibri" w:cs="Calibri" w:eastAsia="Calibri" w:hAnsi="Calibri"/>
      <w:b/>
      <w:bCs/>
      <w:color w:val="000000"/>
      <w:sz w:val="26"/>
      <w:szCs w:val="26"/>
    </w:rPr>
  </w:style>
  <w:style w:type="paragraph" w:styleId="Heading3">
    <w:name w:val="Heading 3"/>
    <w:basedOn w:val="Normal"/>
    <w:next w:val="Normal"/>
    <w:qFormat/>
    <w:pPr>
      <w:spacing w:after="110" w:before="220"/>
      <w:outlineLvl w:val="2"/>
    </w:pPr>
    <w:rPr>
      <w:rFonts w:ascii="Calibri" w:cs="Calibri" w:eastAsia="Calibri" w:hAnsi="Calibri"/>
      <w:b/>
      <w:bCs/>
      <w:color w:val="000000"/>
      <w:sz w:val="23"/>
      <w:szCs w:val="23"/>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file>

<file path=word/_rels/footnotes.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2026-08-09T18:44:21.515Z</dcterms:created>
  <dcterms:modified xsi:type="dcterms:W3CDTF">2026-08-09T18:44:21.515Z</dcterms:modified>
</cp:coreProperties>
</file>

<file path=docProps/custom.xml><?xml version="1.0" encoding="utf-8"?>
<Properties xmlns="http://schemas.openxmlformats.org/officeDocument/2006/custom-properties" xmlns:vt="http://schemas.openxmlformats.org/officeDocument/2006/docPropsVTypes"/>
</file>