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A71915"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A71915"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proofErr w:type="spellStart"/>
      <w:r w:rsidRPr="002D61B9">
        <w:rPr>
          <w:rFonts w:asciiTheme="minorBidi" w:eastAsia="Times New Roman" w:hAnsiTheme="minorBidi" w:cstheme="minorBidi"/>
          <w:sz w:val="24"/>
          <w:szCs w:val="24"/>
        </w:rPr>
        <w:t>BS.c</w:t>
      </w:r>
      <w:proofErr w:type="spellEnd"/>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0"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0"/>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1"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2"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2"/>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1"/>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הנתונים ולא רק על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 xml:space="preserve">נדגים את תוצאת </w:t>
      </w:r>
      <w:proofErr w:type="spellStart"/>
      <w:r w:rsidR="00BE658C">
        <w:rPr>
          <w:rFonts w:asciiTheme="minorBidi" w:hAnsiTheme="minorBidi" w:cstheme="minorBidi" w:hint="cs"/>
          <w:sz w:val="24"/>
          <w:szCs w:val="24"/>
          <w:rtl/>
        </w:rPr>
        <w:t>הקוונטיזציה</w:t>
      </w:r>
      <w:proofErr w:type="spellEnd"/>
      <w:r w:rsidR="00BE658C">
        <w:rPr>
          <w:rFonts w:asciiTheme="minorBidi" w:hAnsiTheme="minorBidi" w:cstheme="minorBidi" w:hint="cs"/>
          <w:sz w:val="24"/>
          <w:szCs w:val="24"/>
          <w:rtl/>
        </w:rPr>
        <w:t xml:space="preserve">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29">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233680</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1">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bookmarkStart w:id="3" w:name="_GoBack"/>
      <w:bookmarkEnd w:id="3"/>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 xml:space="preserve">היות והחוק השני של </w:t>
      </w:r>
      <w:proofErr w:type="spellStart"/>
      <w:r w:rsidR="00545DAD" w:rsidRPr="009F3E88">
        <w:rPr>
          <w:rFonts w:asciiTheme="minorBidi" w:hAnsiTheme="minorBidi" w:cstheme="minorBidi"/>
          <w:sz w:val="24"/>
          <w:szCs w:val="24"/>
          <w:rtl/>
        </w:rPr>
        <w:t>התרמודינאמיקה</w:t>
      </w:r>
      <w:proofErr w:type="spellEnd"/>
      <w:r w:rsidR="00545DAD" w:rsidRPr="009F3E88">
        <w:rPr>
          <w:rFonts w:asciiTheme="minorBidi" w:hAnsiTheme="minorBidi" w:cstheme="minorBidi"/>
          <w:sz w:val="24"/>
          <w:szCs w:val="24"/>
          <w:rtl/>
        </w:rPr>
        <w:t xml:space="preserve">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 xml:space="preserve">דוגמא: החוק השני של </w:t>
      </w:r>
      <w:proofErr w:type="spellStart"/>
      <w:r w:rsidRPr="008C7E81">
        <w:rPr>
          <w:rFonts w:asciiTheme="minorBidi" w:hAnsiTheme="minorBidi" w:cstheme="minorBidi"/>
          <w:color w:val="2E74B5" w:themeColor="accent1" w:themeShade="BF"/>
          <w:sz w:val="24"/>
          <w:szCs w:val="24"/>
          <w:rtl/>
        </w:rPr>
        <w:t>התרמודינאמיקה</w:t>
      </w:r>
      <w:proofErr w:type="spellEnd"/>
      <w:r w:rsidRPr="008C7E81">
        <w:rPr>
          <w:rFonts w:asciiTheme="minorBidi" w:hAnsiTheme="minorBidi" w:cstheme="minorBidi"/>
          <w:color w:val="2E74B5" w:themeColor="accent1" w:themeShade="BF"/>
          <w:sz w:val="24"/>
          <w:szCs w:val="24"/>
          <w:rtl/>
        </w:rPr>
        <w:t xml:space="preserve">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 xml:space="preserve">חום יוצא מהמים), בעוד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השקיק תעלה מאותה סיבה. אולם, בגלל שטמפרטורת שקיק התה נמוכה מטמפרטורת המים, הרי שהאנטרופיה של השקיק תעלה יותר מאשר ירידת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לכן, באופן כללי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 xml:space="preserve">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נמוכה,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5"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6"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7"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8"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9"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40"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1"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2"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3"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4"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5"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6"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7"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8"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9"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50"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1"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2"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3"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4"/>
      <w:footerReference w:type="default" r:id="rId5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915" w:rsidRDefault="00A71915">
      <w:r>
        <w:separator/>
      </w:r>
    </w:p>
  </w:endnote>
  <w:endnote w:type="continuationSeparator" w:id="0">
    <w:p w:rsidR="00A71915" w:rsidRDefault="00A7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915" w:rsidRDefault="00A71915">
      <w:r>
        <w:separator/>
      </w:r>
    </w:p>
  </w:footnote>
  <w:footnote w:type="continuationSeparator" w:id="0">
    <w:p w:rsidR="00A71915" w:rsidRDefault="00A71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675D"/>
    <w:rsid w:val="0013477C"/>
    <w:rsid w:val="0015338F"/>
    <w:rsid w:val="001602A1"/>
    <w:rsid w:val="00160A3C"/>
    <w:rsid w:val="001634AC"/>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1915"/>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DF1FBE"/>
    <w:rsid w:val="00E0340F"/>
    <w:rsid w:val="00E03D14"/>
    <w:rsid w:val="00E04A72"/>
    <w:rsid w:val="00E06509"/>
    <w:rsid w:val="00E073DA"/>
    <w:rsid w:val="00E1655A"/>
    <w:rsid w:val="00E177CF"/>
    <w:rsid w:val="00E250EE"/>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95C55"/>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50.emf"/><Relationship Id="rId39" Type="http://schemas.openxmlformats.org/officeDocument/2006/relationships/hyperlink" Target="http://www.mdpi.com/1099-4300/17/4/2367/htm"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47" Type="http://schemas.openxmlformats.org/officeDocument/2006/relationships/hyperlink" Target="http://permalink.lanl.gov/object/tr?what=info:lanl-repo/lareport/LA-UR-02-1891" TargetMode="External"/><Relationship Id="rId50" Type="http://schemas.openxmlformats.org/officeDocument/2006/relationships/hyperlink" Target="https://link.springer.com/article/10.1007/s10916-010-9449-4"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2.png"/><Relationship Id="rId38" Type="http://schemas.openxmlformats.org/officeDocument/2006/relationships/hyperlink" Target="http://www.nr2.ufpr.br/~jefferson/pdf/Network_Anomaly_Detection-Methods,_Systems_and_Tools.pdf" TargetMode="External"/><Relationship Id="rId46" Type="http://schemas.openxmlformats.org/officeDocument/2006/relationships/hyperlink" Target="http://clinchem.aaccjnls.org/content/51/12/2326.ful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tmp"/><Relationship Id="rId41" Type="http://schemas.openxmlformats.org/officeDocument/2006/relationships/hyperlink" Target="http://papers.nips.cc/paper/1822-a-linear-programming-approach-to-novelty-detection.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s://arxiv.org/pdf/1508.03687.pdf" TargetMode="External"/><Relationship Id="rId40" Type="http://schemas.openxmlformats.org/officeDocument/2006/relationships/hyperlink" Target="http://web.mit.edu/6.02/www/s2012/handouts/3.pdf" TargetMode="External"/><Relationship Id="rId45" Type="http://schemas.openxmlformats.org/officeDocument/2006/relationships/hyperlink" Target="http://clinchem.aaccjnls.org/content/47/12/2137.full" TargetMode="External"/><Relationship Id="rId53" Type="http://schemas.openxmlformats.org/officeDocument/2006/relationships/hyperlink" Target="https://he.wikipedia.org/wiki/%D7%90%D7%9C%D7%92%D7%95%D7%A8%D7%99%D7%AA%D7%9D_%D7%9C%D7%9E%D7%A4%D7%9C-%D7%96%D7%99%D7%9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hyperlink" Target="https://pdfs.semanticscholar.org/964e/937e50bbcbd97b7d6c7205aa857919faa343.pdf" TargetMode="External"/><Relationship Id="rId49" Type="http://schemas.openxmlformats.org/officeDocument/2006/relationships/hyperlink" Target="http://blogs.harvard.edu/cybersecurity/files/2017/01/risks-and-threats-healthcare-strategic-report.pdf" TargetMode="External"/><Relationship Id="rId57" Type="http://schemas.openxmlformats.org/officeDocument/2006/relationships/theme" Target="theme/theme1.xm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0.tmp"/><Relationship Id="rId44" Type="http://schemas.openxmlformats.org/officeDocument/2006/relationships/hyperlink" Target="http://www.cse.cuhk.edu.hk/~adafu/Pub/icdm05time.pdf" TargetMode="External"/><Relationship Id="rId52" Type="http://schemas.openxmlformats.org/officeDocument/2006/relationships/hyperlink" Target="http://www.digitalwhisper.co.il/files/Zines/0x3B/DW59-1-ML-Security.pdf" TargetMode="Externa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hyperlink" Target="https://pdfs.semanticscholar.org/7b5a/c1fb5627addf92ad5804a6569a6cfa9385ac.pdf" TargetMode="External"/><Relationship Id="rId43" Type="http://schemas.openxmlformats.org/officeDocument/2006/relationships/hyperlink" Target="https://www.researchgate.net/profile/Charu_Aggarwal/publication/220907311_On_Abnormality_Detection_in_Spuriously_Populated_Data_Streams/links/0deec52415b18c0621000000.pdf" TargetMode="External"/><Relationship Id="rId48" Type="http://schemas.openxmlformats.org/officeDocument/2006/relationships/hyperlink" Target="https://www.ncbi.nlm.nih.gov/pmc/articles/PMC4516335/pdf/mder-8-305.pdf"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journalofbigdata.springeropen.com/articles/10.1186/s40537-014-0011-y"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A8114-7884-4289-98B9-24AA9358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32</Pages>
  <Words>5097</Words>
  <Characters>25489</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14</cp:revision>
  <cp:lastPrinted>2011-01-11T16:47:00Z</cp:lastPrinted>
  <dcterms:created xsi:type="dcterms:W3CDTF">2018-01-31T10:44:00Z</dcterms:created>
  <dcterms:modified xsi:type="dcterms:W3CDTF">2018-01-31T21:55:00Z</dcterms:modified>
</cp:coreProperties>
</file>