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4F0" w:rsidRPr="002904BA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0"/>
          <w:szCs w:val="20"/>
        </w:rPr>
      </w:pPr>
      <w:r w:rsidRPr="002904BA">
        <w:rPr>
          <w:rFonts w:asciiTheme="minorHAnsi" w:hAnsiTheme="minorHAnsi" w:cstheme="minorHAnsi"/>
          <w:sz w:val="20"/>
          <w:szCs w:val="20"/>
        </w:rPr>
        <w:t xml:space="preserve">Kant, I. (1998). </w:t>
      </w:r>
      <w:r w:rsidRPr="002904BA">
        <w:rPr>
          <w:rFonts w:asciiTheme="minorHAnsi" w:hAnsiTheme="minorHAnsi" w:cstheme="minorHAnsi"/>
          <w:i/>
          <w:iCs/>
          <w:sz w:val="20"/>
          <w:szCs w:val="20"/>
        </w:rPr>
        <w:t>Kant: Groundwork of the Metaphysics of Morals</w:t>
      </w:r>
      <w:r w:rsidRPr="002904BA">
        <w:rPr>
          <w:rFonts w:asciiTheme="minorHAnsi" w:hAnsiTheme="minorHAnsi" w:cstheme="minorHAnsi"/>
          <w:sz w:val="20"/>
          <w:szCs w:val="20"/>
        </w:rPr>
        <w:t>. Cambridge University Press.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Constitution of Kenya, 2010.</w:t>
      </w:r>
      <w:bookmarkStart w:id="0" w:name="_GoBack"/>
      <w:bookmarkEnd w:id="0"/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Ibid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Ibid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Judicature Act, Cap 8.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Penal Code, Cap 63.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 w:rsidRPr="001F3362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1F3362">
        <w:rPr>
          <w:rFonts w:asciiTheme="minorHAnsi" w:hAnsiTheme="minorHAnsi" w:cstheme="minorHAnsi"/>
          <w:sz w:val="20"/>
          <w:szCs w:val="20"/>
        </w:rPr>
        <w:t xml:space="preserve"> </w:t>
      </w:r>
      <w:r w:rsidRPr="001F3362">
        <w:rPr>
          <w:rFonts w:asciiTheme="minorHAnsi" w:hAnsiTheme="minorHAnsi" w:cstheme="minorHAnsi"/>
          <w:i/>
          <w:iCs/>
          <w:sz w:val="20"/>
          <w:szCs w:val="20"/>
        </w:rPr>
        <w:t>NCI Search Results</w:t>
      </w:r>
      <w:r w:rsidRPr="001F3362">
        <w:rPr>
          <w:rFonts w:asciiTheme="minorHAnsi" w:hAnsiTheme="minorHAnsi" w:cstheme="minorHAnsi"/>
          <w:sz w:val="20"/>
          <w:szCs w:val="20"/>
        </w:rPr>
        <w:t xml:space="preserve">. (n.d.). Cancer.gov. </w:t>
      </w:r>
      <w:hyperlink r:id="rId7" w:history="1">
        <w:r w:rsidRPr="001F3362">
          <w:rPr>
            <w:rStyle w:val="Hyperlink"/>
            <w:rFonts w:asciiTheme="minorHAnsi" w:hAnsiTheme="minorHAnsi" w:cstheme="minorHAnsi"/>
            <w:i/>
            <w:sz w:val="20"/>
            <w:szCs w:val="20"/>
          </w:rPr>
          <w:t>https://www.cancer.gov/search/results?swKeyword=conception</w:t>
        </w:r>
      </w:hyperlink>
      <w:r>
        <w:rPr>
          <w:rStyle w:val="url"/>
          <w:rFonts w:asciiTheme="minorHAnsi" w:hAnsiTheme="minorHAnsi" w:cstheme="minorHAnsi"/>
          <w:sz w:val="20"/>
          <w:szCs w:val="20"/>
        </w:rPr>
        <w:t xml:space="preserve"> 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Article 26 (4) Constitution of Kenya, 2010. 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Sexual Offences Act, No 3 of 2006.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Abortion Act, 1967.</w:t>
      </w:r>
    </w:p>
    <w:p w:rsidR="009624F0" w:rsidRPr="000B3F90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i/>
          <w:sz w:val="20"/>
          <w:szCs w:val="20"/>
        </w:rPr>
      </w:pPr>
      <w:r w:rsidRPr="008F1F76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8F1F76">
        <w:rPr>
          <w:rFonts w:asciiTheme="minorHAnsi" w:hAnsiTheme="minorHAnsi" w:cstheme="minorHAnsi"/>
          <w:sz w:val="20"/>
          <w:szCs w:val="20"/>
        </w:rPr>
        <w:t xml:space="preserve"> Staff, T. (2014, March 18). </w:t>
      </w:r>
      <w:r w:rsidRPr="008F1F76">
        <w:rPr>
          <w:rFonts w:asciiTheme="minorHAnsi" w:hAnsiTheme="minorHAnsi" w:cstheme="minorHAnsi"/>
          <w:i/>
          <w:iCs/>
          <w:sz w:val="20"/>
          <w:szCs w:val="20"/>
        </w:rPr>
        <w:t>SELF-DEFENSE</w:t>
      </w:r>
      <w:r w:rsidRPr="008F1F76">
        <w:rPr>
          <w:rFonts w:asciiTheme="minorHAnsi" w:hAnsiTheme="minorHAnsi" w:cstheme="minorHAnsi"/>
          <w:sz w:val="20"/>
          <w:szCs w:val="20"/>
        </w:rPr>
        <w:t xml:space="preserve">. The Law Dictionary. </w:t>
      </w:r>
      <w:hyperlink r:id="rId8" w:anchor=":~:text=The%20protection%20of%20one's%20person,especially%20for%20killing%20an%20assailant" w:history="1">
        <w:r w:rsidRPr="005871A8">
          <w:rPr>
            <w:rStyle w:val="Hyperlink"/>
            <w:rFonts w:asciiTheme="minorHAnsi" w:hAnsiTheme="minorHAnsi" w:cstheme="minorHAnsi"/>
            <w:i/>
            <w:sz w:val="20"/>
            <w:szCs w:val="20"/>
          </w:rPr>
          <w:t>https://thelawdictionary.org/self-defense/:~:text=The%20protection%20of%20one's%20person,especially%20for%20killing%20an%20assailant</w:t>
        </w:r>
      </w:hyperlink>
      <w:r w:rsidRPr="008F1F76">
        <w:rPr>
          <w:rStyle w:val="url"/>
          <w:rFonts w:asciiTheme="minorHAnsi" w:hAnsiTheme="minorHAnsi" w:cstheme="minorHAnsi"/>
          <w:i/>
          <w:sz w:val="20"/>
          <w:szCs w:val="20"/>
        </w:rPr>
        <w:t>.</w:t>
      </w:r>
      <w:r w:rsidRPr="008F1F76">
        <w:rPr>
          <w:rStyle w:val="url"/>
          <w:rFonts w:asciiTheme="minorHAnsi" w:hAnsiTheme="minorHAnsi" w:cstheme="minorHAnsi"/>
          <w:sz w:val="20"/>
          <w:szCs w:val="20"/>
        </w:rPr>
        <w:t xml:space="preserve"> </w:t>
      </w:r>
      <w:r>
        <w:rPr>
          <w:rStyle w:val="url"/>
          <w:rFonts w:asciiTheme="minorHAnsi" w:hAnsiTheme="minorHAnsi" w:cstheme="minorHAnsi"/>
          <w:sz w:val="20"/>
          <w:szCs w:val="20"/>
        </w:rPr>
        <w:t>.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 w:rsidRPr="000B3F90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0B3F90">
        <w:rPr>
          <w:rFonts w:asciiTheme="minorHAnsi" w:hAnsiTheme="minorHAnsi" w:cstheme="minorHAnsi"/>
          <w:sz w:val="20"/>
          <w:szCs w:val="20"/>
        </w:rPr>
        <w:t xml:space="preserve"> Publisher, A. R. a. R. O. O. (2015, December 17). </w:t>
      </w:r>
      <w:r w:rsidRPr="000B3F90">
        <w:rPr>
          <w:rFonts w:asciiTheme="minorHAnsi" w:hAnsiTheme="minorHAnsi" w:cstheme="minorHAnsi"/>
          <w:i/>
          <w:iCs/>
          <w:sz w:val="20"/>
          <w:szCs w:val="20"/>
        </w:rPr>
        <w:t>5.2 Self-Defense</w:t>
      </w:r>
      <w:r w:rsidRPr="000B3F90">
        <w:rPr>
          <w:rFonts w:asciiTheme="minorHAnsi" w:hAnsiTheme="minorHAnsi" w:cstheme="minorHAnsi"/>
          <w:sz w:val="20"/>
          <w:szCs w:val="20"/>
        </w:rPr>
        <w:t xml:space="preserve">. Pressbooks. </w:t>
      </w:r>
      <w:hyperlink r:id="rId9" w:history="1">
        <w:r w:rsidRPr="005871A8">
          <w:rPr>
            <w:rStyle w:val="Hyperlink"/>
            <w:rFonts w:asciiTheme="minorHAnsi" w:hAnsiTheme="minorHAnsi" w:cstheme="minorHAnsi"/>
            <w:i/>
            <w:sz w:val="20"/>
            <w:szCs w:val="20"/>
          </w:rPr>
          <w:t>https://open.lib.umn.edu/criminallaw/chapter/5-2-self-defense/</w:t>
        </w:r>
      </w:hyperlink>
      <w:r>
        <w:rPr>
          <w:rStyle w:val="url"/>
          <w:rFonts w:asciiTheme="minorHAnsi" w:hAnsiTheme="minorHAnsi" w:cstheme="minorHAnsi"/>
          <w:i/>
          <w:sz w:val="20"/>
          <w:szCs w:val="20"/>
        </w:rPr>
        <w:t xml:space="preserve"> 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Penal Code, Cap 63.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</w:t>
      </w:r>
      <w:r w:rsidRPr="006279ED">
        <w:rPr>
          <w:rStyle w:val="Strong"/>
          <w:b w:val="0"/>
          <w:color w:val="000000" w:themeColor="text1"/>
        </w:rPr>
        <w:t>Sharm Pal Singh v R [1962] EA 13</w:t>
      </w:r>
      <w:r w:rsidRPr="006279ED">
        <w:rPr>
          <w:b/>
          <w:color w:val="000000" w:themeColor="text1"/>
        </w:rPr>
        <w:t> </w:t>
      </w:r>
      <w:r w:rsidRPr="006279ED">
        <w:rPr>
          <w:color w:val="000000" w:themeColor="text1"/>
        </w:rPr>
        <w:t>and</w:t>
      </w:r>
      <w:r w:rsidRPr="006279ED">
        <w:rPr>
          <w:b/>
          <w:color w:val="000000" w:themeColor="text1"/>
        </w:rPr>
        <w:t> </w:t>
      </w:r>
      <w:r w:rsidRPr="006279ED">
        <w:rPr>
          <w:rStyle w:val="Strong"/>
          <w:b w:val="0"/>
          <w:color w:val="000000" w:themeColor="text1"/>
        </w:rPr>
        <w:t>Guzambizi Wesonga v Republic [1948] 15 EACA</w:t>
      </w:r>
      <w:r>
        <w:rPr>
          <w:rStyle w:val="Strong"/>
          <w:b w:val="0"/>
          <w:color w:val="000000" w:themeColor="text1"/>
        </w:rPr>
        <w:t>.</w:t>
      </w:r>
      <w:r w:rsidRPr="006279ED">
        <w:rPr>
          <w:color w:val="000000" w:themeColor="text1"/>
          <w:sz w:val="18"/>
          <w:szCs w:val="18"/>
        </w:rPr>
        <w:t> 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National Police Service Act, No 11A of 2011.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F71012">
        <w:rPr>
          <w:rFonts w:asciiTheme="minorHAnsi" w:hAnsiTheme="minorHAnsi" w:cstheme="minorHAnsi"/>
          <w:sz w:val="20"/>
          <w:szCs w:val="20"/>
        </w:rPr>
        <w:t xml:space="preserve">Amnesty Kenya. (2024, May 30). </w:t>
      </w:r>
      <w:r w:rsidRPr="00F71012">
        <w:rPr>
          <w:rFonts w:asciiTheme="minorHAnsi" w:hAnsiTheme="minorHAnsi" w:cstheme="minorHAnsi"/>
          <w:i/>
          <w:iCs/>
          <w:sz w:val="20"/>
          <w:szCs w:val="20"/>
        </w:rPr>
        <w:t>Death sentences and executions in 2023</w:t>
      </w:r>
      <w:r w:rsidRPr="00F71012">
        <w:rPr>
          <w:rFonts w:asciiTheme="minorHAnsi" w:hAnsiTheme="minorHAnsi" w:cstheme="minorHAnsi"/>
          <w:sz w:val="20"/>
          <w:szCs w:val="20"/>
        </w:rPr>
        <w:t xml:space="preserve">. </w:t>
      </w:r>
      <w:hyperlink r:id="rId10" w:anchor=":~:text=The%20last%20known%20execution%20in,in%20Africa)%20and%205%20exonerations" w:history="1">
        <w:r w:rsidRPr="005871A8">
          <w:rPr>
            <w:rStyle w:val="Hyperlink"/>
            <w:rFonts w:asciiTheme="minorHAnsi" w:hAnsiTheme="minorHAnsi" w:cstheme="minorHAnsi"/>
            <w:i/>
            <w:sz w:val="20"/>
            <w:szCs w:val="20"/>
          </w:rPr>
          <w:t>https://www.amnestykenya.org/death-sentences-and-executions-in-2023/:~:text=The%20last%20known%20execution%20in,in%20Africa)%20and%205%20exonerations</w:t>
        </w:r>
      </w:hyperlink>
      <w:r w:rsidRPr="00F71012">
        <w:rPr>
          <w:rStyle w:val="url"/>
          <w:rFonts w:asciiTheme="minorHAnsi" w:hAnsiTheme="minorHAnsi" w:cstheme="minorHAnsi"/>
          <w:i/>
          <w:sz w:val="20"/>
          <w:szCs w:val="20"/>
        </w:rPr>
        <w:t>.</w:t>
      </w:r>
      <w:r>
        <w:rPr>
          <w:rStyle w:val="url"/>
          <w:rFonts w:asciiTheme="minorHAnsi" w:hAnsiTheme="minorHAnsi" w:cstheme="minorHAnsi"/>
          <w:i/>
          <w:sz w:val="20"/>
          <w:szCs w:val="20"/>
        </w:rPr>
        <w:t xml:space="preserve"> </w:t>
      </w:r>
      <w:r>
        <w:rPr>
          <w:rStyle w:val="url"/>
          <w:rFonts w:asciiTheme="minorHAnsi" w:hAnsiTheme="minorHAnsi" w:cstheme="minorHAnsi"/>
          <w:sz w:val="20"/>
          <w:szCs w:val="20"/>
        </w:rPr>
        <w:t xml:space="preserve"> 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 </w:t>
      </w:r>
      <w:r w:rsidRPr="003270B6">
        <w:t>Muruatetu &amp; another v Republic; Katiba Institute &amp; 5 others (Amicus Curiae) (Petition 15 &amp; 16 of 2015 (Consolidated)) [2017] KESC 2 (KLR) (14 December 2017) (Judgment)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Kenya Defence Forces Act, No 25 of 2012. </w:t>
      </w:r>
    </w:p>
    <w:p w:rsidR="009624F0" w:rsidRDefault="009624F0" w:rsidP="009624F0">
      <w:pPr>
        <w:pStyle w:val="NormalWeb"/>
        <w:spacing w:before="0" w:beforeAutospacing="0" w:after="0" w:afterAutospacing="0" w:line="480" w:lineRule="auto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DF36F2">
        <w:rPr>
          <w:rFonts w:asciiTheme="minorHAnsi" w:hAnsiTheme="minorHAnsi" w:cstheme="minorHAnsi"/>
          <w:iCs/>
          <w:sz w:val="20"/>
          <w:szCs w:val="20"/>
        </w:rPr>
        <w:t>The 1949 Geneva Conventions</w:t>
      </w:r>
      <w:r w:rsidRPr="00DF36F2">
        <w:t>.</w:t>
      </w:r>
    </w:p>
    <w:p w:rsidR="009624F0" w:rsidRDefault="009624F0" w:rsidP="009624F0">
      <w:pPr>
        <w:pStyle w:val="EndnoteText"/>
      </w:pPr>
    </w:p>
    <w:p w:rsidR="009624F0" w:rsidRPr="0032693B" w:rsidRDefault="009624F0" w:rsidP="009624F0">
      <w:pPr>
        <w:pStyle w:val="EndnoteText"/>
        <w:rPr>
          <w:rFonts w:cstheme="minorHAnsi"/>
        </w:rPr>
      </w:pPr>
      <w:r w:rsidRPr="00AF17A0">
        <w:rPr>
          <w:rStyle w:val="EndnoteReference"/>
          <w:rFonts w:cstheme="minorHAnsi"/>
        </w:rPr>
        <w:footnoteRef/>
      </w:r>
      <w:r w:rsidRPr="00AF17A0">
        <w:rPr>
          <w:rFonts w:cstheme="minorHAnsi"/>
        </w:rPr>
        <w:t xml:space="preserve"> Hartley, John (1997) “[Book Review of] Euthanasia Explained, John Keown, ed.,” The Linacre Quarterly: Vol 64: No 4</w:t>
      </w:r>
      <w:r w:rsidRPr="0032693B">
        <w:rPr>
          <w:rFonts w:cstheme="minorHAnsi"/>
        </w:rPr>
        <w:t>, Article 6.</w:t>
      </w:r>
    </w:p>
    <w:p w:rsidR="009624F0" w:rsidRPr="0032693B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0"/>
          <w:szCs w:val="20"/>
        </w:rPr>
      </w:pPr>
      <w:r w:rsidRPr="0032693B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32693B">
        <w:rPr>
          <w:rFonts w:asciiTheme="minorHAnsi" w:hAnsiTheme="minorHAnsi" w:cstheme="minorHAnsi"/>
          <w:sz w:val="20"/>
          <w:szCs w:val="20"/>
        </w:rPr>
        <w:t xml:space="preserve"> </w:t>
      </w:r>
      <w:r w:rsidRPr="0032693B">
        <w:rPr>
          <w:rFonts w:asciiTheme="minorHAnsi" w:hAnsiTheme="minorHAnsi" w:cstheme="minorHAnsi"/>
          <w:i/>
          <w:iCs/>
          <w:sz w:val="20"/>
          <w:szCs w:val="20"/>
        </w:rPr>
        <w:t>Black’s Law Dictionary 4th Edition</w:t>
      </w:r>
      <w:r w:rsidRPr="0032693B">
        <w:rPr>
          <w:rFonts w:asciiTheme="minorHAnsi" w:hAnsiTheme="minorHAnsi" w:cstheme="minorHAnsi"/>
          <w:sz w:val="20"/>
          <w:szCs w:val="20"/>
        </w:rPr>
        <w:t xml:space="preserve"> (4th ed.).</w:t>
      </w:r>
    </w:p>
    <w:p w:rsidR="009624F0" w:rsidRPr="00872537" w:rsidRDefault="009624F0" w:rsidP="009624F0">
      <w:pPr>
        <w:pStyle w:val="EndnoteText"/>
        <w:rPr>
          <w:rFonts w:cstheme="minorHAnsi"/>
        </w:rPr>
      </w:pPr>
      <w:r w:rsidRPr="0032693B">
        <w:rPr>
          <w:rStyle w:val="EndnoteReference"/>
          <w:rFonts w:cstheme="minorHAnsi"/>
        </w:rPr>
        <w:footnoteRef/>
      </w:r>
      <w:r w:rsidRPr="0032693B">
        <w:rPr>
          <w:rFonts w:cstheme="minorHAnsi"/>
        </w:rPr>
        <w:t xml:space="preserve"> </w:t>
      </w:r>
      <w:r w:rsidRPr="0032693B">
        <w:rPr>
          <w:rFonts w:cstheme="minorHAnsi"/>
          <w:i/>
          <w:iCs/>
        </w:rPr>
        <w:t>Euthanasia - MU School of Medicine</w:t>
      </w:r>
      <w:r w:rsidRPr="0032693B">
        <w:rPr>
          <w:rFonts w:cstheme="minorHAnsi"/>
        </w:rPr>
        <w:t xml:space="preserve">. (n.d.). </w:t>
      </w:r>
      <w:hyperlink r:id="rId11" w:anchor=":~:text=Self%2Dadministered%20euthanasia%3A%20the%20patient,person%2C%20such%20as%20a%20physician" w:history="1">
        <w:r w:rsidRPr="005871A8">
          <w:rPr>
            <w:rStyle w:val="Hyperlink"/>
            <w:rFonts w:cstheme="minorHAnsi"/>
            <w:i/>
          </w:rPr>
          <w:t>https://medicine.missouri.edu/centers-institutes-labs/health-ethics/faq/euthanasia:~:text=Self%2Dadministered%20euthanasia%3A%20the%20patient,person%2C%20such%20as%20a%20physician</w:t>
        </w:r>
      </w:hyperlink>
      <w:r w:rsidRPr="00872537">
        <w:rPr>
          <w:rStyle w:val="url"/>
          <w:rFonts w:cstheme="minorHAnsi"/>
          <w:i/>
        </w:rPr>
        <w:t>.</w:t>
      </w:r>
      <w:r>
        <w:rPr>
          <w:rStyle w:val="url"/>
          <w:rFonts w:cstheme="minorHAnsi"/>
          <w:i/>
        </w:rPr>
        <w:t xml:space="preserve"> 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 w:rsidRPr="00811DE5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811DE5">
        <w:rPr>
          <w:rFonts w:asciiTheme="minorHAnsi" w:hAnsiTheme="minorHAnsi" w:cstheme="minorHAnsi"/>
          <w:sz w:val="20"/>
          <w:szCs w:val="20"/>
        </w:rPr>
        <w:t xml:space="preserve"> </w:t>
      </w:r>
      <w:r w:rsidRPr="00811DE5">
        <w:rPr>
          <w:rFonts w:asciiTheme="minorHAnsi" w:hAnsiTheme="minorHAnsi" w:cstheme="minorHAnsi"/>
          <w:i/>
          <w:iCs/>
          <w:sz w:val="20"/>
          <w:szCs w:val="20"/>
        </w:rPr>
        <w:t>Euthanasia | Definition, History, &amp; Facts</w:t>
      </w:r>
      <w:r w:rsidRPr="00811DE5">
        <w:rPr>
          <w:rFonts w:asciiTheme="minorHAnsi" w:hAnsiTheme="minorHAnsi" w:cstheme="minorHAnsi"/>
          <w:sz w:val="20"/>
          <w:szCs w:val="20"/>
        </w:rPr>
        <w:t xml:space="preserve">. (2024, August 9). Encyclopedia Britannica. </w:t>
      </w:r>
      <w:hyperlink r:id="rId12" w:history="1">
        <w:r w:rsidRPr="005871A8">
          <w:rPr>
            <w:rStyle w:val="Hyperlink"/>
            <w:rFonts w:asciiTheme="minorHAnsi" w:hAnsiTheme="minorHAnsi" w:cstheme="minorHAnsi"/>
            <w:sz w:val="20"/>
            <w:szCs w:val="20"/>
          </w:rPr>
          <w:t>https://www.britannica.com/topic/euthanasia</w:t>
        </w:r>
      </w:hyperlink>
      <w:r>
        <w:rPr>
          <w:rStyle w:val="url"/>
          <w:rFonts w:asciiTheme="minorHAnsi" w:hAnsiTheme="minorHAnsi" w:cstheme="minorHAnsi"/>
          <w:sz w:val="20"/>
          <w:szCs w:val="20"/>
        </w:rPr>
        <w:t xml:space="preserve"> .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Constitution of Kenya 2010.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</w:t>
      </w:r>
      <w:r w:rsidRPr="003270B6">
        <w:t>Muruatetu &amp; another v Republic; Katiba Institute &amp; 5 others (Amicus Curiae) (Petition 15 &amp; 16 of 2015 (Consolidated)) [2017] KESC 2 (KLR) (14 December 2017) (Judgment)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</w:t>
      </w:r>
      <w:r w:rsidRPr="004C6852">
        <w:t>Muruatetu &amp; another v Republic; Katiba Institute &amp; 5 others (Amicus Curiae) (Petition 15 &amp; 16 of 2015 (Consolidated)) [2017] KESC 2 (KLR) (14 December 2017) (Judgment)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Roe v Wade, 410 U.S. 113 (Library of Congress)  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FC29AB">
        <w:rPr>
          <w:rFonts w:asciiTheme="minorHAnsi" w:hAnsiTheme="minorHAnsi" w:cstheme="minorHAnsi"/>
          <w:sz w:val="20"/>
          <w:szCs w:val="20"/>
        </w:rPr>
        <w:t xml:space="preserve">Holm, S. (2002). Principles of Biomedical Ethics, 5th edn.: Beauchamp T L, Childress J F. Oxford University Press, 2001, pound19.95, pp 454. ISBN 0-19-514332-9. </w:t>
      </w:r>
      <w:r w:rsidRPr="00FC29AB">
        <w:rPr>
          <w:rFonts w:asciiTheme="minorHAnsi" w:hAnsiTheme="minorHAnsi" w:cstheme="minorHAnsi"/>
          <w:i/>
          <w:iCs/>
          <w:sz w:val="20"/>
          <w:szCs w:val="20"/>
        </w:rPr>
        <w:t>Journal of Medical Ethics</w:t>
      </w:r>
      <w:r w:rsidRPr="00FC29AB">
        <w:rPr>
          <w:rFonts w:asciiTheme="minorHAnsi" w:hAnsiTheme="minorHAnsi" w:cstheme="minorHAnsi"/>
          <w:sz w:val="20"/>
          <w:szCs w:val="20"/>
        </w:rPr>
        <w:t xml:space="preserve">, </w:t>
      </w:r>
      <w:r w:rsidRPr="00FC29AB">
        <w:rPr>
          <w:rFonts w:asciiTheme="minorHAnsi" w:hAnsiTheme="minorHAnsi" w:cstheme="minorHAnsi"/>
          <w:i/>
          <w:iCs/>
          <w:sz w:val="20"/>
          <w:szCs w:val="20"/>
        </w:rPr>
        <w:t>28</w:t>
      </w:r>
      <w:r w:rsidRPr="00FC29AB">
        <w:rPr>
          <w:rFonts w:asciiTheme="minorHAnsi" w:hAnsiTheme="minorHAnsi" w:cstheme="minorHAnsi"/>
          <w:sz w:val="20"/>
          <w:szCs w:val="20"/>
        </w:rPr>
        <w:t>(5), 332.</w:t>
      </w:r>
    </w:p>
    <w:p w:rsidR="009624F0" w:rsidRPr="00EC0678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0"/>
          <w:szCs w:val="20"/>
        </w:rPr>
      </w:pPr>
      <w:r w:rsidRPr="00EC0678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EC0678">
        <w:rPr>
          <w:rFonts w:asciiTheme="minorHAnsi" w:hAnsiTheme="minorHAnsi" w:cstheme="minorHAnsi"/>
          <w:sz w:val="20"/>
          <w:szCs w:val="20"/>
        </w:rPr>
        <w:t xml:space="preserve"> </w:t>
      </w:r>
      <w:r w:rsidRPr="00EC0678">
        <w:rPr>
          <w:rFonts w:asciiTheme="minorHAnsi" w:hAnsiTheme="minorHAnsi" w:cstheme="minorHAnsi"/>
          <w:i/>
          <w:iCs/>
          <w:sz w:val="20"/>
          <w:szCs w:val="20"/>
        </w:rPr>
        <w:t>The Definition of Morality (Stanford Encyclopedia of Philosophy)</w:t>
      </w:r>
      <w:r w:rsidRPr="00EC0678">
        <w:rPr>
          <w:rFonts w:asciiTheme="minorHAnsi" w:hAnsiTheme="minorHAnsi" w:cstheme="minorHAnsi"/>
          <w:sz w:val="20"/>
          <w:szCs w:val="20"/>
        </w:rPr>
        <w:t xml:space="preserve">. (2020, September 8). </w:t>
      </w:r>
      <w:r w:rsidRPr="00F23C5B">
        <w:rPr>
          <w:rFonts w:asciiTheme="minorHAnsi" w:hAnsiTheme="minorHAnsi" w:cstheme="minorHAnsi"/>
          <w:i/>
          <w:sz w:val="20"/>
          <w:szCs w:val="20"/>
        </w:rPr>
        <w:t>https://plato.stanford.edu/entries/morality-definition/</w:t>
      </w:r>
    </w:p>
    <w:p w:rsidR="009624F0" w:rsidRPr="002470E2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0"/>
          <w:szCs w:val="20"/>
        </w:rPr>
      </w:pPr>
      <w:r w:rsidRPr="00802F28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802F28">
        <w:rPr>
          <w:rFonts w:asciiTheme="minorHAnsi" w:hAnsiTheme="minorHAnsi" w:cstheme="minorHAnsi"/>
          <w:sz w:val="20"/>
          <w:szCs w:val="20"/>
        </w:rPr>
        <w:t xml:space="preserve"> Redfearn, S. (2024, January 12). </w:t>
      </w:r>
      <w:r w:rsidRPr="00802F28">
        <w:rPr>
          <w:rFonts w:asciiTheme="minorHAnsi" w:hAnsiTheme="minorHAnsi" w:cstheme="minorHAnsi"/>
          <w:i/>
          <w:iCs/>
          <w:sz w:val="20"/>
          <w:szCs w:val="20"/>
        </w:rPr>
        <w:t>What does the Bible say about euthanasia and assisted suicide? - Christian Concern</w:t>
      </w:r>
      <w:r w:rsidRPr="00802F28">
        <w:rPr>
          <w:rFonts w:asciiTheme="minorHAnsi" w:hAnsiTheme="minorHAnsi" w:cstheme="minorHAnsi"/>
          <w:sz w:val="20"/>
          <w:szCs w:val="20"/>
        </w:rPr>
        <w:t xml:space="preserve">. Christian Concern. </w:t>
      </w:r>
      <w:r w:rsidRPr="00F23C5B">
        <w:rPr>
          <w:rFonts w:asciiTheme="minorHAnsi" w:hAnsiTheme="minorHAnsi" w:cstheme="minorHAnsi"/>
          <w:i/>
          <w:sz w:val="20"/>
          <w:szCs w:val="20"/>
        </w:rPr>
        <w:t>https://christianconcern.com/resource/what-does-the-bible-say-about-euthanasia-and-assisted-suicide/</w:t>
      </w:r>
    </w:p>
    <w:p w:rsidR="009624F0" w:rsidRPr="00F23C5B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i/>
          <w:sz w:val="20"/>
          <w:szCs w:val="20"/>
        </w:rPr>
      </w:pPr>
      <w:r w:rsidRPr="002470E2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2470E2">
        <w:rPr>
          <w:rFonts w:asciiTheme="minorHAnsi" w:hAnsiTheme="minorHAnsi" w:cstheme="minorHAnsi"/>
          <w:sz w:val="20"/>
          <w:szCs w:val="20"/>
        </w:rPr>
        <w:t xml:space="preserve"> </w:t>
      </w:r>
      <w:r w:rsidRPr="002470E2">
        <w:rPr>
          <w:rFonts w:asciiTheme="minorHAnsi" w:hAnsiTheme="minorHAnsi" w:cstheme="minorHAnsi"/>
          <w:i/>
          <w:iCs/>
          <w:sz w:val="20"/>
          <w:szCs w:val="20"/>
        </w:rPr>
        <w:t>1 Samuel 31 | NLT Bible | YouVersion</w:t>
      </w:r>
      <w:r w:rsidRPr="002470E2">
        <w:rPr>
          <w:rFonts w:asciiTheme="minorHAnsi" w:hAnsiTheme="minorHAnsi" w:cstheme="minorHAnsi"/>
          <w:sz w:val="20"/>
          <w:szCs w:val="20"/>
        </w:rPr>
        <w:t xml:space="preserve">. (n.d.). YouVersion | the Bible App | Bible.com. </w:t>
      </w:r>
      <w:r w:rsidRPr="00F23C5B">
        <w:rPr>
          <w:rFonts w:asciiTheme="minorHAnsi" w:hAnsiTheme="minorHAnsi" w:cstheme="minorHAnsi"/>
          <w:i/>
          <w:sz w:val="20"/>
          <w:szCs w:val="20"/>
        </w:rPr>
        <w:t>https://www.bible.com/bible/116/1SA.31.NLT</w:t>
      </w:r>
    </w:p>
    <w:p w:rsidR="009624F0" w:rsidRPr="00F23C5B" w:rsidRDefault="009624F0" w:rsidP="009624F0">
      <w:pPr>
        <w:pStyle w:val="NormalWeb"/>
        <w:spacing w:before="0" w:beforeAutospacing="0" w:after="0" w:afterAutospacing="0"/>
        <w:ind w:left="720" w:hanging="720"/>
        <w:rPr>
          <w:i/>
        </w:rPr>
      </w:pPr>
      <w:r w:rsidRPr="002470E2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2470E2">
        <w:rPr>
          <w:rFonts w:asciiTheme="minorHAnsi" w:hAnsiTheme="minorHAnsi" w:cstheme="minorHAnsi"/>
          <w:sz w:val="20"/>
          <w:szCs w:val="20"/>
        </w:rPr>
        <w:t xml:space="preserve"> </w:t>
      </w:r>
      <w:r w:rsidRPr="002470E2">
        <w:rPr>
          <w:rFonts w:asciiTheme="minorHAnsi" w:hAnsiTheme="minorHAnsi" w:cstheme="minorHAnsi"/>
          <w:i/>
          <w:iCs/>
          <w:sz w:val="20"/>
          <w:szCs w:val="20"/>
        </w:rPr>
        <w:t>Judges 9 | NLT Bible | YouVersion</w:t>
      </w:r>
      <w:r w:rsidRPr="002470E2">
        <w:rPr>
          <w:rFonts w:asciiTheme="minorHAnsi" w:hAnsiTheme="minorHAnsi" w:cstheme="minorHAnsi"/>
          <w:sz w:val="20"/>
          <w:szCs w:val="20"/>
        </w:rPr>
        <w:t xml:space="preserve">. (n.d.). YouVersion | the Bible App | Bible.com. </w:t>
      </w:r>
      <w:r w:rsidRPr="00F23C5B">
        <w:rPr>
          <w:rFonts w:asciiTheme="minorHAnsi" w:hAnsiTheme="minorHAnsi" w:cstheme="minorHAnsi"/>
          <w:i/>
          <w:sz w:val="20"/>
          <w:szCs w:val="20"/>
        </w:rPr>
        <w:t>https://www.bible.com/bible/116/JDG.9.NLT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 w:rsidRPr="00F23C5B">
        <w:rPr>
          <w:rStyle w:val="EndnoteReference"/>
          <w:rFonts w:asciiTheme="minorHAnsi" w:hAnsiTheme="minorHAnsi" w:cstheme="minorHAnsi"/>
          <w:sz w:val="20"/>
          <w:szCs w:val="20"/>
        </w:rPr>
        <w:lastRenderedPageBreak/>
        <w:footnoteRef/>
      </w:r>
      <w:r w:rsidRPr="00F23C5B">
        <w:rPr>
          <w:rFonts w:asciiTheme="minorHAnsi" w:hAnsiTheme="minorHAnsi" w:cstheme="minorHAnsi"/>
          <w:sz w:val="20"/>
          <w:szCs w:val="20"/>
        </w:rPr>
        <w:t xml:space="preserve"> </w:t>
      </w:r>
      <w:r w:rsidRPr="00F23C5B">
        <w:rPr>
          <w:rFonts w:asciiTheme="minorHAnsi" w:hAnsiTheme="minorHAnsi" w:cstheme="minorHAnsi"/>
          <w:i/>
          <w:iCs/>
          <w:sz w:val="20"/>
          <w:szCs w:val="20"/>
        </w:rPr>
        <w:t>Religious Perspectives On Euthanasia</w:t>
      </w:r>
      <w:r w:rsidRPr="00F23C5B">
        <w:rPr>
          <w:rFonts w:asciiTheme="minorHAnsi" w:hAnsiTheme="minorHAnsi" w:cstheme="minorHAnsi"/>
          <w:sz w:val="20"/>
          <w:szCs w:val="20"/>
        </w:rPr>
        <w:t xml:space="preserve">. (n.d.). Saint Joseph’s University. </w:t>
      </w:r>
      <w:r w:rsidRPr="00F23C5B">
        <w:rPr>
          <w:rFonts w:asciiTheme="minorHAnsi" w:hAnsiTheme="minorHAnsi" w:cstheme="minorHAnsi"/>
          <w:i/>
          <w:sz w:val="20"/>
          <w:szCs w:val="20"/>
        </w:rPr>
        <w:t>https://www.sju.edu/centers/icb/blog/religious-perspectives-on-euthanasia:~:text=General%20Christian%20View,in%20the%20image%20of%20God.&amp;text=Human%20beings%20are%20valuable%20because%20they%20are%20made%20in%20God's%20image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6D1A29">
        <w:rPr>
          <w:rFonts w:asciiTheme="minorHAnsi" w:hAnsiTheme="minorHAnsi" w:cstheme="minorHAnsi"/>
          <w:sz w:val="20"/>
          <w:szCs w:val="20"/>
        </w:rPr>
        <w:t xml:space="preserve">Ayuba, M. A. (2016). EUTHANASIA: A MUSLIM’S PERSPECTIVE. </w:t>
      </w:r>
      <w:r w:rsidRPr="006D1A29">
        <w:rPr>
          <w:rFonts w:asciiTheme="minorHAnsi" w:hAnsiTheme="minorHAnsi" w:cstheme="minorHAnsi"/>
          <w:i/>
          <w:iCs/>
          <w:sz w:val="20"/>
          <w:szCs w:val="20"/>
        </w:rPr>
        <w:t>Scriptura</w:t>
      </w:r>
      <w:r w:rsidRPr="006D1A29">
        <w:rPr>
          <w:rFonts w:asciiTheme="minorHAnsi" w:hAnsiTheme="minorHAnsi" w:cstheme="minorHAnsi"/>
          <w:sz w:val="20"/>
          <w:szCs w:val="20"/>
        </w:rPr>
        <w:t xml:space="preserve">, </w:t>
      </w:r>
      <w:r w:rsidRPr="006D1A29">
        <w:rPr>
          <w:rFonts w:asciiTheme="minorHAnsi" w:hAnsiTheme="minorHAnsi" w:cstheme="minorHAnsi"/>
          <w:i/>
          <w:iCs/>
          <w:sz w:val="20"/>
          <w:szCs w:val="20"/>
        </w:rPr>
        <w:t>115</w:t>
      </w:r>
      <w:r w:rsidRPr="006D1A29">
        <w:rPr>
          <w:rFonts w:asciiTheme="minorHAnsi" w:hAnsiTheme="minorHAnsi" w:cstheme="minorHAnsi"/>
          <w:sz w:val="20"/>
          <w:szCs w:val="20"/>
        </w:rPr>
        <w:t xml:space="preserve">(0). </w:t>
      </w:r>
      <w:r w:rsidRPr="006D1A29">
        <w:rPr>
          <w:rStyle w:val="url"/>
          <w:rFonts w:asciiTheme="minorHAnsi" w:hAnsiTheme="minorHAnsi" w:cstheme="minorHAnsi"/>
          <w:sz w:val="20"/>
          <w:szCs w:val="20"/>
        </w:rPr>
        <w:t>https://doi.org/10.7833/115-0-1175</w:t>
      </w:r>
    </w:p>
    <w:p w:rsidR="009624F0" w:rsidRPr="00801397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0"/>
          <w:szCs w:val="20"/>
        </w:rPr>
      </w:pPr>
      <w:r>
        <w:rPr>
          <w:rStyle w:val="EndnoteReference"/>
        </w:rPr>
        <w:footnoteRef/>
      </w:r>
      <w:r>
        <w:t xml:space="preserve"> </w:t>
      </w:r>
      <w:r w:rsidRPr="00801397">
        <w:rPr>
          <w:rFonts w:asciiTheme="minorHAnsi" w:hAnsiTheme="minorHAnsi" w:cstheme="minorHAnsi"/>
          <w:i/>
          <w:iCs/>
          <w:sz w:val="20"/>
          <w:szCs w:val="20"/>
        </w:rPr>
        <w:t>Tafsir Surah Al-Ma’idah - 2 - Quran.com</w:t>
      </w:r>
      <w:r w:rsidRPr="00801397">
        <w:rPr>
          <w:rFonts w:asciiTheme="minorHAnsi" w:hAnsiTheme="minorHAnsi" w:cstheme="minorHAnsi"/>
          <w:sz w:val="20"/>
          <w:szCs w:val="20"/>
        </w:rPr>
        <w:t xml:space="preserve">. (n.d.). Quran.com. </w:t>
      </w:r>
      <w:r w:rsidRPr="00801397">
        <w:rPr>
          <w:rStyle w:val="url"/>
          <w:rFonts w:asciiTheme="minorHAnsi" w:hAnsiTheme="minorHAnsi" w:cstheme="minorHAnsi"/>
          <w:sz w:val="20"/>
          <w:szCs w:val="20"/>
        </w:rPr>
        <w:t>https://quran.com/en/5:2/tafsirs/en-tafsir-maarif-ul-quran</w:t>
      </w:r>
    </w:p>
    <w:p w:rsidR="009624F0" w:rsidRPr="00801397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0"/>
          <w:szCs w:val="20"/>
        </w:rPr>
      </w:pPr>
      <w:r w:rsidRPr="00801397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801397">
        <w:rPr>
          <w:rFonts w:asciiTheme="minorHAnsi" w:hAnsiTheme="minorHAnsi" w:cstheme="minorHAnsi"/>
          <w:sz w:val="20"/>
          <w:szCs w:val="20"/>
        </w:rPr>
        <w:t xml:space="preserve"> </w:t>
      </w:r>
      <w:r w:rsidRPr="00801397">
        <w:rPr>
          <w:rFonts w:asciiTheme="minorHAnsi" w:hAnsiTheme="minorHAnsi" w:cstheme="minorHAnsi"/>
          <w:i/>
          <w:iCs/>
          <w:sz w:val="20"/>
          <w:szCs w:val="20"/>
        </w:rPr>
        <w:t>Surah An-Nahl - 61 - Quran.com</w:t>
      </w:r>
      <w:r w:rsidRPr="00801397">
        <w:rPr>
          <w:rFonts w:asciiTheme="minorHAnsi" w:hAnsiTheme="minorHAnsi" w:cstheme="minorHAnsi"/>
          <w:sz w:val="20"/>
          <w:szCs w:val="20"/>
        </w:rPr>
        <w:t xml:space="preserve">. (n.d.). Quran.com. </w:t>
      </w:r>
      <w:r w:rsidRPr="00801397">
        <w:rPr>
          <w:rStyle w:val="url"/>
          <w:rFonts w:asciiTheme="minorHAnsi" w:hAnsiTheme="minorHAnsi" w:cstheme="minorHAnsi"/>
          <w:sz w:val="20"/>
          <w:szCs w:val="20"/>
        </w:rPr>
        <w:t>https://quran.com/en/an-nahl/61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 w:rsidRPr="00801397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801397">
        <w:rPr>
          <w:rFonts w:asciiTheme="minorHAnsi" w:hAnsiTheme="minorHAnsi" w:cstheme="minorHAnsi"/>
          <w:sz w:val="20"/>
          <w:szCs w:val="20"/>
        </w:rPr>
        <w:t xml:space="preserve"> Regional Committee for the EM/RC52/7. (2005). </w:t>
      </w:r>
      <w:r w:rsidRPr="00801397">
        <w:rPr>
          <w:rFonts w:asciiTheme="minorHAnsi" w:hAnsiTheme="minorHAnsi" w:cstheme="minorHAnsi"/>
          <w:i/>
          <w:iCs/>
          <w:sz w:val="20"/>
          <w:szCs w:val="20"/>
        </w:rPr>
        <w:t>Islamic code of medical and health ethics</w:t>
      </w:r>
      <w:r w:rsidRPr="00801397">
        <w:rPr>
          <w:rFonts w:asciiTheme="minorHAnsi" w:hAnsiTheme="minorHAnsi" w:cstheme="minorHAnsi"/>
          <w:sz w:val="20"/>
          <w:szCs w:val="20"/>
        </w:rPr>
        <w:t xml:space="preserve">. </w:t>
      </w:r>
      <w:r w:rsidRPr="00801397">
        <w:rPr>
          <w:rStyle w:val="url"/>
          <w:rFonts w:asciiTheme="minorHAnsi" w:hAnsiTheme="minorHAnsi" w:cstheme="minorHAnsi"/>
          <w:sz w:val="20"/>
          <w:szCs w:val="20"/>
        </w:rPr>
        <w:t>https://applications.emro.who.int/docs/em_rc52_7_en.pdf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Nietzche, F. W. (1911) Ecce Homo. Portland, Me.: Smith &amp; Sale, printers.</w:t>
      </w:r>
    </w:p>
    <w:p w:rsidR="009624F0" w:rsidRPr="00C0666E" w:rsidRDefault="009624F0" w:rsidP="009624F0">
      <w:pPr>
        <w:pStyle w:val="EndnoteText"/>
        <w:rPr>
          <w:rFonts w:ascii="Times New Roman" w:hAnsi="Times New Roman" w:cs="Times New Roman"/>
        </w:rPr>
      </w:pPr>
      <w:r>
        <w:rPr>
          <w:rStyle w:val="EndnoteReference"/>
        </w:rPr>
        <w:footnoteRef/>
      </w:r>
      <w:r>
        <w:t xml:space="preserve"> </w:t>
      </w:r>
      <w:r w:rsidRPr="00C0666E">
        <w:rPr>
          <w:rFonts w:ascii="Times New Roman" w:hAnsi="Times New Roman" w:cs="Times New Roman"/>
        </w:rPr>
        <w:t>Constitution of Kenya, 2010.</w:t>
      </w:r>
    </w:p>
    <w:p w:rsidR="009624F0" w:rsidRPr="00C0666E" w:rsidRDefault="009624F0" w:rsidP="009624F0">
      <w:pPr>
        <w:pStyle w:val="NormalWeb"/>
        <w:spacing w:before="0" w:beforeAutospacing="0" w:after="0" w:afterAutospacing="0"/>
        <w:ind w:left="720" w:hanging="720"/>
        <w:rPr>
          <w:i/>
          <w:sz w:val="20"/>
          <w:szCs w:val="20"/>
        </w:rPr>
      </w:pPr>
      <w:r w:rsidRPr="00C0666E">
        <w:rPr>
          <w:rStyle w:val="EndnoteReference"/>
          <w:sz w:val="20"/>
          <w:szCs w:val="20"/>
        </w:rPr>
        <w:footnoteRef/>
      </w:r>
      <w:r w:rsidRPr="00C0666E">
        <w:rPr>
          <w:sz w:val="20"/>
          <w:szCs w:val="20"/>
        </w:rPr>
        <w:t xml:space="preserve"> United Nations. (n.d.). </w:t>
      </w:r>
      <w:r w:rsidRPr="00C0666E">
        <w:rPr>
          <w:i/>
          <w:iCs/>
          <w:sz w:val="20"/>
          <w:szCs w:val="20"/>
        </w:rPr>
        <w:t>Universal Declaration of Human Rights | United Nations</w:t>
      </w:r>
      <w:r w:rsidRPr="00C0666E">
        <w:rPr>
          <w:sz w:val="20"/>
          <w:szCs w:val="20"/>
        </w:rPr>
        <w:t xml:space="preserve">. </w:t>
      </w:r>
      <w:r w:rsidRPr="00C0666E">
        <w:rPr>
          <w:i/>
          <w:sz w:val="20"/>
          <w:szCs w:val="20"/>
        </w:rPr>
        <w:t>h</w:t>
      </w:r>
      <w:r w:rsidRPr="00C0666E">
        <w:rPr>
          <w:rStyle w:val="url"/>
          <w:rFonts w:eastAsiaTheme="majorEastAsia"/>
          <w:i/>
          <w:sz w:val="20"/>
          <w:szCs w:val="20"/>
        </w:rPr>
        <w:t>ttps://www.un.org/en/about-us/universal-declaration-of-human-rights</w:t>
      </w:r>
    </w:p>
    <w:p w:rsidR="009624F0" w:rsidRPr="00C0666E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C0666E">
        <w:rPr>
          <w:rStyle w:val="EndnoteReference"/>
          <w:sz w:val="20"/>
          <w:szCs w:val="20"/>
        </w:rPr>
        <w:footnoteRef/>
      </w:r>
      <w:r w:rsidRPr="00C0666E">
        <w:rPr>
          <w:sz w:val="20"/>
          <w:szCs w:val="20"/>
        </w:rPr>
        <w:t xml:space="preserve"> </w:t>
      </w:r>
      <w:r w:rsidRPr="00C0666E">
        <w:rPr>
          <w:iCs/>
          <w:sz w:val="20"/>
          <w:szCs w:val="20"/>
        </w:rPr>
        <w:t>African Charter on Human and Peoples’ Rights | African Union</w:t>
      </w:r>
      <w:r w:rsidRPr="00C0666E">
        <w:rPr>
          <w:sz w:val="20"/>
          <w:szCs w:val="20"/>
        </w:rPr>
        <w:t xml:space="preserve">. (n.d.). </w:t>
      </w:r>
      <w:r w:rsidRPr="00C0666E">
        <w:rPr>
          <w:rStyle w:val="url"/>
          <w:rFonts w:eastAsiaTheme="majorEastAsia"/>
          <w:i/>
          <w:sz w:val="20"/>
          <w:szCs w:val="20"/>
        </w:rPr>
        <w:t>https://au.int/en/treaties/african-charter-human-and-peoples-rights</w:t>
      </w:r>
    </w:p>
    <w:p w:rsidR="009624F0" w:rsidRPr="00C0666E" w:rsidRDefault="009624F0" w:rsidP="009624F0">
      <w:pPr>
        <w:pStyle w:val="NormalWeb"/>
        <w:spacing w:before="0" w:beforeAutospacing="0" w:after="0" w:afterAutospacing="0"/>
        <w:ind w:left="720" w:hanging="720"/>
      </w:pPr>
      <w:r w:rsidRPr="00C0666E">
        <w:rPr>
          <w:rStyle w:val="EndnoteReference"/>
          <w:sz w:val="20"/>
          <w:szCs w:val="20"/>
        </w:rPr>
        <w:footnoteRef/>
      </w:r>
      <w:r w:rsidRPr="00C0666E">
        <w:rPr>
          <w:sz w:val="20"/>
          <w:szCs w:val="20"/>
        </w:rPr>
        <w:t xml:space="preserve"> </w:t>
      </w:r>
      <w:r w:rsidRPr="00C0666E">
        <w:rPr>
          <w:iCs/>
          <w:sz w:val="20"/>
          <w:szCs w:val="20"/>
        </w:rPr>
        <w:t>African Charter on the Rights and Welfare of the Child | African Union</w:t>
      </w:r>
      <w:r w:rsidRPr="00C0666E">
        <w:rPr>
          <w:sz w:val="20"/>
          <w:szCs w:val="20"/>
        </w:rPr>
        <w:t xml:space="preserve">. (n.d.). </w:t>
      </w:r>
      <w:r w:rsidRPr="00C0666E">
        <w:rPr>
          <w:rStyle w:val="url"/>
          <w:rFonts w:eastAsiaTheme="majorEastAsia"/>
          <w:i/>
          <w:sz w:val="20"/>
          <w:szCs w:val="20"/>
        </w:rPr>
        <w:t>https://au.int/en/treaties/african-charter-rights-and-welfare-child</w:t>
      </w:r>
    </w:p>
    <w:p w:rsidR="009624F0" w:rsidRPr="00C0666E" w:rsidRDefault="009624F0" w:rsidP="009624F0">
      <w:pPr>
        <w:pStyle w:val="EndnoteText"/>
        <w:rPr>
          <w:rFonts w:ascii="Times New Roman" w:hAnsi="Times New Roman" w:cs="Times New Roman"/>
        </w:rPr>
      </w:pPr>
      <w:r w:rsidRPr="00C0666E">
        <w:rPr>
          <w:rStyle w:val="EndnoteReference"/>
          <w:rFonts w:ascii="Times New Roman" w:hAnsi="Times New Roman" w:cs="Times New Roman"/>
        </w:rPr>
        <w:footnoteRef/>
      </w:r>
      <w:r w:rsidRPr="00C0666E">
        <w:rPr>
          <w:rFonts w:ascii="Times New Roman" w:hAnsi="Times New Roman" w:cs="Times New Roman"/>
        </w:rPr>
        <w:t xml:space="preserve"> Constitution of Kenya, 2010.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2507F9">
        <w:rPr>
          <w:sz w:val="20"/>
          <w:szCs w:val="20"/>
        </w:rPr>
        <w:t xml:space="preserve">Staff, T. (2013, March 28). </w:t>
      </w:r>
      <w:r w:rsidRPr="002507F9">
        <w:rPr>
          <w:i/>
          <w:iCs/>
          <w:sz w:val="20"/>
          <w:szCs w:val="20"/>
        </w:rPr>
        <w:t>ABORTION</w:t>
      </w:r>
      <w:r w:rsidRPr="002507F9">
        <w:rPr>
          <w:sz w:val="20"/>
          <w:szCs w:val="20"/>
        </w:rPr>
        <w:t xml:space="preserve">. The Law Dictionary. </w:t>
      </w:r>
      <w:r w:rsidRPr="002507F9">
        <w:rPr>
          <w:rStyle w:val="url"/>
          <w:rFonts w:eastAsiaTheme="majorEastAsia"/>
          <w:i/>
          <w:sz w:val="20"/>
          <w:szCs w:val="20"/>
        </w:rPr>
        <w:t>https://thelawdictionary.org/abortion/:~:text=Definition%20and%20Citations%3A,own%20outside%20a%20woman's%20uterus.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5974FC">
        <w:rPr>
          <w:sz w:val="20"/>
          <w:szCs w:val="20"/>
        </w:rPr>
        <w:t xml:space="preserve">Website, N. (2024, December 13). </w:t>
      </w:r>
      <w:r w:rsidRPr="005974FC">
        <w:rPr>
          <w:i/>
          <w:iCs/>
          <w:sz w:val="20"/>
          <w:szCs w:val="20"/>
        </w:rPr>
        <w:t>What is an abortion</w:t>
      </w:r>
      <w:r w:rsidRPr="005974FC">
        <w:rPr>
          <w:sz w:val="20"/>
          <w:szCs w:val="20"/>
        </w:rPr>
        <w:t xml:space="preserve">. nhs.uk. </w:t>
      </w:r>
      <w:r w:rsidRPr="005974FC">
        <w:rPr>
          <w:rStyle w:val="url"/>
          <w:rFonts w:eastAsiaTheme="majorEastAsia"/>
          <w:i/>
          <w:sz w:val="20"/>
          <w:szCs w:val="20"/>
        </w:rPr>
        <w:t>https://www.nhs.uk/conditions/abortion/what-is/</w:t>
      </w:r>
    </w:p>
    <w:p w:rsidR="009624F0" w:rsidRPr="00B52B39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B52B39">
        <w:rPr>
          <w:sz w:val="20"/>
          <w:szCs w:val="20"/>
        </w:rPr>
        <w:t xml:space="preserve">Website, N. (2024a, December 13). </w:t>
      </w:r>
      <w:r w:rsidRPr="00B52B39">
        <w:rPr>
          <w:i/>
          <w:iCs/>
          <w:sz w:val="20"/>
          <w:szCs w:val="20"/>
        </w:rPr>
        <w:t>How an abortion is done</w:t>
      </w:r>
      <w:r w:rsidRPr="00B52B39">
        <w:rPr>
          <w:sz w:val="20"/>
          <w:szCs w:val="20"/>
        </w:rPr>
        <w:t xml:space="preserve">. nhs.uk. </w:t>
      </w:r>
      <w:r w:rsidRPr="00B52B39">
        <w:rPr>
          <w:rStyle w:val="url"/>
          <w:rFonts w:eastAsiaTheme="majorEastAsia"/>
          <w:i/>
          <w:sz w:val="20"/>
          <w:szCs w:val="20"/>
        </w:rPr>
        <w:t>https://www.nhs.uk/conditions/abortion/what-happens/</w:t>
      </w:r>
    </w:p>
    <w:p w:rsidR="009624F0" w:rsidRDefault="009624F0" w:rsidP="009624F0">
      <w:pPr>
        <w:pStyle w:val="EndnoteText"/>
      </w:pPr>
      <w:r w:rsidRPr="00B52B39">
        <w:rPr>
          <w:rStyle w:val="EndnoteReference"/>
          <w:rFonts w:ascii="Times New Roman" w:hAnsi="Times New Roman" w:cs="Times New Roman"/>
        </w:rPr>
        <w:footnoteRef/>
      </w:r>
      <w:r w:rsidRPr="00B52B39">
        <w:rPr>
          <w:rFonts w:ascii="Times New Roman" w:hAnsi="Times New Roman" w:cs="Times New Roman"/>
        </w:rPr>
        <w:t xml:space="preserve"> Constitution of Kenya, 2010.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025308">
        <w:rPr>
          <w:i/>
          <w:iCs/>
          <w:sz w:val="20"/>
          <w:szCs w:val="20"/>
        </w:rPr>
        <w:t>Sexual Offences Act</w:t>
      </w:r>
      <w:r w:rsidRPr="00025308">
        <w:rPr>
          <w:sz w:val="20"/>
          <w:szCs w:val="20"/>
        </w:rPr>
        <w:t xml:space="preserve">. (2024, April 26). </w:t>
      </w:r>
      <w:r w:rsidRPr="00025308">
        <w:rPr>
          <w:i/>
          <w:sz w:val="20"/>
          <w:szCs w:val="20"/>
        </w:rPr>
        <w:t>https://new.kenyalaw.org/akn/ke/act/2006/3/eng@2024-04-26</w:t>
      </w:r>
    </w:p>
    <w:p w:rsidR="009624F0" w:rsidRPr="00492460" w:rsidRDefault="009624F0" w:rsidP="009624F0">
      <w:pPr>
        <w:pStyle w:val="NormalWeb"/>
        <w:spacing w:before="0" w:beforeAutospacing="0" w:after="0" w:afterAutospacing="0"/>
        <w:ind w:left="720" w:hanging="720"/>
        <w:rPr>
          <w:i/>
          <w:sz w:val="20"/>
          <w:szCs w:val="20"/>
        </w:rPr>
      </w:pPr>
      <w:r>
        <w:rPr>
          <w:rStyle w:val="EndnoteReference"/>
        </w:rPr>
        <w:footnoteRef/>
      </w:r>
      <w:r>
        <w:t xml:space="preserve"> </w:t>
      </w:r>
      <w:r w:rsidRPr="00F55C50">
        <w:rPr>
          <w:i/>
          <w:iCs/>
          <w:sz w:val="20"/>
          <w:szCs w:val="20"/>
        </w:rPr>
        <w:t>In-Clinic Abortion | Planned Parenthood video</w:t>
      </w:r>
      <w:r w:rsidRPr="00F55C50">
        <w:rPr>
          <w:sz w:val="20"/>
          <w:szCs w:val="20"/>
        </w:rPr>
        <w:t xml:space="preserve">. (n.d.). [Video]. Planned Parenthood Action Fund. </w:t>
      </w:r>
      <w:r w:rsidRPr="00F55C50">
        <w:rPr>
          <w:rStyle w:val="url"/>
          <w:i/>
          <w:sz w:val="20"/>
          <w:szCs w:val="20"/>
        </w:rPr>
        <w:t>https://www.plannedparenthoodaction.org/planned-parenthood-advocacy-fund-massachusetts-inc/</w:t>
      </w:r>
      <w:r w:rsidRPr="00492460">
        <w:rPr>
          <w:rStyle w:val="url"/>
          <w:i/>
          <w:sz w:val="20"/>
          <w:szCs w:val="20"/>
        </w:rPr>
        <w:t>abortion-stigma</w:t>
      </w:r>
    </w:p>
    <w:p w:rsidR="009624F0" w:rsidRPr="00DC1BA7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492460">
        <w:rPr>
          <w:rStyle w:val="EndnoteReference"/>
          <w:sz w:val="20"/>
          <w:szCs w:val="20"/>
        </w:rPr>
        <w:footnoteRef/>
      </w:r>
      <w:r w:rsidRPr="00492460">
        <w:rPr>
          <w:sz w:val="20"/>
          <w:szCs w:val="20"/>
        </w:rPr>
        <w:t xml:space="preserve"> Piper</w:t>
      </w:r>
      <w:r w:rsidRPr="00DC1BA7">
        <w:rPr>
          <w:sz w:val="20"/>
          <w:szCs w:val="20"/>
        </w:rPr>
        <w:t xml:space="preserve">, K. (2024, December 2). </w:t>
      </w:r>
      <w:r w:rsidRPr="00DC1BA7">
        <w:rPr>
          <w:i/>
          <w:iCs/>
          <w:sz w:val="20"/>
          <w:szCs w:val="20"/>
        </w:rPr>
        <w:t>Pro-Life and Pro-Choice: What does it mean?</w:t>
      </w:r>
      <w:r w:rsidRPr="00DC1BA7">
        <w:rPr>
          <w:sz w:val="20"/>
          <w:szCs w:val="20"/>
        </w:rPr>
        <w:t xml:space="preserve"> Focus on the Family. </w:t>
      </w:r>
      <w:r w:rsidRPr="00DC1BA7">
        <w:rPr>
          <w:rStyle w:val="url"/>
          <w:i/>
          <w:sz w:val="20"/>
          <w:szCs w:val="20"/>
        </w:rPr>
        <w:t>https://www.focusonthefamily.com/pro-life/abortion/pro-life-pro-choice/</w:t>
      </w:r>
    </w:p>
    <w:p w:rsidR="009624F0" w:rsidRPr="0065195C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DC1BA7">
        <w:rPr>
          <w:rStyle w:val="EndnoteReference"/>
          <w:sz w:val="20"/>
          <w:szCs w:val="20"/>
        </w:rPr>
        <w:footnoteRef/>
      </w:r>
      <w:r w:rsidRPr="00DC1BA7">
        <w:rPr>
          <w:sz w:val="20"/>
          <w:szCs w:val="20"/>
        </w:rPr>
        <w:t xml:space="preserve"> </w:t>
      </w:r>
      <w:r w:rsidRPr="00DC1BA7">
        <w:rPr>
          <w:i/>
          <w:iCs/>
          <w:sz w:val="20"/>
          <w:szCs w:val="20"/>
        </w:rPr>
        <w:t xml:space="preserve">Penal </w:t>
      </w:r>
      <w:r w:rsidRPr="0065195C">
        <w:rPr>
          <w:i/>
          <w:iCs/>
          <w:sz w:val="20"/>
          <w:szCs w:val="20"/>
        </w:rPr>
        <w:t>code</w:t>
      </w:r>
      <w:r w:rsidRPr="0065195C">
        <w:rPr>
          <w:sz w:val="20"/>
          <w:szCs w:val="20"/>
        </w:rPr>
        <w:t xml:space="preserve">. (2023, December 11). </w:t>
      </w:r>
      <w:r w:rsidRPr="0065195C">
        <w:rPr>
          <w:rStyle w:val="url"/>
          <w:i/>
          <w:sz w:val="20"/>
          <w:szCs w:val="20"/>
        </w:rPr>
        <w:t>https://new.kenyalaw.org/akn/ke/act/1930/10/eng@2023-12-11</w:t>
      </w:r>
    </w:p>
    <w:p w:rsidR="009624F0" w:rsidRPr="0065195C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65195C">
        <w:rPr>
          <w:rStyle w:val="EndnoteReference"/>
          <w:sz w:val="20"/>
          <w:szCs w:val="20"/>
        </w:rPr>
        <w:footnoteRef/>
      </w:r>
      <w:r w:rsidRPr="0065195C">
        <w:rPr>
          <w:sz w:val="20"/>
          <w:szCs w:val="20"/>
        </w:rPr>
        <w:t xml:space="preserve"> Sorhaindo, M., &amp; Lavelanet, F. (n.d.). Why does abortion stigma matter? A scoping review and hybrid analysis of qualitative evidence illustrating the role of stigma in the quality of abortion care. </w:t>
      </w:r>
      <w:r w:rsidRPr="0065195C">
        <w:rPr>
          <w:i/>
          <w:iCs/>
          <w:sz w:val="20"/>
          <w:szCs w:val="20"/>
        </w:rPr>
        <w:t>Social Science &amp; Medicine</w:t>
      </w:r>
      <w:r w:rsidRPr="0065195C">
        <w:rPr>
          <w:sz w:val="20"/>
          <w:szCs w:val="20"/>
        </w:rPr>
        <w:t xml:space="preserve">, </w:t>
      </w:r>
      <w:r w:rsidRPr="0065195C">
        <w:rPr>
          <w:i/>
          <w:iCs/>
          <w:sz w:val="20"/>
          <w:szCs w:val="20"/>
        </w:rPr>
        <w:t>Social Science&amp;Medicine 311 (2022) 115271</w:t>
      </w:r>
      <w:r w:rsidRPr="0065195C">
        <w:rPr>
          <w:sz w:val="20"/>
          <w:szCs w:val="20"/>
        </w:rPr>
        <w:t>.</w:t>
      </w:r>
    </w:p>
    <w:p w:rsidR="009624F0" w:rsidRDefault="009624F0" w:rsidP="009624F0">
      <w:pPr>
        <w:pStyle w:val="EndnoteText"/>
      </w:pPr>
    </w:p>
    <w:p w:rsidR="009624F0" w:rsidRPr="00022214" w:rsidRDefault="009624F0" w:rsidP="009624F0">
      <w:pPr>
        <w:pStyle w:val="EndnoteText"/>
        <w:rPr>
          <w:rFonts w:ascii="Times New Roman" w:hAnsi="Times New Roman" w:cs="Times New Roman"/>
          <w:i/>
        </w:rPr>
      </w:pPr>
      <w:r>
        <w:rPr>
          <w:rStyle w:val="EndnoteReference"/>
        </w:rPr>
        <w:footnoteRef/>
      </w:r>
      <w:r>
        <w:t xml:space="preserve"> </w:t>
      </w:r>
      <w:r w:rsidRPr="00022214">
        <w:rPr>
          <w:rFonts w:ascii="Times New Roman" w:hAnsi="Times New Roman" w:cs="Times New Roman"/>
        </w:rPr>
        <w:t xml:space="preserve">Mangwana, J. V., Juma, K., Ouedraogo, R., APHRC, &amp; Guttmacher Institute. (2023). Unintended pregnancies, unsafe abortion and maternal mortality in Kenya. </w:t>
      </w:r>
      <w:r w:rsidRPr="00022214">
        <w:rPr>
          <w:rFonts w:ascii="Times New Roman" w:hAnsi="Times New Roman" w:cs="Times New Roman"/>
          <w:i/>
        </w:rPr>
        <w:t>https://aphrc.org/wp-content/uploads/2023/11/Kenya-Policy-Brief-layout-1.pdf</w:t>
      </w:r>
    </w:p>
    <w:p w:rsidR="009624F0" w:rsidRPr="007F0855" w:rsidRDefault="009624F0" w:rsidP="009624F0">
      <w:pPr>
        <w:pStyle w:val="NormalWeb"/>
        <w:spacing w:before="0" w:beforeAutospacing="0" w:after="0" w:afterAutospacing="0"/>
        <w:ind w:left="720" w:hanging="720"/>
      </w:pPr>
      <w:r w:rsidRPr="007F0855">
        <w:rPr>
          <w:rStyle w:val="EndnoteReference"/>
          <w:sz w:val="20"/>
          <w:szCs w:val="20"/>
        </w:rPr>
        <w:footnoteRef/>
      </w:r>
      <w:r w:rsidRPr="007F0855">
        <w:rPr>
          <w:sz w:val="20"/>
          <w:szCs w:val="20"/>
        </w:rPr>
        <w:t xml:space="preserve"> </w:t>
      </w:r>
      <w:r w:rsidRPr="007F0855">
        <w:rPr>
          <w:i/>
          <w:iCs/>
          <w:sz w:val="20"/>
          <w:szCs w:val="20"/>
        </w:rPr>
        <w:t>Petition 266 of 2015 - Kenya Law</w:t>
      </w:r>
      <w:r w:rsidRPr="007F0855">
        <w:rPr>
          <w:sz w:val="20"/>
          <w:szCs w:val="20"/>
        </w:rPr>
        <w:t xml:space="preserve">. (n.d.-b). </w:t>
      </w:r>
      <w:r w:rsidRPr="007F0855">
        <w:rPr>
          <w:i/>
          <w:sz w:val="20"/>
          <w:szCs w:val="20"/>
        </w:rPr>
        <w:t>https://kenyalaw.org/caselaw/cases/view/175490/</w:t>
      </w:r>
    </w:p>
    <w:p w:rsidR="009624F0" w:rsidRPr="007F0855" w:rsidRDefault="009624F0" w:rsidP="009624F0">
      <w:pPr>
        <w:pStyle w:val="EndnoteText"/>
        <w:rPr>
          <w:rFonts w:ascii="Times New Roman" w:hAnsi="Times New Roman" w:cs="Times New Roman"/>
        </w:rPr>
      </w:pPr>
      <w:r w:rsidRPr="007F0855">
        <w:rPr>
          <w:rStyle w:val="EndnoteReference"/>
          <w:rFonts w:ascii="Times New Roman" w:hAnsi="Times New Roman" w:cs="Times New Roman"/>
        </w:rPr>
        <w:footnoteRef/>
      </w:r>
      <w:r w:rsidRPr="007F0855">
        <w:rPr>
          <w:rFonts w:ascii="Times New Roman" w:hAnsi="Times New Roman" w:cs="Times New Roman"/>
        </w:rPr>
        <w:t xml:space="preserve"> Roe v. Wade, 410 U.S. 113 (1973)</w:t>
      </w:r>
      <w:r>
        <w:rPr>
          <w:rFonts w:ascii="Times New Roman" w:hAnsi="Times New Roman" w:cs="Times New Roman"/>
        </w:rPr>
        <w:t>.</w:t>
      </w:r>
      <w:r w:rsidRPr="007F0855">
        <w:rPr>
          <w:rFonts w:ascii="Times New Roman" w:hAnsi="Times New Roman" w:cs="Times New Roman"/>
        </w:rPr>
        <w:t xml:space="preserve">  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Dobbs v. Jackson Women’s Health Organization, 597 U.S. 215 (2022).  </w:t>
      </w:r>
    </w:p>
    <w:p w:rsidR="009624F0" w:rsidRPr="0016630A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16630A">
        <w:rPr>
          <w:rStyle w:val="EndnoteReference"/>
          <w:sz w:val="20"/>
          <w:szCs w:val="20"/>
        </w:rPr>
        <w:footnoteRef/>
      </w:r>
      <w:r w:rsidRPr="0016630A">
        <w:rPr>
          <w:sz w:val="20"/>
          <w:szCs w:val="20"/>
        </w:rPr>
        <w:t xml:space="preserve"> </w:t>
      </w:r>
      <w:r w:rsidRPr="0016630A">
        <w:rPr>
          <w:i/>
          <w:iCs/>
          <w:sz w:val="20"/>
          <w:szCs w:val="20"/>
        </w:rPr>
        <w:t>Six months Post-Roe, 24 US states have banned abortion or are likely to do so: A roundup</w:t>
      </w:r>
      <w:r w:rsidRPr="0016630A">
        <w:rPr>
          <w:sz w:val="20"/>
          <w:szCs w:val="20"/>
        </w:rPr>
        <w:t xml:space="preserve">. (2023, September 5). Guttmacher Institute. </w:t>
      </w:r>
      <w:r w:rsidRPr="0016630A">
        <w:rPr>
          <w:rStyle w:val="url"/>
          <w:i/>
          <w:sz w:val="20"/>
          <w:szCs w:val="20"/>
        </w:rPr>
        <w:t>https://www.guttmacher.org/2023/01/six-months-post-roe-24-us-states-have-banned-abortion-or-are-likely-do-so-roundup</w:t>
      </w:r>
    </w:p>
    <w:p w:rsidR="009624F0" w:rsidRPr="0016630A" w:rsidRDefault="009624F0" w:rsidP="009624F0">
      <w:pPr>
        <w:pStyle w:val="NormalWeb"/>
        <w:spacing w:before="0" w:beforeAutospacing="0" w:after="0" w:afterAutospacing="0"/>
        <w:ind w:left="720" w:hanging="720"/>
        <w:rPr>
          <w:i/>
          <w:sz w:val="20"/>
          <w:szCs w:val="20"/>
        </w:rPr>
      </w:pPr>
      <w:r w:rsidRPr="0016630A">
        <w:rPr>
          <w:rStyle w:val="EndnoteReference"/>
          <w:sz w:val="20"/>
          <w:szCs w:val="20"/>
        </w:rPr>
        <w:footnoteRef/>
      </w:r>
      <w:r w:rsidRPr="0016630A">
        <w:rPr>
          <w:sz w:val="20"/>
          <w:szCs w:val="20"/>
        </w:rPr>
        <w:t xml:space="preserve"> Staff, T. (2014, March 18). </w:t>
      </w:r>
      <w:r w:rsidRPr="0016630A">
        <w:rPr>
          <w:i/>
          <w:iCs/>
          <w:sz w:val="20"/>
          <w:szCs w:val="20"/>
        </w:rPr>
        <w:t>SELF-DEFENSE</w:t>
      </w:r>
      <w:r w:rsidRPr="0016630A">
        <w:rPr>
          <w:sz w:val="20"/>
          <w:szCs w:val="20"/>
        </w:rPr>
        <w:t xml:space="preserve">. The Law Dictionary. </w:t>
      </w:r>
      <w:hyperlink r:id="rId13" w:anchor=":~:text=The%20protection%20of%20one's%20person,especially%20for%20killing%20an%20assailant" w:history="1">
        <w:r w:rsidRPr="0016630A">
          <w:rPr>
            <w:rStyle w:val="Hyperlink"/>
            <w:i/>
            <w:sz w:val="20"/>
            <w:szCs w:val="20"/>
          </w:rPr>
          <w:t>https://thelawdictionary.org/self-defense/:~:text=The%20protection%20of%20one's%20person,especially%20for%20killing%20an%20assailant</w:t>
        </w:r>
      </w:hyperlink>
      <w:r w:rsidRPr="0016630A">
        <w:rPr>
          <w:rStyle w:val="url"/>
          <w:i/>
          <w:sz w:val="20"/>
          <w:szCs w:val="20"/>
        </w:rPr>
        <w:t>.</w:t>
      </w:r>
      <w:r w:rsidRPr="0016630A">
        <w:rPr>
          <w:rStyle w:val="url"/>
          <w:sz w:val="20"/>
          <w:szCs w:val="20"/>
        </w:rPr>
        <w:t xml:space="preserve"> .</w:t>
      </w:r>
    </w:p>
    <w:p w:rsidR="009624F0" w:rsidRPr="0016630A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16630A">
        <w:rPr>
          <w:rStyle w:val="EndnoteReference"/>
          <w:sz w:val="20"/>
          <w:szCs w:val="20"/>
        </w:rPr>
        <w:footnoteRef/>
      </w:r>
      <w:r w:rsidRPr="0016630A">
        <w:rPr>
          <w:sz w:val="20"/>
          <w:szCs w:val="20"/>
        </w:rPr>
        <w:t xml:space="preserve"> Publisher, A. R. a. R. O. O. (2015, December 17). </w:t>
      </w:r>
      <w:r w:rsidRPr="0016630A">
        <w:rPr>
          <w:i/>
          <w:iCs/>
          <w:sz w:val="20"/>
          <w:szCs w:val="20"/>
        </w:rPr>
        <w:t>5.2 Self-Defense</w:t>
      </w:r>
      <w:r w:rsidRPr="0016630A">
        <w:rPr>
          <w:sz w:val="20"/>
          <w:szCs w:val="20"/>
        </w:rPr>
        <w:t xml:space="preserve">. Pressbooks. </w:t>
      </w:r>
      <w:hyperlink r:id="rId14" w:history="1">
        <w:r w:rsidRPr="0016630A">
          <w:rPr>
            <w:rStyle w:val="Hyperlink"/>
            <w:i/>
            <w:sz w:val="20"/>
            <w:szCs w:val="20"/>
          </w:rPr>
          <w:t>https://open.lib.umn.edu/criminallaw/chapter/5-2-self-defense/</w:t>
        </w:r>
      </w:hyperlink>
      <w:r w:rsidRPr="0016630A">
        <w:rPr>
          <w:rStyle w:val="url"/>
          <w:i/>
          <w:sz w:val="20"/>
          <w:szCs w:val="20"/>
        </w:rPr>
        <w:t xml:space="preserve"> 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Constitution of Kenya, 2010.</w:t>
      </w:r>
    </w:p>
    <w:p w:rsidR="009624F0" w:rsidRPr="0016630A" w:rsidRDefault="009624F0" w:rsidP="009624F0">
      <w:pPr>
        <w:pStyle w:val="EndnoteText"/>
        <w:rPr>
          <w:rFonts w:ascii="Times New Roman" w:hAnsi="Times New Roman" w:cs="Times New Roman"/>
        </w:rPr>
      </w:pPr>
      <w:r w:rsidRPr="0016630A">
        <w:rPr>
          <w:rStyle w:val="EndnoteReference"/>
          <w:rFonts w:ascii="Times New Roman" w:hAnsi="Times New Roman" w:cs="Times New Roman"/>
        </w:rPr>
        <w:footnoteRef/>
      </w:r>
      <w:r w:rsidRPr="0016630A">
        <w:rPr>
          <w:rFonts w:ascii="Times New Roman" w:hAnsi="Times New Roman" w:cs="Times New Roman"/>
        </w:rPr>
        <w:t xml:space="preserve"> Penal Code, Cap 63.</w:t>
      </w:r>
    </w:p>
    <w:p w:rsidR="009624F0" w:rsidRPr="00964680" w:rsidRDefault="009624F0" w:rsidP="009624F0">
      <w:pPr>
        <w:pStyle w:val="NormalWeb"/>
        <w:spacing w:before="0" w:beforeAutospacing="0" w:after="0" w:afterAutospacing="0"/>
        <w:ind w:left="720" w:hanging="720"/>
        <w:rPr>
          <w:i/>
        </w:rPr>
      </w:pPr>
      <w:r>
        <w:rPr>
          <w:rStyle w:val="EndnoteReference"/>
        </w:rPr>
        <w:lastRenderedPageBreak/>
        <w:footnoteRef/>
      </w:r>
      <w:r>
        <w:t xml:space="preserve"> </w:t>
      </w:r>
      <w:r w:rsidRPr="001D252C">
        <w:rPr>
          <w:i/>
          <w:iCs/>
          <w:sz w:val="20"/>
          <w:szCs w:val="20"/>
        </w:rPr>
        <w:t>Using reasonable force against intruders</w:t>
      </w:r>
      <w:r w:rsidRPr="001D252C">
        <w:rPr>
          <w:sz w:val="20"/>
          <w:szCs w:val="20"/>
        </w:rPr>
        <w:t>. (2018, April 9). GOV.UK</w:t>
      </w:r>
      <w:r w:rsidRPr="00964680">
        <w:rPr>
          <w:i/>
          <w:sz w:val="20"/>
          <w:szCs w:val="20"/>
        </w:rPr>
        <w:t xml:space="preserve">. </w:t>
      </w:r>
      <w:r w:rsidRPr="00964680">
        <w:rPr>
          <w:rStyle w:val="url"/>
          <w:i/>
          <w:sz w:val="20"/>
          <w:szCs w:val="20"/>
        </w:rPr>
        <w:t>https://www.gov.uk/reasonable-force-against-intruders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7061A3">
        <w:rPr>
          <w:sz w:val="20"/>
          <w:szCs w:val="20"/>
        </w:rPr>
        <w:t xml:space="preserve">Legislative Services Branch. (2025, January 1). </w:t>
      </w:r>
      <w:r w:rsidRPr="007061A3">
        <w:rPr>
          <w:i/>
          <w:iCs/>
          <w:sz w:val="20"/>
          <w:szCs w:val="20"/>
        </w:rPr>
        <w:t>Consolidated federal laws of Canada, Criminal Code</w:t>
      </w:r>
      <w:r w:rsidRPr="007061A3">
        <w:rPr>
          <w:sz w:val="20"/>
          <w:szCs w:val="20"/>
        </w:rPr>
        <w:t xml:space="preserve">. </w:t>
      </w:r>
      <w:r w:rsidRPr="007061A3">
        <w:rPr>
          <w:rStyle w:val="url"/>
          <w:i/>
          <w:sz w:val="20"/>
          <w:szCs w:val="20"/>
        </w:rPr>
        <w:t>https://laws-lois.justice.gc.ca/eng/acts/c-46/page-5.htmlh-115831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7B0A57">
        <w:rPr>
          <w:sz w:val="20"/>
          <w:szCs w:val="20"/>
        </w:rPr>
        <w:t xml:space="preserve">Burris, S. (2021). Civilian Use of Deadly Force in Self-Defense: Public health, stand your ground. </w:t>
      </w:r>
      <w:r w:rsidRPr="007B0A57">
        <w:rPr>
          <w:i/>
          <w:iCs/>
          <w:sz w:val="20"/>
          <w:szCs w:val="20"/>
        </w:rPr>
        <w:t>American Journal of Public Health</w:t>
      </w:r>
      <w:r w:rsidRPr="007B0A57">
        <w:rPr>
          <w:sz w:val="20"/>
          <w:szCs w:val="20"/>
        </w:rPr>
        <w:t xml:space="preserve">, </w:t>
      </w:r>
      <w:r w:rsidRPr="007B0A57">
        <w:rPr>
          <w:i/>
          <w:iCs/>
          <w:sz w:val="20"/>
          <w:szCs w:val="20"/>
        </w:rPr>
        <w:t>111</w:t>
      </w:r>
      <w:r w:rsidRPr="007B0A57">
        <w:rPr>
          <w:sz w:val="20"/>
          <w:szCs w:val="20"/>
        </w:rPr>
        <w:t xml:space="preserve">(4), 559–561. </w:t>
      </w:r>
      <w:r w:rsidRPr="007B0A57">
        <w:rPr>
          <w:rStyle w:val="url"/>
          <w:i/>
          <w:sz w:val="20"/>
          <w:szCs w:val="20"/>
        </w:rPr>
        <w:t>https://doi.org/10.2105/ajph.2021.306173</w:t>
      </w:r>
    </w:p>
    <w:p w:rsidR="009624F0" w:rsidRPr="0095559F" w:rsidRDefault="009624F0" w:rsidP="009624F0">
      <w:pPr>
        <w:pStyle w:val="EndnoteText"/>
        <w:rPr>
          <w:rFonts w:ascii="Times New Roman" w:hAnsi="Times New Roman" w:cs="Times New Roman"/>
        </w:rPr>
      </w:pPr>
      <w:r w:rsidRPr="0095559F">
        <w:rPr>
          <w:rStyle w:val="EndnoteReference"/>
          <w:rFonts w:ascii="Times New Roman" w:hAnsi="Times New Roman" w:cs="Times New Roman"/>
        </w:rPr>
        <w:footnoteRef/>
      </w:r>
      <w:r w:rsidRPr="0095559F">
        <w:rPr>
          <w:rFonts w:ascii="Times New Roman" w:hAnsi="Times New Roman" w:cs="Times New Roman"/>
        </w:rPr>
        <w:t xml:space="preserve"> </w:t>
      </w:r>
      <w:r w:rsidRPr="0095559F">
        <w:rPr>
          <w:rFonts w:ascii="Times New Roman" w:hAnsi="Times New Roman" w:cs="Times New Roman"/>
          <w:color w:val="222222"/>
          <w:shd w:val="clear" w:color="auto" w:fill="FFFFFF"/>
        </w:rPr>
        <w:t>Laws, S. Y. G. (2015). National Task Force on Stand Your Ground Laws.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C10BBD">
        <w:rPr>
          <w:iCs/>
          <w:sz w:val="20"/>
          <w:szCs w:val="20"/>
        </w:rPr>
        <w:t>Second Amendment</w:t>
      </w:r>
      <w:r w:rsidRPr="00C10BBD">
        <w:rPr>
          <w:sz w:val="20"/>
          <w:szCs w:val="20"/>
        </w:rPr>
        <w:t xml:space="preserve">. (n.d.). LII / Legal Information Institute. </w:t>
      </w:r>
      <w:r w:rsidRPr="0095559F">
        <w:rPr>
          <w:rStyle w:val="url"/>
          <w:i/>
          <w:sz w:val="20"/>
          <w:szCs w:val="20"/>
        </w:rPr>
        <w:t>https://www.law.cornell.edu/wex/second_amendment</w:t>
      </w:r>
    </w:p>
    <w:p w:rsidR="009624F0" w:rsidRPr="00C10BBD" w:rsidRDefault="009624F0" w:rsidP="009624F0">
      <w:pPr>
        <w:pStyle w:val="NormalWeb"/>
        <w:spacing w:before="0" w:beforeAutospacing="0" w:after="0" w:afterAutospacing="0" w:line="480" w:lineRule="auto"/>
        <w:ind w:left="720" w:hanging="720"/>
        <w:rPr>
          <w:sz w:val="20"/>
          <w:szCs w:val="20"/>
        </w:rPr>
      </w:pPr>
      <w:r>
        <w:rPr>
          <w:rStyle w:val="EndnoteReference"/>
        </w:rPr>
        <w:footnoteRef/>
      </w:r>
      <w:r>
        <w:t xml:space="preserve"> </w:t>
      </w:r>
      <w:r w:rsidRPr="00C10BBD">
        <w:rPr>
          <w:iCs/>
          <w:sz w:val="20"/>
          <w:szCs w:val="20"/>
        </w:rPr>
        <w:t>Figure - PMC</w:t>
      </w:r>
      <w:r w:rsidRPr="00C10BBD">
        <w:rPr>
          <w:sz w:val="20"/>
          <w:szCs w:val="20"/>
        </w:rPr>
        <w:t xml:space="preserve">. (n.d.). </w:t>
      </w:r>
      <w:r w:rsidRPr="00C10BBD">
        <w:rPr>
          <w:rStyle w:val="url"/>
          <w:i/>
          <w:sz w:val="20"/>
          <w:szCs w:val="20"/>
        </w:rPr>
        <w:t>https://pmc.ncbi.nlm.nih.gov/articles/PMC7958038/figure/fig1/</w:t>
      </w:r>
    </w:p>
    <w:p w:rsidR="009624F0" w:rsidRDefault="009624F0" w:rsidP="009624F0">
      <w:pPr>
        <w:pStyle w:val="EndnoteText"/>
      </w:pPr>
    </w:p>
    <w:p w:rsidR="009624F0" w:rsidRPr="000C2C32" w:rsidRDefault="009624F0" w:rsidP="009624F0">
      <w:pPr>
        <w:pStyle w:val="EndnoteText"/>
        <w:rPr>
          <w:rFonts w:ascii="Times New Roman" w:hAnsi="Times New Roman" w:cs="Times New Roman"/>
        </w:rPr>
      </w:pPr>
      <w:r w:rsidRPr="001076D5">
        <w:rPr>
          <w:rStyle w:val="EndnoteReference"/>
          <w:rFonts w:ascii="Times New Roman" w:hAnsi="Times New Roman" w:cs="Times New Roman"/>
        </w:rPr>
        <w:footnoteRef/>
      </w:r>
      <w:r w:rsidRPr="001076D5">
        <w:rPr>
          <w:rFonts w:ascii="Times New Roman" w:hAnsi="Times New Roman" w:cs="Times New Roman"/>
        </w:rPr>
        <w:t xml:space="preserve"> Zimmerman v. State. 114</w:t>
      </w:r>
      <w:r w:rsidRPr="000C2C32">
        <w:rPr>
          <w:rFonts w:ascii="Times New Roman" w:hAnsi="Times New Roman" w:cs="Times New Roman"/>
        </w:rPr>
        <w:t>, So. 3d 446-Fla: Dist. Court of Appeals 5</w:t>
      </w:r>
      <w:r w:rsidRPr="000C2C32">
        <w:rPr>
          <w:rFonts w:ascii="Times New Roman" w:hAnsi="Times New Roman" w:cs="Times New Roman"/>
          <w:vertAlign w:val="superscript"/>
        </w:rPr>
        <w:t>th</w:t>
      </w:r>
      <w:r w:rsidRPr="000C2C32">
        <w:rPr>
          <w:rFonts w:ascii="Times New Roman" w:hAnsi="Times New Roman" w:cs="Times New Roman"/>
        </w:rPr>
        <w:t xml:space="preserve"> Dist. 2013.         </w:t>
      </w:r>
    </w:p>
    <w:p w:rsidR="009624F0" w:rsidRPr="00081CFA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0C2C32">
        <w:rPr>
          <w:rStyle w:val="EndnoteReference"/>
          <w:sz w:val="20"/>
          <w:szCs w:val="20"/>
        </w:rPr>
        <w:footnoteRef/>
      </w:r>
      <w:r w:rsidRPr="000C2C32">
        <w:rPr>
          <w:sz w:val="20"/>
          <w:szCs w:val="20"/>
        </w:rPr>
        <w:t xml:space="preserve"> SPENCER, J. R., University of Cambridge, &amp; Selwyn College. (2005). </w:t>
      </w:r>
      <w:r w:rsidRPr="000C2C32">
        <w:rPr>
          <w:i/>
          <w:iCs/>
          <w:sz w:val="20"/>
          <w:szCs w:val="20"/>
        </w:rPr>
        <w:t>PENAL CODE</w:t>
      </w:r>
      <w:r w:rsidRPr="000C2C32">
        <w:rPr>
          <w:sz w:val="20"/>
          <w:szCs w:val="20"/>
        </w:rPr>
        <w:t xml:space="preserve">. </w:t>
      </w:r>
      <w:r w:rsidRPr="00081CFA">
        <w:rPr>
          <w:rStyle w:val="url"/>
          <w:i/>
          <w:sz w:val="20"/>
          <w:szCs w:val="20"/>
        </w:rPr>
        <w:t>https://www.equalrightstrust.org/ertdocumentbank/french_penal_code_33.pdf</w:t>
      </w:r>
    </w:p>
    <w:p w:rsidR="009624F0" w:rsidRPr="00081CFA" w:rsidRDefault="009624F0" w:rsidP="009624F0">
      <w:pPr>
        <w:pStyle w:val="NormalWeb"/>
        <w:spacing w:before="0" w:beforeAutospacing="0" w:after="0" w:afterAutospacing="0"/>
        <w:ind w:left="720" w:hanging="720"/>
        <w:rPr>
          <w:i/>
          <w:sz w:val="20"/>
          <w:szCs w:val="20"/>
        </w:rPr>
      </w:pPr>
      <w:r w:rsidRPr="00081CFA">
        <w:rPr>
          <w:rStyle w:val="EndnoteReference"/>
          <w:sz w:val="20"/>
          <w:szCs w:val="20"/>
        </w:rPr>
        <w:footnoteRef/>
      </w:r>
      <w:r w:rsidRPr="00081CFA">
        <w:rPr>
          <w:sz w:val="20"/>
          <w:szCs w:val="20"/>
        </w:rPr>
        <w:t xml:space="preserve"> </w:t>
      </w:r>
      <w:r w:rsidRPr="00081CFA">
        <w:rPr>
          <w:i/>
          <w:iCs/>
          <w:sz w:val="20"/>
          <w:szCs w:val="20"/>
        </w:rPr>
        <w:t>German Criminal Code (Strafgesetzbuch – StGB)</w:t>
      </w:r>
      <w:r w:rsidRPr="00081CFA">
        <w:rPr>
          <w:sz w:val="20"/>
          <w:szCs w:val="20"/>
        </w:rPr>
        <w:t xml:space="preserve">. (n.d.). </w:t>
      </w:r>
      <w:r w:rsidRPr="00081CFA">
        <w:rPr>
          <w:rStyle w:val="url"/>
          <w:i/>
          <w:sz w:val="20"/>
          <w:szCs w:val="20"/>
        </w:rPr>
        <w:t>https://www.gesetze-im-internet.de/englisch_stgb/englisch_stgb.html</w:t>
      </w:r>
    </w:p>
    <w:p w:rsidR="009624F0" w:rsidRPr="00081CFA" w:rsidRDefault="009624F0" w:rsidP="009624F0">
      <w:pPr>
        <w:pStyle w:val="EndnoteText"/>
        <w:rPr>
          <w:rFonts w:ascii="Times New Roman" w:hAnsi="Times New Roman" w:cs="Times New Roman"/>
        </w:rPr>
      </w:pP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Lenore E. Walker, Battered Women Syndrome and Seld-Defense, 6 Notre Dame J.L. Ethics &amp; Pub. Pol’y 321 (1992)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</w:t>
      </w:r>
      <w:r w:rsidRPr="00025139">
        <w:rPr>
          <w:rFonts w:ascii="Times New Roman" w:hAnsi="Times New Roman" w:cs="Times New Roman"/>
          <w:bCs/>
          <w:shd w:val="clear" w:color="auto" w:fill="FFFFFF"/>
        </w:rPr>
        <w:t>Kamande v Republic (Criminal Appeal (Application) 102 of 2018) [2023] KECA 1239 (KLR)</w:t>
      </w:r>
    </w:p>
    <w:p w:rsidR="009624F0" w:rsidRPr="00C33A9B" w:rsidRDefault="009624F0" w:rsidP="009624F0">
      <w:pPr>
        <w:pStyle w:val="NormalWeb"/>
        <w:spacing w:before="0" w:beforeAutospacing="0" w:after="0" w:afterAutospacing="0" w:line="480" w:lineRule="auto"/>
        <w:ind w:left="720" w:hanging="720"/>
        <w:rPr>
          <w:i/>
          <w:sz w:val="20"/>
          <w:szCs w:val="20"/>
        </w:rPr>
      </w:pPr>
      <w:r>
        <w:rPr>
          <w:rStyle w:val="EndnoteReference"/>
        </w:rPr>
        <w:footnoteRef/>
      </w:r>
      <w:r>
        <w:t xml:space="preserve"> </w:t>
      </w:r>
      <w:r w:rsidRPr="00C33A9B">
        <w:rPr>
          <w:i/>
          <w:iCs/>
          <w:sz w:val="20"/>
          <w:szCs w:val="20"/>
        </w:rPr>
        <w:t>Penal code</w:t>
      </w:r>
      <w:r w:rsidRPr="00C33A9B">
        <w:rPr>
          <w:sz w:val="20"/>
          <w:szCs w:val="20"/>
        </w:rPr>
        <w:t xml:space="preserve">. (2023, December 11). </w:t>
      </w:r>
      <w:r w:rsidRPr="00C33A9B">
        <w:rPr>
          <w:i/>
          <w:sz w:val="20"/>
          <w:szCs w:val="20"/>
        </w:rPr>
        <w:t>https://new.kenyalaw.org/akn/ke/act/1930/10/eng@2023-12-11</w:t>
      </w:r>
    </w:p>
    <w:p w:rsidR="009624F0" w:rsidRDefault="009624F0" w:rsidP="009624F0">
      <w:pPr>
        <w:pStyle w:val="EndnoteText"/>
      </w:pPr>
    </w:p>
    <w:p w:rsidR="009624F0" w:rsidRPr="00BA1167" w:rsidRDefault="009624F0" w:rsidP="009624F0">
      <w:pPr>
        <w:pStyle w:val="NormalWeb"/>
        <w:spacing w:before="0" w:beforeAutospacing="0" w:after="0" w:afterAutospacing="0"/>
        <w:ind w:left="720" w:hanging="720"/>
        <w:rPr>
          <w:i/>
          <w:sz w:val="20"/>
          <w:szCs w:val="20"/>
        </w:rPr>
      </w:pPr>
      <w:r w:rsidRPr="00BA1167">
        <w:rPr>
          <w:rStyle w:val="EndnoteReference"/>
          <w:sz w:val="20"/>
          <w:szCs w:val="20"/>
        </w:rPr>
        <w:footnoteRef/>
      </w:r>
      <w:r w:rsidRPr="00BA1167">
        <w:rPr>
          <w:sz w:val="20"/>
          <w:szCs w:val="20"/>
        </w:rPr>
        <w:t xml:space="preserve"> Center, D. P. I. (2025, March 14). </w:t>
      </w:r>
      <w:r w:rsidRPr="00BA1167">
        <w:rPr>
          <w:i/>
          <w:iCs/>
          <w:sz w:val="20"/>
          <w:szCs w:val="20"/>
        </w:rPr>
        <w:t>Methods of execution</w:t>
      </w:r>
      <w:r w:rsidRPr="00BA1167">
        <w:rPr>
          <w:sz w:val="20"/>
          <w:szCs w:val="20"/>
        </w:rPr>
        <w:t xml:space="preserve">. Death Penalty Information Center. </w:t>
      </w:r>
      <w:r w:rsidRPr="00BA1167">
        <w:rPr>
          <w:rStyle w:val="url"/>
          <w:i/>
          <w:sz w:val="20"/>
          <w:szCs w:val="20"/>
        </w:rPr>
        <w:t>https://deathpenaltyinfo.org/resources/high-school/about-the-death-penalty/methods-of-execution?</w:t>
      </w:r>
    </w:p>
    <w:p w:rsidR="009624F0" w:rsidRPr="00BA1167" w:rsidRDefault="009624F0" w:rsidP="009624F0">
      <w:pPr>
        <w:pStyle w:val="NormalWeb"/>
        <w:spacing w:before="0" w:beforeAutospacing="0" w:after="0" w:afterAutospacing="0"/>
        <w:ind w:left="720" w:hanging="720"/>
        <w:rPr>
          <w:i/>
          <w:color w:val="000000" w:themeColor="text1"/>
          <w:sz w:val="20"/>
          <w:szCs w:val="20"/>
        </w:rPr>
      </w:pPr>
      <w:r w:rsidRPr="00BA1167">
        <w:rPr>
          <w:rStyle w:val="EndnoteReference"/>
          <w:sz w:val="20"/>
          <w:szCs w:val="20"/>
        </w:rPr>
        <w:footnoteRef/>
      </w:r>
      <w:r w:rsidRPr="00BA1167">
        <w:rPr>
          <w:sz w:val="20"/>
          <w:szCs w:val="20"/>
        </w:rPr>
        <w:t xml:space="preserve"> Davis, E., L., Snell, T., L., &amp; Bureau of Justice Statistics. (2018). Capital Punishment, 2016. In </w:t>
      </w:r>
      <w:r w:rsidRPr="00BA1167">
        <w:rPr>
          <w:i/>
          <w:iCs/>
          <w:sz w:val="20"/>
          <w:szCs w:val="20"/>
        </w:rPr>
        <w:t xml:space="preserve">U.S. Department </w:t>
      </w:r>
      <w:r w:rsidRPr="00BA1167">
        <w:rPr>
          <w:i/>
          <w:iCs/>
          <w:color w:val="000000" w:themeColor="text1"/>
          <w:sz w:val="20"/>
          <w:szCs w:val="20"/>
        </w:rPr>
        <w:t>of Justice, Office of Justice Programs, Bureau of Justice Statistics</w:t>
      </w:r>
      <w:r w:rsidRPr="00BA1167">
        <w:rPr>
          <w:color w:val="000000" w:themeColor="text1"/>
          <w:sz w:val="20"/>
          <w:szCs w:val="20"/>
        </w:rPr>
        <w:t xml:space="preserve"> [Statistical Brief]. </w:t>
      </w:r>
      <w:r w:rsidRPr="00BA1167">
        <w:rPr>
          <w:rStyle w:val="url"/>
          <w:i/>
          <w:color w:val="000000" w:themeColor="text1"/>
          <w:sz w:val="20"/>
          <w:szCs w:val="20"/>
        </w:rPr>
        <w:t>https://bjs.ojp.gov/content/pub/pdf/cp16sb.pdf</w:t>
      </w:r>
    </w:p>
    <w:p w:rsidR="009624F0" w:rsidRPr="00BA1167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BA1167">
        <w:rPr>
          <w:rStyle w:val="EndnoteReference"/>
          <w:color w:val="000000" w:themeColor="text1"/>
          <w:sz w:val="20"/>
          <w:szCs w:val="20"/>
        </w:rPr>
        <w:footnoteRef/>
      </w:r>
      <w:r w:rsidRPr="00BA1167">
        <w:rPr>
          <w:color w:val="000000" w:themeColor="text1"/>
          <w:sz w:val="20"/>
          <w:szCs w:val="20"/>
        </w:rPr>
        <w:t xml:space="preserve"> </w:t>
      </w:r>
      <w:r w:rsidRPr="00BA1167">
        <w:rPr>
          <w:iCs/>
          <w:color w:val="000000" w:themeColor="text1"/>
          <w:sz w:val="20"/>
          <w:szCs w:val="20"/>
        </w:rPr>
        <w:t>Death row information</w:t>
      </w:r>
      <w:r w:rsidRPr="00BA1167">
        <w:rPr>
          <w:color w:val="000000" w:themeColor="text1"/>
          <w:sz w:val="20"/>
          <w:szCs w:val="20"/>
        </w:rPr>
        <w:t xml:space="preserve">. (n.d.). </w:t>
      </w:r>
      <w:r w:rsidRPr="00BA1167">
        <w:rPr>
          <w:i/>
          <w:color w:val="000000" w:themeColor="text1"/>
          <w:sz w:val="20"/>
          <w:szCs w:val="20"/>
        </w:rPr>
        <w:t>https://www.tdcj.texas.gov/death_row/dr_facts.html.</w:t>
      </w:r>
    </w:p>
    <w:p w:rsidR="009624F0" w:rsidRPr="00BA1167" w:rsidRDefault="009624F0" w:rsidP="009624F0">
      <w:pPr>
        <w:pStyle w:val="NormalWeb"/>
        <w:spacing w:before="0" w:beforeAutospacing="0" w:after="0" w:afterAutospacing="0"/>
        <w:ind w:left="720" w:hanging="720"/>
        <w:rPr>
          <w:i/>
          <w:sz w:val="20"/>
          <w:szCs w:val="20"/>
        </w:rPr>
      </w:pPr>
      <w:r w:rsidRPr="00BA1167">
        <w:rPr>
          <w:rStyle w:val="EndnoteReference"/>
          <w:sz w:val="20"/>
          <w:szCs w:val="20"/>
        </w:rPr>
        <w:footnoteRef/>
      </w:r>
      <w:r w:rsidRPr="00BA1167">
        <w:rPr>
          <w:sz w:val="20"/>
          <w:szCs w:val="20"/>
        </w:rPr>
        <w:t xml:space="preserve"> Center, D. P. I. (2025b, March 19). </w:t>
      </w:r>
      <w:r w:rsidRPr="00BA1167">
        <w:rPr>
          <w:i/>
          <w:iCs/>
          <w:sz w:val="20"/>
          <w:szCs w:val="20"/>
        </w:rPr>
        <w:t>State-by-State execution protocols</w:t>
      </w:r>
      <w:r w:rsidRPr="00BA1167">
        <w:rPr>
          <w:sz w:val="20"/>
          <w:szCs w:val="20"/>
        </w:rPr>
        <w:t xml:space="preserve">. Death Penalty Information Center. </w:t>
      </w:r>
      <w:r w:rsidRPr="00BA1167">
        <w:rPr>
          <w:rStyle w:val="url"/>
          <w:i/>
          <w:sz w:val="20"/>
          <w:szCs w:val="20"/>
        </w:rPr>
        <w:t>https://deathpenaltyinfo.org/executions/methods-of-execution/state-by-state-execution-protocols</w:t>
      </w:r>
    </w:p>
    <w:p w:rsidR="009624F0" w:rsidRPr="00BA1167" w:rsidRDefault="009624F0" w:rsidP="009624F0">
      <w:pPr>
        <w:pStyle w:val="EndnoteText"/>
        <w:rPr>
          <w:rFonts w:ascii="Times New Roman" w:hAnsi="Times New Roman" w:cs="Times New Roman"/>
        </w:rPr>
      </w:pPr>
      <w:r w:rsidRPr="00BA1167">
        <w:rPr>
          <w:rStyle w:val="EndnoteReference"/>
          <w:rFonts w:ascii="Times New Roman" w:hAnsi="Times New Roman" w:cs="Times New Roman"/>
        </w:rPr>
        <w:footnoteRef/>
      </w:r>
      <w:r w:rsidRPr="00BA1167">
        <w:rPr>
          <w:rFonts w:ascii="Times New Roman" w:hAnsi="Times New Roman" w:cs="Times New Roman"/>
        </w:rPr>
        <w:t xml:space="preserve"> </w:t>
      </w:r>
      <w:r w:rsidRPr="00BA1167">
        <w:rPr>
          <w:rFonts w:ascii="Times New Roman" w:hAnsi="Times New Roman" w:cs="Times New Roman"/>
          <w:iCs/>
          <w:color w:val="000000" w:themeColor="text1"/>
        </w:rPr>
        <w:t>Death row information</w:t>
      </w:r>
      <w:r w:rsidRPr="00BA1167">
        <w:rPr>
          <w:rFonts w:ascii="Times New Roman" w:hAnsi="Times New Roman" w:cs="Times New Roman"/>
          <w:color w:val="000000" w:themeColor="text1"/>
        </w:rPr>
        <w:t>. (n.d.). https://www.tdcj.texas.gov/death_row/dr_facts.html.</w:t>
      </w:r>
    </w:p>
    <w:p w:rsidR="009624F0" w:rsidRPr="00BA1167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>
        <w:rPr>
          <w:rStyle w:val="EndnoteReference"/>
        </w:rPr>
        <w:footnoteRef/>
      </w:r>
      <w:r>
        <w:t xml:space="preserve"> </w:t>
      </w:r>
      <w:r w:rsidRPr="00BA1167">
        <w:rPr>
          <w:iCs/>
          <w:sz w:val="20"/>
          <w:szCs w:val="20"/>
        </w:rPr>
        <w:t>Key facts - Penal Reform International</w:t>
      </w:r>
      <w:r w:rsidRPr="00BA1167">
        <w:rPr>
          <w:sz w:val="20"/>
          <w:szCs w:val="20"/>
        </w:rPr>
        <w:t xml:space="preserve">. (2022, May 30). Penal Reform International. </w:t>
      </w:r>
      <w:r w:rsidRPr="00BA1167">
        <w:rPr>
          <w:rStyle w:val="url"/>
          <w:sz w:val="20"/>
          <w:szCs w:val="20"/>
        </w:rPr>
        <w:t>https://www.penalreform.org/issues/death-penalty/key-facts/</w:t>
      </w:r>
    </w:p>
    <w:p w:rsidR="009624F0" w:rsidRPr="00BA1167" w:rsidRDefault="009624F0" w:rsidP="009624F0">
      <w:pPr>
        <w:pStyle w:val="EndnoteText"/>
      </w:pPr>
    </w:p>
    <w:p w:rsidR="009624F0" w:rsidRPr="00DF4315" w:rsidRDefault="009624F0" w:rsidP="009624F0">
      <w:pPr>
        <w:pStyle w:val="EndnoteText"/>
        <w:rPr>
          <w:rFonts w:ascii="Times New Roman" w:hAnsi="Times New Roman" w:cs="Times New Roman"/>
        </w:rPr>
      </w:pPr>
      <w:r w:rsidRPr="00DF4315">
        <w:rPr>
          <w:rStyle w:val="EndnoteReference"/>
          <w:rFonts w:ascii="Times New Roman" w:hAnsi="Times New Roman" w:cs="Times New Roman"/>
        </w:rPr>
        <w:footnoteRef/>
      </w:r>
      <w:r w:rsidRPr="00DF4315">
        <w:rPr>
          <w:rFonts w:ascii="Times New Roman" w:hAnsi="Times New Roman" w:cs="Times New Roman"/>
        </w:rPr>
        <w:t xml:space="preserve"> Kramer, R., &amp; Ulmer, J. (2009). </w:t>
      </w:r>
      <w:r w:rsidRPr="00DF4315">
        <w:rPr>
          <w:rStyle w:val="Emphasis"/>
          <w:rFonts w:ascii="Times New Roman" w:hAnsi="Times New Roman" w:cs="Times New Roman"/>
        </w:rPr>
        <w:t>Sentencing the serious offender: Public, legal, and institutional factors in decisions to impose capital punishment.</w:t>
      </w:r>
      <w:r w:rsidRPr="00DF4315">
        <w:rPr>
          <w:rFonts w:ascii="Times New Roman" w:hAnsi="Times New Roman" w:cs="Times New Roman"/>
        </w:rPr>
        <w:t xml:space="preserve"> Social Forces, 87(4), 1411-1442.</w:t>
      </w:r>
    </w:p>
    <w:p w:rsidR="009624F0" w:rsidRPr="00DF4315" w:rsidRDefault="009624F0" w:rsidP="009624F0">
      <w:pPr>
        <w:pStyle w:val="EndnoteText"/>
        <w:rPr>
          <w:rFonts w:ascii="Times New Roman" w:hAnsi="Times New Roman" w:cs="Times New Roman"/>
        </w:rPr>
      </w:pPr>
      <w:r w:rsidRPr="00DF4315">
        <w:rPr>
          <w:rStyle w:val="EndnoteReference"/>
          <w:rFonts w:ascii="Times New Roman" w:hAnsi="Times New Roman" w:cs="Times New Roman"/>
        </w:rPr>
        <w:footnoteRef/>
      </w:r>
      <w:r w:rsidRPr="00DF4315">
        <w:rPr>
          <w:rFonts w:ascii="Times New Roman" w:hAnsi="Times New Roman" w:cs="Times New Roman"/>
        </w:rPr>
        <w:t xml:space="preserve"> Bedau, H. A., &amp; Cassell, P. G. (2004). </w:t>
      </w:r>
      <w:r w:rsidRPr="00DF4315">
        <w:rPr>
          <w:rStyle w:val="Emphasis"/>
          <w:rFonts w:ascii="Times New Roman" w:hAnsi="Times New Roman" w:cs="Times New Roman"/>
        </w:rPr>
        <w:t>Debating the death penalty: Should America have capital punishment?</w:t>
      </w:r>
      <w:r w:rsidRPr="00DF4315">
        <w:rPr>
          <w:rFonts w:ascii="Times New Roman" w:hAnsi="Times New Roman" w:cs="Times New Roman"/>
        </w:rPr>
        <w:t xml:space="preserve"> Oxford University Press.</w:t>
      </w:r>
    </w:p>
    <w:p w:rsidR="009624F0" w:rsidRPr="00DF4315" w:rsidRDefault="009624F0" w:rsidP="009624F0">
      <w:pPr>
        <w:pStyle w:val="EndnoteText"/>
        <w:rPr>
          <w:rFonts w:ascii="Times New Roman" w:hAnsi="Times New Roman" w:cs="Times New Roman"/>
        </w:rPr>
      </w:pPr>
      <w:r w:rsidRPr="00DF4315">
        <w:rPr>
          <w:rStyle w:val="EndnoteReference"/>
          <w:rFonts w:ascii="Times New Roman" w:hAnsi="Times New Roman" w:cs="Times New Roman"/>
        </w:rPr>
        <w:footnoteRef/>
      </w:r>
      <w:r w:rsidRPr="00DF4315">
        <w:rPr>
          <w:rFonts w:ascii="Times New Roman" w:hAnsi="Times New Roman" w:cs="Times New Roman"/>
        </w:rPr>
        <w:t xml:space="preserve"> Sunstein, C. R., &amp; Vermeule, A. (2005). </w:t>
      </w:r>
      <w:r w:rsidRPr="00DF4315">
        <w:rPr>
          <w:rStyle w:val="Emphasis"/>
          <w:rFonts w:ascii="Times New Roman" w:hAnsi="Times New Roman" w:cs="Times New Roman"/>
        </w:rPr>
        <w:t>Is capital punishment morally required? The relevance of life-life tradeoffs.</w:t>
      </w:r>
      <w:r w:rsidRPr="00DF4315">
        <w:rPr>
          <w:rFonts w:ascii="Times New Roman" w:hAnsi="Times New Roman" w:cs="Times New Roman"/>
        </w:rPr>
        <w:t xml:space="preserve"> Stanford Law Review, 58(3), 703-750.</w:t>
      </w:r>
    </w:p>
    <w:p w:rsidR="009624F0" w:rsidRPr="00DF4315" w:rsidRDefault="009624F0" w:rsidP="009624F0">
      <w:pPr>
        <w:pStyle w:val="EndnoteText"/>
        <w:rPr>
          <w:rFonts w:ascii="Times New Roman" w:hAnsi="Times New Roman" w:cs="Times New Roman"/>
        </w:rPr>
      </w:pPr>
      <w:r w:rsidRPr="00DF4315">
        <w:rPr>
          <w:rStyle w:val="EndnoteReference"/>
          <w:rFonts w:ascii="Times New Roman" w:hAnsi="Times New Roman" w:cs="Times New Roman"/>
        </w:rPr>
        <w:footnoteRef/>
      </w:r>
      <w:r w:rsidRPr="00DF4315">
        <w:rPr>
          <w:rFonts w:ascii="Times New Roman" w:hAnsi="Times New Roman" w:cs="Times New Roman"/>
        </w:rPr>
        <w:t xml:space="preserve"> Gregg v. Georgia 428 U.S. 153 (1967)</w:t>
      </w:r>
    </w:p>
    <w:p w:rsidR="009624F0" w:rsidRDefault="009624F0" w:rsidP="009624F0">
      <w:pPr>
        <w:pStyle w:val="EndnoteText"/>
      </w:pPr>
      <w:r w:rsidRPr="00DF4315">
        <w:rPr>
          <w:rStyle w:val="EndnoteReference"/>
          <w:rFonts w:ascii="Times New Roman" w:hAnsi="Times New Roman" w:cs="Times New Roman"/>
        </w:rPr>
        <w:footnoteRef/>
      </w:r>
      <w:r w:rsidRPr="00DF4315">
        <w:rPr>
          <w:rFonts w:ascii="Times New Roman" w:hAnsi="Times New Roman" w:cs="Times New Roman"/>
        </w:rPr>
        <w:t xml:space="preserve"> Steiker, C. S., &amp; Steiker, J. M. (2016). </w:t>
      </w:r>
      <w:r w:rsidRPr="00DF4315">
        <w:rPr>
          <w:rStyle w:val="Emphasis"/>
          <w:rFonts w:ascii="Times New Roman" w:hAnsi="Times New Roman" w:cs="Times New Roman"/>
        </w:rPr>
        <w:t>Courting death: The Supreme Court and capital punishment.</w:t>
      </w:r>
      <w:r w:rsidRPr="00DF4315">
        <w:rPr>
          <w:rFonts w:ascii="Times New Roman" w:hAnsi="Times New Roman" w:cs="Times New Roman"/>
        </w:rPr>
        <w:t xml:space="preserve"> Harvard University Press.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</w:t>
      </w:r>
      <w:r w:rsidRPr="00DF4315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Muruatetu &amp; another v Republic; Katiba Institute &amp; 4 others (Amicus Curiae) (Petition 15 &amp; 16 of 2015) [2021] KESC 31 (KLR</w:t>
      </w:r>
      <w:r>
        <w:rPr>
          <w:rFonts w:ascii="Arial" w:hAnsi="Arial" w:cs="Arial"/>
          <w:b/>
          <w:bCs/>
          <w:color w:val="990000"/>
          <w:sz w:val="18"/>
          <w:szCs w:val="18"/>
          <w:shd w:val="clear" w:color="auto" w:fill="FFFFFF"/>
        </w:rPr>
        <w:t>)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Bohm, R. M. (2017). </w:t>
      </w:r>
      <w:r>
        <w:rPr>
          <w:rStyle w:val="Emphasis"/>
        </w:rPr>
        <w:t>DeathQuest: An introduction to the theory and practice of capital punishment in the United States.</w:t>
      </w:r>
      <w:r>
        <w:t xml:space="preserve"> Routledge.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Garland, D. (2010). </w:t>
      </w:r>
      <w:r>
        <w:rPr>
          <w:rStyle w:val="Emphasis"/>
        </w:rPr>
        <w:t>Peculiar institution: America’s death penalty in an age of abolition.</w:t>
      </w:r>
      <w:r>
        <w:t xml:space="preserve"> Harvard University Press.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DF03A4">
        <w:rPr>
          <w:iCs/>
          <w:sz w:val="20"/>
          <w:szCs w:val="20"/>
        </w:rPr>
        <w:t>Frequently asked questions on the rules of war</w:t>
      </w:r>
      <w:r w:rsidRPr="00DF03A4">
        <w:rPr>
          <w:sz w:val="20"/>
          <w:szCs w:val="20"/>
        </w:rPr>
        <w:t>. (2025,</w:t>
      </w:r>
      <w:r>
        <w:rPr>
          <w:sz w:val="20"/>
          <w:szCs w:val="20"/>
        </w:rPr>
        <w:t xml:space="preserve">January 18 </w:t>
      </w:r>
      <w:r w:rsidRPr="00DF03A4">
        <w:rPr>
          <w:sz w:val="20"/>
          <w:szCs w:val="20"/>
        </w:rPr>
        <w:t xml:space="preserve">). International Committee of the Red Cross. </w:t>
      </w:r>
      <w:r w:rsidRPr="00DF03A4">
        <w:rPr>
          <w:rStyle w:val="url"/>
          <w:i/>
          <w:sz w:val="20"/>
          <w:szCs w:val="20"/>
        </w:rPr>
        <w:t>https://www.icrc.org/en/document/ihl-rules-of-war-FAQ-Geneva-Conventions?</w:t>
      </w:r>
    </w:p>
    <w:p w:rsidR="009624F0" w:rsidRDefault="009624F0" w:rsidP="009624F0">
      <w:pPr>
        <w:pStyle w:val="EndnoteText"/>
      </w:pPr>
    </w:p>
    <w:p w:rsidR="009624F0" w:rsidRPr="00BA6DA8" w:rsidRDefault="009624F0" w:rsidP="009624F0">
      <w:pPr>
        <w:pStyle w:val="EndnoteText"/>
        <w:rPr>
          <w:rFonts w:ascii="Times New Roman" w:hAnsi="Times New Roman" w:cs="Times New Roman"/>
        </w:rPr>
      </w:pPr>
      <w:r>
        <w:rPr>
          <w:rStyle w:val="EndnoteReference"/>
        </w:rPr>
        <w:footnoteRef/>
      </w:r>
      <w:r>
        <w:t xml:space="preserve"> </w:t>
      </w:r>
      <w:r w:rsidRPr="00BA6DA8">
        <w:rPr>
          <w:rFonts w:ascii="Times New Roman" w:hAnsi="Times New Roman" w:cs="Times New Roman"/>
        </w:rPr>
        <w:t>Constitution of Kenya,2010.</w:t>
      </w:r>
    </w:p>
    <w:p w:rsidR="009624F0" w:rsidRPr="00BA6DA8" w:rsidRDefault="009624F0" w:rsidP="009624F0">
      <w:pPr>
        <w:pStyle w:val="EndnoteText"/>
        <w:rPr>
          <w:rFonts w:ascii="Times New Roman" w:hAnsi="Times New Roman" w:cs="Times New Roman"/>
        </w:rPr>
      </w:pPr>
      <w:r w:rsidRPr="00BA6DA8">
        <w:rPr>
          <w:rStyle w:val="EndnoteReference"/>
          <w:rFonts w:ascii="Times New Roman" w:hAnsi="Times New Roman" w:cs="Times New Roman"/>
        </w:rPr>
        <w:lastRenderedPageBreak/>
        <w:footnoteRef/>
      </w:r>
      <w:r w:rsidRPr="00BA6DA8">
        <w:rPr>
          <w:rFonts w:ascii="Times New Roman" w:hAnsi="Times New Roman" w:cs="Times New Roman"/>
        </w:rPr>
        <w:t xml:space="preserve"> </w:t>
      </w:r>
      <w:r w:rsidRPr="00BA6DA8">
        <w:rPr>
          <w:rFonts w:ascii="Times New Roman" w:hAnsi="Times New Roman" w:cs="Times New Roman"/>
          <w:bCs/>
          <w:color w:val="212529"/>
          <w:shd w:val="clear" w:color="auto" w:fill="FFFFFF"/>
        </w:rPr>
        <w:t>Mugure v Attorney General &amp; 3 others; Director Of Military Prosecutions (Interested Party) (Petition E002 of 2023) [2024] KEHC 12449 (KLR)</w:t>
      </w:r>
    </w:p>
    <w:p w:rsidR="009624F0" w:rsidRPr="00BA6DA8" w:rsidRDefault="009624F0" w:rsidP="009624F0">
      <w:pPr>
        <w:pStyle w:val="EndnoteText"/>
        <w:rPr>
          <w:rFonts w:ascii="Times New Roman" w:hAnsi="Times New Roman" w:cs="Times New Roman"/>
        </w:rPr>
      </w:pPr>
      <w:r>
        <w:rPr>
          <w:rStyle w:val="EndnoteReference"/>
        </w:rPr>
        <w:footnoteRef/>
      </w:r>
      <w:r>
        <w:t xml:space="preserve"> </w:t>
      </w:r>
      <w:r w:rsidRPr="00BA6DA8">
        <w:rPr>
          <w:rFonts w:ascii="Times New Roman" w:hAnsi="Times New Roman" w:cs="Times New Roman"/>
        </w:rPr>
        <w:t>Prosecutor of the Tribunal v. Dusan Tadic, 17 July 1995, (Case No. IT-94-1-T)</w:t>
      </w:r>
    </w:p>
    <w:p w:rsidR="009624F0" w:rsidRPr="009B49CC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>
        <w:rPr>
          <w:rStyle w:val="EndnoteReference"/>
        </w:rPr>
        <w:footnoteRef/>
      </w:r>
      <w:r>
        <w:t xml:space="preserve"> </w:t>
      </w:r>
      <w:r w:rsidRPr="009B49CC">
        <w:rPr>
          <w:iCs/>
          <w:color w:val="000000" w:themeColor="text1"/>
          <w:sz w:val="20"/>
          <w:szCs w:val="20"/>
        </w:rPr>
        <w:t>War crimes » ICTR/ICTY/IRMCT Case Law Database</w:t>
      </w:r>
      <w:r w:rsidRPr="009B49CC">
        <w:rPr>
          <w:color w:val="000000" w:themeColor="text1"/>
          <w:sz w:val="20"/>
          <w:szCs w:val="20"/>
        </w:rPr>
        <w:t xml:space="preserve">. (n.d.). </w:t>
      </w:r>
      <w:r w:rsidRPr="009B49CC">
        <w:rPr>
          <w:rStyle w:val="url"/>
          <w:i/>
          <w:color w:val="000000" w:themeColor="text1"/>
          <w:sz w:val="20"/>
          <w:szCs w:val="20"/>
        </w:rPr>
        <w:t>https://cld.irmct.org/notions/show/1013/war-crimes?</w:t>
      </w:r>
    </w:p>
    <w:p w:rsidR="009624F0" w:rsidRPr="009B49CC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9B49CC">
        <w:rPr>
          <w:rStyle w:val="EndnoteReference"/>
          <w:sz w:val="20"/>
          <w:szCs w:val="20"/>
        </w:rPr>
        <w:footnoteRef/>
      </w:r>
      <w:r w:rsidRPr="009B49CC">
        <w:rPr>
          <w:sz w:val="20"/>
          <w:szCs w:val="20"/>
        </w:rPr>
        <w:t xml:space="preserve"> </w:t>
      </w:r>
      <w:r w:rsidRPr="009B49CC">
        <w:rPr>
          <w:iCs/>
          <w:sz w:val="20"/>
          <w:szCs w:val="20"/>
        </w:rPr>
        <w:t>Crimes against humanity » ICTR/ICTY/IRMCT Case Law Database</w:t>
      </w:r>
      <w:r w:rsidRPr="009B49CC">
        <w:rPr>
          <w:sz w:val="20"/>
          <w:szCs w:val="20"/>
        </w:rPr>
        <w:t xml:space="preserve">. (n.d.). </w:t>
      </w:r>
      <w:r w:rsidRPr="009B49CC">
        <w:rPr>
          <w:rStyle w:val="url"/>
          <w:i/>
          <w:sz w:val="20"/>
          <w:szCs w:val="20"/>
        </w:rPr>
        <w:t>https://cld.irmct.org/notions/show/214/crimes-against-humanity?</w:t>
      </w:r>
    </w:p>
    <w:p w:rsidR="009624F0" w:rsidRDefault="009624F0" w:rsidP="009624F0">
      <w:pPr>
        <w:pStyle w:val="EndnoteText"/>
      </w:pP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</w:t>
      </w:r>
      <w:r w:rsidRPr="00AB724E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Citizens Against Violence (CAVI) &amp; 14 others v Attorney General &amp; 3 others [2020] eKLR</w:t>
      </w:r>
    </w:p>
    <w:p w:rsidR="009624F0" w:rsidRPr="00C4732E" w:rsidRDefault="009624F0" w:rsidP="009624F0">
      <w:pPr>
        <w:pStyle w:val="EndnoteText"/>
        <w:rPr>
          <w:rFonts w:ascii="Times New Roman" w:hAnsi="Times New Roman" w:cs="Times New Roman"/>
          <w:i/>
        </w:rPr>
      </w:pPr>
      <w:r>
        <w:rPr>
          <w:rStyle w:val="EndnoteReference"/>
        </w:rPr>
        <w:footnoteRef/>
      </w:r>
      <w:r>
        <w:t xml:space="preserve"> </w:t>
      </w:r>
      <w:r w:rsidRPr="00C4732E">
        <w:rPr>
          <w:rFonts w:ascii="Times New Roman" w:hAnsi="Times New Roman" w:cs="Times New Roman"/>
        </w:rPr>
        <w:t xml:space="preserve">United Nations. (1990). </w:t>
      </w:r>
      <w:r w:rsidRPr="00C4732E">
        <w:rPr>
          <w:rStyle w:val="Emphasis"/>
          <w:rFonts w:ascii="Times New Roman" w:hAnsi="Times New Roman" w:cs="Times New Roman"/>
          <w:i w:val="0"/>
        </w:rPr>
        <w:t>Basic Principles on the Use of Force and Firearms by Law Enforcement Officials</w:t>
      </w:r>
      <w:r w:rsidRPr="00C4732E">
        <w:rPr>
          <w:rFonts w:ascii="Times New Roman" w:hAnsi="Times New Roman" w:cs="Times New Roman"/>
          <w:i/>
        </w:rPr>
        <w:t xml:space="preserve">. </w:t>
      </w:r>
      <w:hyperlink r:id="rId15" w:tgtFrame="_new" w:history="1">
        <w:r w:rsidRPr="00C4732E">
          <w:rPr>
            <w:rStyle w:val="Hyperlink"/>
            <w:rFonts w:ascii="Times New Roman" w:hAnsi="Times New Roman" w:cs="Times New Roman"/>
            <w:i/>
          </w:rPr>
          <w:t>https://www.ohchr.org/en/instruments-mechanisms/instruments/basic-principles-use-force-and-firearms-law-enforcement</w:t>
        </w:r>
      </w:hyperlink>
    </w:p>
    <w:p w:rsidR="009624F0" w:rsidRPr="00AB724E" w:rsidRDefault="009624F0" w:rsidP="009624F0">
      <w:pPr>
        <w:pStyle w:val="EndnoteText"/>
        <w:rPr>
          <w:rFonts w:ascii="Times New Roman" w:hAnsi="Times New Roman" w:cs="Times New Roman"/>
        </w:rPr>
      </w:pPr>
      <w:r>
        <w:rPr>
          <w:rStyle w:val="EndnoteReference"/>
        </w:rPr>
        <w:footnoteRef/>
      </w:r>
      <w:r>
        <w:t xml:space="preserve"> </w:t>
      </w:r>
      <w:r w:rsidRPr="00AB724E">
        <w:rPr>
          <w:rFonts w:ascii="Times New Roman" w:hAnsi="Times New Roman" w:cs="Times New Roman"/>
        </w:rPr>
        <w:t>European Court of Human Rights. (1995).</w:t>
      </w:r>
      <w:r w:rsidRPr="00AB724E">
        <w:rPr>
          <w:rFonts w:ascii="Times New Roman" w:hAnsi="Times New Roman" w:cs="Times New Roman"/>
          <w:i/>
        </w:rPr>
        <w:t xml:space="preserve"> </w:t>
      </w:r>
      <w:r w:rsidRPr="00AB724E">
        <w:rPr>
          <w:rStyle w:val="Emphasis"/>
          <w:rFonts w:ascii="Times New Roman" w:hAnsi="Times New Roman" w:cs="Times New Roman"/>
          <w:i w:val="0"/>
        </w:rPr>
        <w:t>McCann and Others v. United Kingdom</w:t>
      </w:r>
      <w:r w:rsidRPr="00AB724E">
        <w:rPr>
          <w:rFonts w:ascii="Times New Roman" w:hAnsi="Times New Roman" w:cs="Times New Roman"/>
          <w:i/>
        </w:rPr>
        <w:t>.</w:t>
      </w:r>
      <w:r w:rsidRPr="00AB724E">
        <w:rPr>
          <w:rFonts w:ascii="Times New Roman" w:hAnsi="Times New Roman" w:cs="Times New Roman"/>
        </w:rPr>
        <w:t xml:space="preserve"> https://hudoc.echr.coe.int/eng?i=001-57943</w:t>
      </w:r>
    </w:p>
    <w:p w:rsidR="009624F0" w:rsidRPr="00AF17A0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0"/>
          <w:szCs w:val="20"/>
        </w:rPr>
      </w:pPr>
      <w:r w:rsidRPr="00AF17A0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AF17A0">
        <w:rPr>
          <w:rFonts w:asciiTheme="minorHAnsi" w:hAnsiTheme="minorHAnsi" w:cstheme="minorHAnsi"/>
          <w:sz w:val="20"/>
          <w:szCs w:val="20"/>
        </w:rPr>
        <w:t xml:space="preserve"> Dowbiggin, I. (2007). </w:t>
      </w:r>
      <w:r w:rsidRPr="00AF17A0">
        <w:rPr>
          <w:rFonts w:asciiTheme="minorHAnsi" w:hAnsiTheme="minorHAnsi" w:cstheme="minorHAnsi"/>
          <w:i/>
          <w:iCs/>
          <w:sz w:val="20"/>
          <w:szCs w:val="20"/>
        </w:rPr>
        <w:t>A Concise History of Euthanasia</w:t>
      </w:r>
      <w:r w:rsidRPr="00AF17A0">
        <w:rPr>
          <w:rFonts w:asciiTheme="minorHAnsi" w:hAnsiTheme="minorHAnsi" w:cstheme="minorHAnsi"/>
          <w:sz w:val="20"/>
          <w:szCs w:val="20"/>
        </w:rPr>
        <w:t xml:space="preserve">. Rowman &amp; Littlefield. </w:t>
      </w:r>
      <w:r>
        <w:rPr>
          <w:rFonts w:asciiTheme="minorHAnsi" w:hAnsiTheme="minorHAnsi" w:cstheme="minorHAnsi"/>
          <w:sz w:val="20"/>
          <w:szCs w:val="20"/>
        </w:rPr>
        <w:t>h</w:t>
      </w:r>
      <w:r w:rsidRPr="00AF17A0">
        <w:rPr>
          <w:rStyle w:val="url"/>
          <w:rFonts w:asciiTheme="minorHAnsi" w:hAnsiTheme="minorHAnsi" w:cstheme="minorHAnsi"/>
          <w:sz w:val="20"/>
          <w:szCs w:val="20"/>
        </w:rPr>
        <w:t>ttp://books.google.ie/books?id=CNigO7gMGkUC&amp;printsec=frontcover&amp;dq=A+Concise+History+of+Euthanasia:+Life,+Death,+God,+and+Medicine+By+Ian+Dowbiggen&amp;hl=&amp;cd=1&amp;source=gbs_api</w:t>
      </w:r>
    </w:p>
    <w:p w:rsidR="009624F0" w:rsidRPr="0032693B" w:rsidRDefault="009624F0" w:rsidP="009624F0">
      <w:pPr>
        <w:pStyle w:val="EndnoteText"/>
        <w:rPr>
          <w:rFonts w:cstheme="minorHAnsi"/>
        </w:rPr>
      </w:pPr>
      <w:r w:rsidRPr="00AF17A0">
        <w:rPr>
          <w:rStyle w:val="EndnoteReference"/>
          <w:rFonts w:cstheme="minorHAnsi"/>
        </w:rPr>
        <w:footnoteRef/>
      </w:r>
      <w:r w:rsidRPr="00AF17A0">
        <w:rPr>
          <w:rFonts w:cstheme="minorHAnsi"/>
        </w:rPr>
        <w:t xml:space="preserve"> Hartley, John (1997) “[Book Review of] Euthanasia Explained, John Keown, ed.,” The Linacre Quarterly: Vol 64: No 4</w:t>
      </w:r>
      <w:r w:rsidRPr="0032693B">
        <w:rPr>
          <w:rFonts w:cstheme="minorHAnsi"/>
        </w:rPr>
        <w:t>, Article 6.</w:t>
      </w:r>
    </w:p>
    <w:p w:rsidR="009624F0" w:rsidRPr="0032693B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0"/>
          <w:szCs w:val="20"/>
        </w:rPr>
      </w:pPr>
      <w:r w:rsidRPr="0032693B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32693B">
        <w:rPr>
          <w:rFonts w:asciiTheme="minorHAnsi" w:hAnsiTheme="minorHAnsi" w:cstheme="minorHAnsi"/>
          <w:sz w:val="20"/>
          <w:szCs w:val="20"/>
        </w:rPr>
        <w:t xml:space="preserve"> </w:t>
      </w:r>
      <w:r w:rsidRPr="0032693B">
        <w:rPr>
          <w:rFonts w:asciiTheme="minorHAnsi" w:hAnsiTheme="minorHAnsi" w:cstheme="minorHAnsi"/>
          <w:i/>
          <w:iCs/>
          <w:sz w:val="20"/>
          <w:szCs w:val="20"/>
        </w:rPr>
        <w:t>Black’s Law Dictionary 4th Edition</w:t>
      </w:r>
      <w:r w:rsidRPr="0032693B">
        <w:rPr>
          <w:rFonts w:asciiTheme="minorHAnsi" w:hAnsiTheme="minorHAnsi" w:cstheme="minorHAnsi"/>
          <w:sz w:val="20"/>
          <w:szCs w:val="20"/>
        </w:rPr>
        <w:t xml:space="preserve"> (4th ed.).</w:t>
      </w:r>
    </w:p>
    <w:p w:rsidR="009624F0" w:rsidRPr="00811DE5" w:rsidRDefault="009624F0" w:rsidP="009624F0">
      <w:pPr>
        <w:pStyle w:val="EndnoteText"/>
        <w:rPr>
          <w:rFonts w:cstheme="minorHAnsi"/>
        </w:rPr>
      </w:pPr>
      <w:r w:rsidRPr="0032693B">
        <w:rPr>
          <w:rStyle w:val="EndnoteReference"/>
          <w:rFonts w:cstheme="minorHAnsi"/>
        </w:rPr>
        <w:footnoteRef/>
      </w:r>
      <w:r w:rsidRPr="0032693B">
        <w:rPr>
          <w:rFonts w:cstheme="minorHAnsi"/>
        </w:rPr>
        <w:t xml:space="preserve"> </w:t>
      </w:r>
      <w:r w:rsidRPr="0032693B">
        <w:rPr>
          <w:rFonts w:cstheme="minorHAnsi"/>
          <w:i/>
          <w:iCs/>
        </w:rPr>
        <w:t>Euthanasia - MU School of Medicine</w:t>
      </w:r>
      <w:r w:rsidRPr="0032693B">
        <w:rPr>
          <w:rFonts w:cstheme="minorHAnsi"/>
        </w:rPr>
        <w:t xml:space="preserve">. (n.d.). </w:t>
      </w:r>
      <w:r w:rsidRPr="0032693B">
        <w:rPr>
          <w:rStyle w:val="url"/>
          <w:rFonts w:cstheme="minorHAnsi"/>
        </w:rPr>
        <w:t>https://medicine.missouri.edu/centers-institutes-labs/health-ethics/faq/euthanasia:~:text=Self%2Dadministered%20euthanasia%3A%20the%20patient,person%2C%20such%</w:t>
      </w:r>
      <w:r w:rsidRPr="00811DE5">
        <w:rPr>
          <w:rStyle w:val="url"/>
          <w:rFonts w:cstheme="minorHAnsi"/>
        </w:rPr>
        <w:t>20as%20a%20physician.</w:t>
      </w:r>
    </w:p>
    <w:p w:rsidR="009624F0" w:rsidRPr="00811DE5" w:rsidRDefault="009624F0" w:rsidP="009624F0">
      <w:pPr>
        <w:pStyle w:val="NormalWeb"/>
        <w:spacing w:before="0" w:beforeAutospacing="0" w:after="0" w:afterAutospacing="0"/>
        <w:ind w:left="720" w:hanging="720"/>
        <w:rPr>
          <w:rFonts w:asciiTheme="minorHAnsi" w:hAnsiTheme="minorHAnsi" w:cstheme="minorHAnsi"/>
          <w:sz w:val="20"/>
          <w:szCs w:val="20"/>
        </w:rPr>
      </w:pPr>
      <w:r w:rsidRPr="00811DE5">
        <w:rPr>
          <w:rStyle w:val="EndnoteReference"/>
          <w:rFonts w:asciiTheme="minorHAnsi" w:hAnsiTheme="minorHAnsi" w:cstheme="minorHAnsi"/>
          <w:sz w:val="20"/>
          <w:szCs w:val="20"/>
        </w:rPr>
        <w:footnoteRef/>
      </w:r>
      <w:r w:rsidRPr="00811DE5">
        <w:rPr>
          <w:rFonts w:asciiTheme="minorHAnsi" w:hAnsiTheme="minorHAnsi" w:cstheme="minorHAnsi"/>
          <w:sz w:val="20"/>
          <w:szCs w:val="20"/>
        </w:rPr>
        <w:t xml:space="preserve"> </w:t>
      </w:r>
      <w:r w:rsidRPr="00811DE5">
        <w:rPr>
          <w:rFonts w:asciiTheme="minorHAnsi" w:hAnsiTheme="minorHAnsi" w:cstheme="minorHAnsi"/>
          <w:i/>
          <w:iCs/>
          <w:sz w:val="20"/>
          <w:szCs w:val="20"/>
        </w:rPr>
        <w:t>Euthanasia | Definition, History, &amp; Facts</w:t>
      </w:r>
      <w:r w:rsidRPr="00811DE5">
        <w:rPr>
          <w:rFonts w:asciiTheme="minorHAnsi" w:hAnsiTheme="minorHAnsi" w:cstheme="minorHAnsi"/>
          <w:sz w:val="20"/>
          <w:szCs w:val="20"/>
        </w:rPr>
        <w:t xml:space="preserve">. (2024, August 9). Encyclopedia Britannica. </w:t>
      </w:r>
      <w:r w:rsidRPr="00811DE5">
        <w:rPr>
          <w:rStyle w:val="url"/>
          <w:rFonts w:asciiTheme="minorHAnsi" w:hAnsiTheme="minorHAnsi" w:cstheme="minorHAnsi"/>
          <w:sz w:val="20"/>
          <w:szCs w:val="20"/>
        </w:rPr>
        <w:t>https://www.britannica.com/topic/euthanasia</w:t>
      </w:r>
    </w:p>
    <w:p w:rsidR="009624F0" w:rsidRDefault="009624F0" w:rsidP="009624F0">
      <w:pPr>
        <w:pStyle w:val="EndnoteText"/>
      </w:pPr>
    </w:p>
    <w:p w:rsidR="009624F0" w:rsidRPr="002958D3" w:rsidRDefault="009624F0" w:rsidP="009624F0">
      <w:pPr>
        <w:spacing w:line="240" w:lineRule="auto"/>
        <w:rPr>
          <w:rFonts w:ascii="Times New Roman" w:hAnsi="Times New Roman" w:cs="Times New Roman"/>
        </w:rPr>
      </w:pPr>
      <w:r w:rsidRPr="007C20A5">
        <w:rPr>
          <w:rStyle w:val="EndnoteReference"/>
          <w:rFonts w:cstheme="minorHAnsi"/>
          <w:sz w:val="20"/>
          <w:szCs w:val="20"/>
        </w:rPr>
        <w:footnoteRef/>
      </w:r>
      <w:r w:rsidRPr="007C20A5">
        <w:rPr>
          <w:rFonts w:cstheme="minorHAnsi"/>
          <w:sz w:val="20"/>
          <w:szCs w:val="20"/>
        </w:rPr>
        <w:t xml:space="preserve"> </w:t>
      </w:r>
      <w:r w:rsidRPr="007C20A5">
        <w:rPr>
          <w:rFonts w:eastAsia="Times New Roman" w:cstheme="minorHAnsi"/>
          <w:sz w:val="20"/>
          <w:szCs w:val="20"/>
        </w:rPr>
        <w:t xml:space="preserve">Fontalis, A., Prousali, E., &amp; Kulkarni, K. (2018). Euthanasia and assisted dying: What is the current position and what are the key arguments informing the debate? </w:t>
      </w:r>
      <w:r w:rsidRPr="007C20A5">
        <w:rPr>
          <w:rFonts w:eastAsia="Times New Roman" w:cstheme="minorHAnsi"/>
          <w:i/>
          <w:iCs/>
          <w:sz w:val="20"/>
          <w:szCs w:val="20"/>
        </w:rPr>
        <w:t>Journal of the Royal Society of Medicine</w:t>
      </w:r>
      <w:r w:rsidRPr="007C20A5">
        <w:rPr>
          <w:rFonts w:eastAsia="Times New Roman" w:cstheme="minorHAnsi"/>
          <w:sz w:val="20"/>
          <w:szCs w:val="20"/>
        </w:rPr>
        <w:t xml:space="preserve">, </w:t>
      </w:r>
      <w:r w:rsidRPr="007C20A5">
        <w:rPr>
          <w:rFonts w:eastAsia="Times New Roman" w:cstheme="minorHAnsi"/>
          <w:i/>
          <w:iCs/>
          <w:sz w:val="20"/>
          <w:szCs w:val="20"/>
        </w:rPr>
        <w:t>111</w:t>
      </w:r>
      <w:r w:rsidRPr="007C20A5">
        <w:rPr>
          <w:rFonts w:eastAsia="Times New Roman" w:cstheme="minorHAnsi"/>
          <w:sz w:val="20"/>
          <w:szCs w:val="20"/>
        </w:rPr>
        <w:t xml:space="preserve">(11), 407-413. </w:t>
      </w:r>
      <w:r w:rsidRPr="002958D3">
        <w:rPr>
          <w:rFonts w:ascii="Times New Roman" w:eastAsia="Times New Roman" w:hAnsi="Times New Roman" w:cs="Times New Roman"/>
          <w:sz w:val="20"/>
          <w:szCs w:val="20"/>
        </w:rPr>
        <w:t>https://doi.org/10.1177/0141076818803452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Constitution of Kenya, 2010. 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Cap 63 Laws of Kenya.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</w:t>
      </w:r>
      <w:r w:rsidRPr="002958D3">
        <w:rPr>
          <w:rFonts w:ascii="Times New Roman" w:hAnsi="Times New Roman" w:cs="Times New Roman"/>
        </w:rPr>
        <w:t xml:space="preserve">Groenewoud, J. H., van der Heide, A., Onwuteaka-Philipsen, B. D., Willems, D. L., van der Maas, P. J., &amp; van der Wal, G. (2000). Clinical problems with the performance of euthanasia and physician-assisted suicide in the Netherlands. </w:t>
      </w:r>
      <w:r w:rsidRPr="002958D3">
        <w:rPr>
          <w:rStyle w:val="Emphasis"/>
          <w:rFonts w:ascii="Times New Roman" w:hAnsi="Times New Roman" w:cs="Times New Roman"/>
        </w:rPr>
        <w:t>New England Journal of Medicine</w:t>
      </w:r>
      <w:r w:rsidRPr="002958D3">
        <w:rPr>
          <w:rFonts w:ascii="Times New Roman" w:hAnsi="Times New Roman" w:cs="Times New Roman"/>
        </w:rPr>
        <w:t xml:space="preserve">, 342(8), 551-556. </w:t>
      </w:r>
      <w:r w:rsidRPr="002958D3">
        <w:rPr>
          <w:rFonts w:ascii="Times New Roman" w:hAnsi="Times New Roman" w:cs="Times New Roman"/>
          <w:i/>
        </w:rPr>
        <w:t>https://doi.org/10.1056/NEJM200002243420802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7C650B">
        <w:rPr>
          <w:iCs/>
          <w:color w:val="000000" w:themeColor="text1"/>
          <w:sz w:val="20"/>
          <w:szCs w:val="20"/>
        </w:rPr>
        <w:t>Dutch law on Termination of life on request and assisted suicide (complete text)</w:t>
      </w:r>
      <w:r w:rsidRPr="007C650B">
        <w:rPr>
          <w:color w:val="000000" w:themeColor="text1"/>
          <w:sz w:val="20"/>
          <w:szCs w:val="20"/>
        </w:rPr>
        <w:t xml:space="preserve">. (n.d.). </w:t>
      </w:r>
      <w:r w:rsidRPr="007C650B">
        <w:rPr>
          <w:rStyle w:val="url"/>
          <w:i/>
          <w:color w:val="000000" w:themeColor="text1"/>
          <w:sz w:val="20"/>
          <w:szCs w:val="20"/>
        </w:rPr>
        <w:t>https://wfrtds.org/dutch-law-on-termination-of-life-on-request-and-assisted-suicide-complete-text/</w:t>
      </w:r>
    </w:p>
    <w:p w:rsidR="009624F0" w:rsidRPr="00FA63C8" w:rsidRDefault="009624F0" w:rsidP="009624F0">
      <w:pPr>
        <w:pStyle w:val="EndnoteText"/>
        <w:rPr>
          <w:rFonts w:ascii="Times New Roman" w:hAnsi="Times New Roman" w:cs="Times New Roman"/>
          <w:i/>
        </w:rPr>
      </w:pPr>
      <w:r>
        <w:rPr>
          <w:rStyle w:val="EndnoteReference"/>
        </w:rPr>
        <w:footnoteRef/>
      </w:r>
      <w:r>
        <w:t xml:space="preserve"> </w:t>
      </w:r>
      <w:r w:rsidRPr="00FA63C8">
        <w:rPr>
          <w:rFonts w:ascii="Times New Roman" w:hAnsi="Times New Roman" w:cs="Times New Roman"/>
        </w:rPr>
        <w:t xml:space="preserve">Eijk, A. (2007). The Netherlands euthanasia law: A critique. </w:t>
      </w:r>
      <w:r w:rsidRPr="00FA63C8">
        <w:rPr>
          <w:rStyle w:val="Emphasis"/>
          <w:rFonts w:ascii="Times New Roman" w:hAnsi="Times New Roman" w:cs="Times New Roman"/>
        </w:rPr>
        <w:t>Bioethics</w:t>
      </w:r>
      <w:r w:rsidRPr="00FA63C8">
        <w:rPr>
          <w:rFonts w:ascii="Times New Roman" w:hAnsi="Times New Roman" w:cs="Times New Roman"/>
        </w:rPr>
        <w:t xml:space="preserve">, 21(7), 392-404. </w:t>
      </w:r>
      <w:r w:rsidRPr="00FA63C8">
        <w:rPr>
          <w:rFonts w:ascii="Times New Roman" w:hAnsi="Times New Roman" w:cs="Times New Roman"/>
          <w:i/>
        </w:rPr>
        <w:t>https://doi.org/10.1111/j.1467-8519.2007.00580.x</w:t>
      </w:r>
    </w:p>
    <w:p w:rsidR="009624F0" w:rsidRPr="00FA63C8" w:rsidRDefault="009624F0" w:rsidP="009624F0">
      <w:pPr>
        <w:pStyle w:val="EndnoteText"/>
        <w:rPr>
          <w:rFonts w:ascii="Times New Roman" w:hAnsi="Times New Roman" w:cs="Times New Roman"/>
          <w:i/>
        </w:rPr>
      </w:pPr>
      <w:r>
        <w:rPr>
          <w:rStyle w:val="EndnoteReference"/>
        </w:rPr>
        <w:footnoteRef/>
      </w:r>
      <w:r>
        <w:t xml:space="preserve"> </w:t>
      </w:r>
      <w:r w:rsidRPr="00FA63C8">
        <w:rPr>
          <w:rFonts w:ascii="Times New Roman" w:hAnsi="Times New Roman" w:cs="Times New Roman"/>
          <w:i/>
        </w:rPr>
        <w:t xml:space="preserve">Groenewoud, J. H., van der Heide, A., Onwuteaka-Philipsen, B. D., Willems, D. L., van der Maas, P. J., &amp; van der Wal, G. (2000). Clinical problems with the performance of euthanasia and physician-assisted suicide in the Netherlands. </w:t>
      </w:r>
      <w:r w:rsidRPr="00FA63C8">
        <w:rPr>
          <w:rStyle w:val="Emphasis"/>
          <w:rFonts w:ascii="Times New Roman" w:hAnsi="Times New Roman" w:cs="Times New Roman"/>
          <w:i w:val="0"/>
        </w:rPr>
        <w:t>New England Journal of Medicine</w:t>
      </w:r>
      <w:r w:rsidRPr="00FA63C8">
        <w:rPr>
          <w:rFonts w:ascii="Times New Roman" w:hAnsi="Times New Roman" w:cs="Times New Roman"/>
          <w:i/>
        </w:rPr>
        <w:t>, 342(8), 551-556. https://doi.org/10.1056/NEJM200002243420802</w:t>
      </w:r>
    </w:p>
    <w:p w:rsidR="009624F0" w:rsidRPr="00FA63C8" w:rsidRDefault="009624F0" w:rsidP="009624F0">
      <w:pPr>
        <w:pStyle w:val="EndnoteText"/>
        <w:rPr>
          <w:rFonts w:ascii="Times New Roman" w:hAnsi="Times New Roman" w:cs="Times New Roman"/>
        </w:rPr>
      </w:pPr>
      <w:r w:rsidRPr="00FA63C8">
        <w:rPr>
          <w:rStyle w:val="EndnoteReference"/>
          <w:rFonts w:ascii="Times New Roman" w:hAnsi="Times New Roman" w:cs="Times New Roman"/>
        </w:rPr>
        <w:footnoteRef/>
      </w:r>
      <w:r w:rsidRPr="00FA63C8">
        <w:rPr>
          <w:rFonts w:ascii="Times New Roman" w:hAnsi="Times New Roman" w:cs="Times New Roman"/>
        </w:rPr>
        <w:t xml:space="preserve"> Eijk, A. (2007). The Netherlands euthanasia law: A critique. </w:t>
      </w:r>
      <w:r w:rsidRPr="00FA63C8">
        <w:rPr>
          <w:rStyle w:val="Emphasis"/>
          <w:rFonts w:ascii="Times New Roman" w:hAnsi="Times New Roman" w:cs="Times New Roman"/>
        </w:rPr>
        <w:t>Bioethics</w:t>
      </w:r>
      <w:r w:rsidRPr="00FA63C8">
        <w:rPr>
          <w:rFonts w:ascii="Times New Roman" w:hAnsi="Times New Roman" w:cs="Times New Roman"/>
        </w:rPr>
        <w:t xml:space="preserve">, 21(7), 392-404. </w:t>
      </w:r>
      <w:r w:rsidRPr="00FA63C8">
        <w:rPr>
          <w:rFonts w:ascii="Times New Roman" w:hAnsi="Times New Roman" w:cs="Times New Roman"/>
          <w:i/>
        </w:rPr>
        <w:t>https://doi.org/10.1111/j.1467-8519.2007.00580.x</w:t>
      </w:r>
    </w:p>
    <w:p w:rsidR="009624F0" w:rsidRPr="00FA63C8" w:rsidRDefault="009624F0" w:rsidP="009624F0">
      <w:pPr>
        <w:pStyle w:val="EndnoteText"/>
        <w:rPr>
          <w:rFonts w:ascii="Times New Roman" w:hAnsi="Times New Roman" w:cs="Times New Roman"/>
          <w:i/>
        </w:rPr>
      </w:pPr>
      <w:r>
        <w:rPr>
          <w:rStyle w:val="EndnoteReference"/>
        </w:rPr>
        <w:footnoteRef/>
      </w:r>
      <w:r>
        <w:t xml:space="preserve"> </w:t>
      </w:r>
      <w:r w:rsidRPr="00FA63C8">
        <w:rPr>
          <w:rFonts w:ascii="Times New Roman" w:hAnsi="Times New Roman" w:cs="Times New Roman"/>
        </w:rPr>
        <w:t xml:space="preserve">Rietjens, J. A. C., van der Maas, P. J., Onwuteaka-Philipsen, B. D., van Delden, J. J. M., &amp; van der Heide, A. (2009). Two decades of research on euthanasia from the Netherlands. What have we learned and what questions remain? </w:t>
      </w:r>
      <w:r w:rsidRPr="00FA63C8">
        <w:rPr>
          <w:rStyle w:val="Emphasis"/>
          <w:rFonts w:ascii="Times New Roman" w:hAnsi="Times New Roman" w:cs="Times New Roman"/>
        </w:rPr>
        <w:t>Journal of Bioethical Inquiry</w:t>
      </w:r>
      <w:r w:rsidRPr="00FA63C8">
        <w:rPr>
          <w:rFonts w:ascii="Times New Roman" w:hAnsi="Times New Roman" w:cs="Times New Roman"/>
        </w:rPr>
        <w:t xml:space="preserve">, 6(3), 271-283. </w:t>
      </w:r>
      <w:r w:rsidRPr="00FA63C8">
        <w:rPr>
          <w:rFonts w:ascii="Times New Roman" w:hAnsi="Times New Roman" w:cs="Times New Roman"/>
          <w:i/>
        </w:rPr>
        <w:t>https://doi.org/10.1007/s11673-009-9202-1</w:t>
      </w:r>
    </w:p>
    <w:p w:rsidR="009624F0" w:rsidRPr="00FA63C8" w:rsidRDefault="009624F0" w:rsidP="009624F0">
      <w:pPr>
        <w:pStyle w:val="EndnoteText"/>
        <w:rPr>
          <w:rFonts w:ascii="Times New Roman" w:hAnsi="Times New Roman" w:cs="Times New Roman"/>
        </w:rPr>
      </w:pPr>
      <w:r w:rsidRPr="00FA63C8">
        <w:rPr>
          <w:rStyle w:val="EndnoteReference"/>
          <w:rFonts w:ascii="Times New Roman" w:hAnsi="Times New Roman" w:cs="Times New Roman"/>
        </w:rPr>
        <w:footnoteRef/>
      </w:r>
      <w:r w:rsidRPr="00FA63C8">
        <w:rPr>
          <w:rFonts w:ascii="Times New Roman" w:hAnsi="Times New Roman" w:cs="Times New Roman"/>
        </w:rPr>
        <w:t xml:space="preserve"> Groenewoud, J. H., van der Heide, A., Onwuteaka-Philipsen, B. D., Willems, D. L., van der Maas, P. J., &amp; van der Wal, G. (2000). Clinical problems with the performance of euthanasia and physician-assisted suicide in the Netherlands. </w:t>
      </w:r>
      <w:r w:rsidRPr="00FA63C8">
        <w:rPr>
          <w:rStyle w:val="Emphasis"/>
          <w:rFonts w:ascii="Times New Roman" w:hAnsi="Times New Roman" w:cs="Times New Roman"/>
        </w:rPr>
        <w:t>New England Journal of Medicine</w:t>
      </w:r>
      <w:r w:rsidRPr="00FA63C8">
        <w:rPr>
          <w:rFonts w:ascii="Times New Roman" w:hAnsi="Times New Roman" w:cs="Times New Roman"/>
        </w:rPr>
        <w:t>, 342(8), 551-556</w:t>
      </w:r>
      <w:r w:rsidRPr="00FA63C8">
        <w:rPr>
          <w:rFonts w:ascii="Times New Roman" w:hAnsi="Times New Roman" w:cs="Times New Roman"/>
          <w:i/>
        </w:rPr>
        <w:t>. https://doi.org/10.1056/NEJM200002243420802</w:t>
      </w:r>
    </w:p>
    <w:p w:rsidR="009624F0" w:rsidRPr="00FA63C8" w:rsidRDefault="009624F0" w:rsidP="009624F0">
      <w:pPr>
        <w:pStyle w:val="EndnoteText"/>
        <w:rPr>
          <w:rFonts w:ascii="Times New Roman" w:hAnsi="Times New Roman" w:cs="Times New Roman"/>
        </w:rPr>
      </w:pPr>
      <w:r>
        <w:rPr>
          <w:rStyle w:val="EndnoteReference"/>
        </w:rPr>
        <w:footnoteRef/>
      </w:r>
      <w:r>
        <w:t xml:space="preserve"> </w:t>
      </w:r>
      <w:r w:rsidRPr="00FA63C8">
        <w:rPr>
          <w:rFonts w:ascii="Times New Roman" w:hAnsi="Times New Roman" w:cs="Times New Roman"/>
        </w:rPr>
        <w:t xml:space="preserve">Rietjens, J. A. C., van der Maas, P. J., Onwuteaka-Philipsen, B. D., van Delden, J. J. M., &amp; van der Heide, A. (2009). Two decades of research on euthanasia from the Netherlands. What have we learned and what questions remain? </w:t>
      </w:r>
      <w:r w:rsidRPr="00FA63C8">
        <w:rPr>
          <w:rStyle w:val="Emphasis"/>
          <w:rFonts w:ascii="Times New Roman" w:hAnsi="Times New Roman" w:cs="Times New Roman"/>
        </w:rPr>
        <w:t>Journal of Bioethical Inquiry</w:t>
      </w:r>
      <w:r w:rsidRPr="00FA63C8">
        <w:rPr>
          <w:rFonts w:ascii="Times New Roman" w:hAnsi="Times New Roman" w:cs="Times New Roman"/>
        </w:rPr>
        <w:t xml:space="preserve">, 6(3), 271-283. </w:t>
      </w:r>
      <w:r w:rsidRPr="00FA63C8">
        <w:rPr>
          <w:rFonts w:ascii="Times New Roman" w:hAnsi="Times New Roman" w:cs="Times New Roman"/>
          <w:i/>
        </w:rPr>
        <w:t>https://doi.org/10.1007/s11673-009-9202-1</w:t>
      </w:r>
    </w:p>
    <w:p w:rsidR="009624F0" w:rsidRPr="00FA63C8" w:rsidRDefault="009624F0" w:rsidP="009624F0">
      <w:pPr>
        <w:pStyle w:val="EndnoteText"/>
      </w:pPr>
      <w:r>
        <w:rPr>
          <w:rStyle w:val="EndnoteReference"/>
        </w:rPr>
        <w:lastRenderedPageBreak/>
        <w:footnoteRef/>
      </w:r>
      <w:r>
        <w:t xml:space="preserve"> </w:t>
      </w:r>
      <w:r w:rsidRPr="00FA63C8">
        <w:rPr>
          <w:rFonts w:ascii="Times New Roman" w:hAnsi="Times New Roman" w:cs="Times New Roman"/>
        </w:rPr>
        <w:t>Brock, D. W. (1992).</w:t>
      </w:r>
      <w:r w:rsidRPr="00FA63C8">
        <w:rPr>
          <w:rFonts w:ascii="Times New Roman" w:hAnsi="Times New Roman" w:cs="Times New Roman"/>
          <w:i/>
        </w:rPr>
        <w:t xml:space="preserve"> </w:t>
      </w:r>
      <w:r w:rsidRPr="00FA63C8">
        <w:rPr>
          <w:rStyle w:val="Emphasis"/>
          <w:rFonts w:ascii="Times New Roman" w:hAnsi="Times New Roman" w:cs="Times New Roman"/>
          <w:i w:val="0"/>
        </w:rPr>
        <w:t>Euthanasia and physician-assisted suicide: A comparison of policies in the United States and Europe</w:t>
      </w:r>
      <w:r w:rsidRPr="00FA63C8">
        <w:rPr>
          <w:rFonts w:ascii="Times New Roman" w:hAnsi="Times New Roman" w:cs="Times New Roman"/>
          <w:i/>
        </w:rPr>
        <w:t xml:space="preserve">. </w:t>
      </w:r>
      <w:r w:rsidRPr="00FA63C8">
        <w:rPr>
          <w:rStyle w:val="Emphasis"/>
          <w:rFonts w:ascii="Times New Roman" w:hAnsi="Times New Roman" w:cs="Times New Roman"/>
          <w:i w:val="0"/>
        </w:rPr>
        <w:t>Journal of Clinical Ethics</w:t>
      </w:r>
      <w:r w:rsidRPr="00FA63C8">
        <w:rPr>
          <w:rFonts w:ascii="Times New Roman" w:hAnsi="Times New Roman" w:cs="Times New Roman"/>
          <w:i/>
        </w:rPr>
        <w:t>, 3(1), 56-65. https://doi.org/10.1177/0305735618762422</w:t>
      </w: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The Postma decision (District Court, Leeuwarden, 21 February 1973, N.J No. 183)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781DF8">
        <w:rPr>
          <w:iCs/>
          <w:sz w:val="20"/>
          <w:szCs w:val="20"/>
        </w:rPr>
        <w:t>Geschiedenis van SCEN</w:t>
      </w:r>
      <w:r w:rsidRPr="00781DF8">
        <w:rPr>
          <w:sz w:val="20"/>
          <w:szCs w:val="20"/>
        </w:rPr>
        <w:t xml:space="preserve">. (2023, March 22). KNMG. </w:t>
      </w:r>
      <w:r w:rsidRPr="00781DF8">
        <w:rPr>
          <w:rStyle w:val="url"/>
          <w:i/>
          <w:sz w:val="20"/>
          <w:szCs w:val="20"/>
        </w:rPr>
        <w:t>https://www.knmg.nl/ik-ben-arts/scen/over-scen/geschiedenis-van-scen</w:t>
      </w:r>
    </w:p>
    <w:p w:rsidR="009624F0" w:rsidRPr="00781DF8" w:rsidRDefault="009624F0" w:rsidP="009624F0">
      <w:pPr>
        <w:pStyle w:val="EndnoteText"/>
        <w:rPr>
          <w:rFonts w:ascii="Times New Roman" w:hAnsi="Times New Roman" w:cs="Times New Roman"/>
        </w:rPr>
      </w:pPr>
      <w:r>
        <w:rPr>
          <w:rStyle w:val="EndnoteReference"/>
        </w:rPr>
        <w:footnoteRef/>
      </w:r>
      <w:r>
        <w:t xml:space="preserve"> </w:t>
      </w:r>
      <w:r w:rsidRPr="00781DF8">
        <w:rPr>
          <w:rFonts w:ascii="Times New Roman" w:hAnsi="Times New Roman" w:cs="Times New Roman"/>
          <w:color w:val="1B1B1B"/>
          <w:shd w:val="clear" w:color="auto" w:fill="FFFFFF"/>
        </w:rPr>
        <w:t>Jochemsen H. Euthanasia in Holland: an ethical critique of the new law. J Med Ethics. 1994 Dec;20(4):212-7. doi: 10.1136/jme.20.4.212. PMID: 7861425; PMCID: PMC1376557.</w:t>
      </w:r>
    </w:p>
    <w:p w:rsidR="009624F0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542BB5">
        <w:rPr>
          <w:sz w:val="20"/>
          <w:szCs w:val="20"/>
        </w:rPr>
        <w:t xml:space="preserve">Ministerie van Volksgezondheid, Welzijn en Sport. (2025, March 7). </w:t>
      </w:r>
      <w:r w:rsidRPr="00542BB5">
        <w:rPr>
          <w:i/>
          <w:iCs/>
          <w:sz w:val="20"/>
          <w:szCs w:val="20"/>
        </w:rPr>
        <w:t>Home - Regionale toetsingscommissies Euthanasie</w:t>
      </w:r>
      <w:r w:rsidRPr="00542BB5">
        <w:rPr>
          <w:sz w:val="20"/>
          <w:szCs w:val="20"/>
        </w:rPr>
        <w:t xml:space="preserve">. </w:t>
      </w:r>
      <w:r w:rsidRPr="00542BB5">
        <w:rPr>
          <w:rStyle w:val="url"/>
          <w:i/>
          <w:sz w:val="20"/>
          <w:szCs w:val="20"/>
        </w:rPr>
        <w:t>https://www.euthanasiecommissie.nl/</w:t>
      </w:r>
    </w:p>
    <w:p w:rsidR="009624F0" w:rsidRPr="00AD4864" w:rsidRDefault="009624F0" w:rsidP="009624F0">
      <w:pPr>
        <w:pStyle w:val="EndnoteText"/>
        <w:rPr>
          <w:rFonts w:ascii="Times New Roman" w:hAnsi="Times New Roman" w:cs="Times New Roman"/>
        </w:rPr>
      </w:pPr>
      <w:r w:rsidRPr="00AD4864">
        <w:rPr>
          <w:rStyle w:val="EndnoteReference"/>
          <w:rFonts w:ascii="Times New Roman" w:hAnsi="Times New Roman" w:cs="Times New Roman"/>
        </w:rPr>
        <w:footnoteRef/>
      </w:r>
      <w:r w:rsidRPr="00AD4864">
        <w:rPr>
          <w:rFonts w:ascii="Times New Roman" w:hAnsi="Times New Roman" w:cs="Times New Roman"/>
        </w:rPr>
        <w:t xml:space="preserve"> Kim, S. Y., De Vries, R. G., &amp; Peteet, J. R. (2016). Euthanasia and assisted suicide of patients with psychiatric disorders in the Netherlands 2011–2014. JAMA Psychiatry, 73(4), 362–368.</w:t>
      </w:r>
      <w:r w:rsidRPr="00AD4864">
        <w:rPr>
          <w:rFonts w:ascii="Times New Roman" w:hAnsi="Times New Roman" w:cs="Times New Roman"/>
          <w:i/>
        </w:rPr>
        <w:t> </w:t>
      </w:r>
      <w:hyperlink r:id="rId16" w:tgtFrame="_blank" w:history="1">
        <w:r w:rsidRPr="00AD4864">
          <w:rPr>
            <w:rStyle w:val="Hyperlink"/>
            <w:rFonts w:ascii="Times New Roman" w:hAnsi="Times New Roman" w:cs="Times New Roman"/>
            <w:i/>
          </w:rPr>
          <w:t>https://doi.org/10.1001/jamapsychiatry.2015.2887</w:t>
        </w:r>
      </w:hyperlink>
    </w:p>
    <w:p w:rsidR="009624F0" w:rsidRPr="00AD4864" w:rsidRDefault="009624F0" w:rsidP="009624F0">
      <w:pPr>
        <w:pStyle w:val="NormalWeb"/>
        <w:spacing w:before="0" w:beforeAutospacing="0" w:after="0" w:afterAutospacing="0"/>
        <w:ind w:left="720" w:hanging="720"/>
      </w:pPr>
      <w:r>
        <w:rPr>
          <w:rStyle w:val="EndnoteReference"/>
        </w:rPr>
        <w:footnoteRef/>
      </w:r>
      <w:r>
        <w:t xml:space="preserve"> </w:t>
      </w:r>
      <w:r w:rsidRPr="00AD4864">
        <w:rPr>
          <w:sz w:val="20"/>
          <w:szCs w:val="20"/>
        </w:rPr>
        <w:t xml:space="preserve">Ministerie van Volksgezondheid, Welzijn en Sport. (2025c, March 25). </w:t>
      </w:r>
      <w:r w:rsidRPr="00AD4864">
        <w:rPr>
          <w:iCs/>
          <w:sz w:val="20"/>
          <w:szCs w:val="20"/>
        </w:rPr>
        <w:t>Home - Regional Euthanasia Review Committees</w:t>
      </w:r>
      <w:r w:rsidRPr="00AD4864">
        <w:rPr>
          <w:sz w:val="20"/>
          <w:szCs w:val="20"/>
        </w:rPr>
        <w:t>.</w:t>
      </w:r>
      <w:r w:rsidRPr="00AD4864">
        <w:rPr>
          <w:i/>
          <w:sz w:val="20"/>
          <w:szCs w:val="20"/>
        </w:rPr>
        <w:t xml:space="preserve"> </w:t>
      </w:r>
      <w:r w:rsidRPr="00AD4864">
        <w:rPr>
          <w:rStyle w:val="url"/>
          <w:i/>
          <w:sz w:val="20"/>
          <w:szCs w:val="20"/>
        </w:rPr>
        <w:t>https://english.euthanasiecommissie.nl/</w:t>
      </w:r>
    </w:p>
    <w:p w:rsidR="009624F0" w:rsidRPr="0051215F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51215F">
        <w:rPr>
          <w:rStyle w:val="EndnoteReference"/>
          <w:sz w:val="20"/>
          <w:szCs w:val="20"/>
        </w:rPr>
        <w:footnoteRef/>
      </w:r>
      <w:r w:rsidRPr="0051215F">
        <w:rPr>
          <w:sz w:val="20"/>
          <w:szCs w:val="20"/>
        </w:rPr>
        <w:t xml:space="preserve"> Refworld - UNHCR’s Global Law and Policy Database. (2024, February 12). </w:t>
      </w:r>
      <w:r w:rsidRPr="0051215F">
        <w:rPr>
          <w:i/>
          <w:iCs/>
          <w:sz w:val="20"/>
          <w:szCs w:val="20"/>
        </w:rPr>
        <w:t>UN Human Rights Committee: Concluding observations: Netherlands</w:t>
      </w:r>
      <w:r w:rsidRPr="0051215F">
        <w:rPr>
          <w:sz w:val="20"/>
          <w:szCs w:val="20"/>
        </w:rPr>
        <w:t xml:space="preserve">. Refworld. </w:t>
      </w:r>
      <w:r w:rsidRPr="0051215F">
        <w:rPr>
          <w:rStyle w:val="url"/>
          <w:sz w:val="20"/>
          <w:szCs w:val="20"/>
        </w:rPr>
        <w:t>https://www.refworld.org/policy/polrec/hrc/2001/en/29838</w:t>
      </w:r>
    </w:p>
    <w:p w:rsidR="009624F0" w:rsidRDefault="009624F0" w:rsidP="009624F0">
      <w:pPr>
        <w:pStyle w:val="EndnoteText"/>
      </w:pPr>
    </w:p>
    <w:p w:rsidR="009624F0" w:rsidRPr="00F90CAA" w:rsidRDefault="009624F0" w:rsidP="009624F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90CAA">
        <w:rPr>
          <w:rStyle w:val="EndnoteReference"/>
          <w:rFonts w:ascii="Times New Roman" w:hAnsi="Times New Roman" w:cs="Times New Roman"/>
          <w:sz w:val="20"/>
          <w:szCs w:val="20"/>
        </w:rPr>
        <w:footnoteRef/>
      </w:r>
      <w:r w:rsidRPr="00F90CAA">
        <w:rPr>
          <w:rFonts w:ascii="Times New Roman" w:hAnsi="Times New Roman" w:cs="Times New Roman"/>
          <w:sz w:val="20"/>
          <w:szCs w:val="20"/>
        </w:rPr>
        <w:t xml:space="preserve"> Cohen-Almagor, R. (2018). First do no harm: Euthanasia of patients with dementia in Belgium. Journal of Medicine and Philosophy, 43(4), 485–502. </w:t>
      </w:r>
      <w:r w:rsidRPr="00F90CAA">
        <w:rPr>
          <w:rFonts w:ascii="Times New Roman" w:hAnsi="Times New Roman" w:cs="Times New Roman"/>
          <w:i/>
          <w:sz w:val="20"/>
          <w:szCs w:val="20"/>
        </w:rPr>
        <w:t>https://doi.org/10.1093/jmp/jhy014</w:t>
      </w:r>
      <w:r w:rsidRPr="00F90CAA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9624F0" w:rsidRPr="00F90CAA" w:rsidRDefault="009624F0" w:rsidP="009624F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90CAA">
        <w:rPr>
          <w:rStyle w:val="EndnoteReference"/>
          <w:rFonts w:ascii="Times New Roman" w:hAnsi="Times New Roman" w:cs="Times New Roman"/>
          <w:sz w:val="20"/>
          <w:szCs w:val="20"/>
        </w:rPr>
        <w:footnoteRef/>
      </w:r>
      <w:r w:rsidRPr="00F90CAA">
        <w:rPr>
          <w:rFonts w:ascii="Times New Roman" w:hAnsi="Times New Roman" w:cs="Times New Roman"/>
          <w:sz w:val="20"/>
          <w:szCs w:val="20"/>
        </w:rPr>
        <w:t xml:space="preserve"> Evenblij, K., Pasman, H. R. W., Pronk, R., &amp; Onwuteaka-Philipsen, B. D. (2019). Euthanasia and physician-assisted suicide in patients suffering from psychiatric disorders: A cross-sectional study exploring the experiences of Dutch psychiatrists. BMC Psychiatry, 19(1), 74</w:t>
      </w:r>
      <w:r w:rsidRPr="00F90CAA">
        <w:rPr>
          <w:rFonts w:ascii="Times New Roman" w:hAnsi="Times New Roman" w:cs="Times New Roman"/>
          <w:i/>
          <w:sz w:val="20"/>
          <w:szCs w:val="20"/>
        </w:rPr>
        <w:t>. https://doi.org/10.1186/s12888-019-2053</w:t>
      </w:r>
      <w:r w:rsidRPr="00F90CAA">
        <w:rPr>
          <w:rFonts w:ascii="Times New Roman" w:hAnsi="Times New Roman" w:cs="Times New Roman"/>
          <w:sz w:val="20"/>
          <w:szCs w:val="20"/>
        </w:rPr>
        <w:t xml:space="preserve">-3 </w:t>
      </w:r>
    </w:p>
    <w:p w:rsidR="009624F0" w:rsidRPr="00F90CAA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F90CAA">
        <w:rPr>
          <w:rStyle w:val="EndnoteReference"/>
          <w:sz w:val="20"/>
          <w:szCs w:val="20"/>
        </w:rPr>
        <w:footnoteRef/>
      </w:r>
      <w:r w:rsidRPr="00F90CAA">
        <w:rPr>
          <w:sz w:val="20"/>
          <w:szCs w:val="20"/>
        </w:rPr>
        <w:t xml:space="preserve"> BBC News. (2019, September 11). </w:t>
      </w:r>
      <w:r w:rsidRPr="00F90CAA">
        <w:rPr>
          <w:i/>
          <w:iCs/>
          <w:sz w:val="20"/>
          <w:szCs w:val="20"/>
        </w:rPr>
        <w:t>Dutch euthanasia case: Doctor acted in interest of patient, court rules</w:t>
      </w:r>
      <w:r w:rsidRPr="00F90CAA">
        <w:rPr>
          <w:sz w:val="20"/>
          <w:szCs w:val="20"/>
        </w:rPr>
        <w:t xml:space="preserve">. </w:t>
      </w:r>
      <w:r w:rsidRPr="00F90CAA">
        <w:rPr>
          <w:rStyle w:val="url"/>
          <w:sz w:val="20"/>
          <w:szCs w:val="20"/>
        </w:rPr>
        <w:t>https://www.bbc.com/news/world-europe-49660525</w:t>
      </w:r>
    </w:p>
    <w:p w:rsidR="009624F0" w:rsidRPr="00F90CAA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F90CAA">
        <w:rPr>
          <w:rStyle w:val="EndnoteReference"/>
          <w:sz w:val="20"/>
          <w:szCs w:val="20"/>
        </w:rPr>
        <w:footnoteRef/>
      </w:r>
      <w:r w:rsidRPr="00F90CAA">
        <w:rPr>
          <w:sz w:val="20"/>
          <w:szCs w:val="20"/>
        </w:rPr>
        <w:t xml:space="preserve"> Verhagen, E., &amp; Sauer, P. J. (2005). The Groningen Protocol — Euthanasia in severely ill newborns. </w:t>
      </w:r>
      <w:r w:rsidRPr="00F90CAA">
        <w:rPr>
          <w:i/>
          <w:iCs/>
          <w:sz w:val="20"/>
          <w:szCs w:val="20"/>
        </w:rPr>
        <w:t>New England Journal of Medicine</w:t>
      </w:r>
      <w:r w:rsidRPr="00F90CAA">
        <w:rPr>
          <w:sz w:val="20"/>
          <w:szCs w:val="20"/>
        </w:rPr>
        <w:t xml:space="preserve">, </w:t>
      </w:r>
      <w:r w:rsidRPr="00F90CAA">
        <w:rPr>
          <w:i/>
          <w:iCs/>
          <w:sz w:val="20"/>
          <w:szCs w:val="20"/>
        </w:rPr>
        <w:t>352</w:t>
      </w:r>
      <w:r w:rsidRPr="00F90CAA">
        <w:rPr>
          <w:sz w:val="20"/>
          <w:szCs w:val="20"/>
        </w:rPr>
        <w:t xml:space="preserve">(10), 959–962. </w:t>
      </w:r>
      <w:r w:rsidRPr="00F90CAA">
        <w:rPr>
          <w:rStyle w:val="url"/>
          <w:sz w:val="20"/>
          <w:szCs w:val="20"/>
        </w:rPr>
        <w:t>https://doi.org/10.1056/nejmp058026</w:t>
      </w:r>
    </w:p>
    <w:p w:rsidR="009624F0" w:rsidRPr="00F90CAA" w:rsidRDefault="009624F0" w:rsidP="009624F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90CAA">
        <w:rPr>
          <w:rStyle w:val="EndnoteReference"/>
          <w:rFonts w:ascii="Times New Roman" w:hAnsi="Times New Roman" w:cs="Times New Roman"/>
          <w:sz w:val="20"/>
          <w:szCs w:val="20"/>
        </w:rPr>
        <w:footnoteRef/>
      </w:r>
      <w:r w:rsidRPr="00F90CAA">
        <w:rPr>
          <w:rFonts w:ascii="Times New Roman" w:hAnsi="Times New Roman" w:cs="Times New Roman"/>
          <w:sz w:val="20"/>
          <w:szCs w:val="20"/>
        </w:rPr>
        <w:t xml:space="preserve"> Van der Heide, A., van Delden, J. J. M., &amp; Onwuteaka-Philipsen, B. D. (2017). End-of-life decisions in the Netherlands over 25 years. New England Journal of Medicine, 377(5), 492–494. </w:t>
      </w:r>
      <w:r w:rsidRPr="00F90CAA">
        <w:rPr>
          <w:rFonts w:ascii="Times New Roman" w:hAnsi="Times New Roman" w:cs="Times New Roman"/>
          <w:i/>
          <w:sz w:val="20"/>
          <w:szCs w:val="20"/>
        </w:rPr>
        <w:t>https://doi.org/10.1056/NEJMc1705630</w:t>
      </w:r>
      <w:r w:rsidRPr="00F90CAA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9624F0" w:rsidRPr="00F90CAA" w:rsidRDefault="009624F0" w:rsidP="009624F0">
      <w:pPr>
        <w:pStyle w:val="EndnoteText"/>
        <w:rPr>
          <w:rFonts w:ascii="Times New Roman" w:hAnsi="Times New Roman" w:cs="Times New Roman"/>
        </w:rPr>
      </w:pPr>
      <w:r w:rsidRPr="00F90CAA">
        <w:rPr>
          <w:rStyle w:val="EndnoteReference"/>
          <w:rFonts w:ascii="Times New Roman" w:hAnsi="Times New Roman" w:cs="Times New Roman"/>
        </w:rPr>
        <w:footnoteRef/>
      </w:r>
      <w:r w:rsidRPr="00F90CAA">
        <w:rPr>
          <w:rFonts w:ascii="Times New Roman" w:hAnsi="Times New Roman" w:cs="Times New Roman"/>
        </w:rPr>
        <w:t xml:space="preserve"> Hendry, M., Pasterfield, D., Lewis, R., Carter, B., Hodgson, D., &amp; Wilkinson, C. (2016). Why do we want the right to die? A systematic review of the international literature on the views of patients, carers, and the public on assisted dying. Palliative Medicine, 30(1), 93–105. </w:t>
      </w:r>
      <w:r w:rsidRPr="00F90CAA">
        <w:rPr>
          <w:rFonts w:ascii="Times New Roman" w:hAnsi="Times New Roman" w:cs="Times New Roman"/>
          <w:i/>
        </w:rPr>
        <w:t>https://doi.org/10.1177/0269216315609010</w:t>
      </w:r>
      <w:r w:rsidRPr="00F90CAA">
        <w:rPr>
          <w:rFonts w:ascii="Times New Roman" w:hAnsi="Times New Roman" w:cs="Times New Roman"/>
        </w:rPr>
        <w:t xml:space="preserve">  </w:t>
      </w:r>
    </w:p>
    <w:p w:rsidR="009624F0" w:rsidRDefault="009624F0" w:rsidP="009624F0">
      <w:pPr>
        <w:spacing w:after="0"/>
      </w:pPr>
      <w:r>
        <w:rPr>
          <w:rStyle w:val="EndnoteReference"/>
        </w:rPr>
        <w:footnoteRef/>
      </w:r>
      <w:r>
        <w:t xml:space="preserve"> </w:t>
      </w:r>
      <w:r w:rsidRPr="000E661A">
        <w:rPr>
          <w:rFonts w:ascii="Times New Roman" w:hAnsi="Times New Roman" w:cs="Times New Roman"/>
          <w:sz w:val="20"/>
          <w:szCs w:val="20"/>
        </w:rPr>
        <w:t xml:space="preserve">Albrecht, G. (2010). Euthanasia in Europe: Luxembourg’s constitutional crisis and the right to die. European Journal of Health Law, 17(3), 235–248. </w:t>
      </w:r>
      <w:r w:rsidRPr="000E661A">
        <w:rPr>
          <w:rFonts w:ascii="Times New Roman" w:hAnsi="Times New Roman" w:cs="Times New Roman"/>
          <w:i/>
          <w:sz w:val="20"/>
          <w:szCs w:val="20"/>
        </w:rPr>
        <w:t>https://doi.org/10.1163/157180910X12660506630821</w:t>
      </w:r>
      <w:r w:rsidRPr="0031128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624F0" w:rsidRPr="000E661A" w:rsidRDefault="009624F0" w:rsidP="009624F0">
      <w:pPr>
        <w:pStyle w:val="NormalWeb"/>
        <w:spacing w:before="0" w:beforeAutospacing="0" w:after="0" w:afterAutospacing="0" w:line="480" w:lineRule="auto"/>
        <w:ind w:left="720" w:hanging="720"/>
        <w:rPr>
          <w:sz w:val="20"/>
          <w:szCs w:val="20"/>
        </w:rPr>
      </w:pPr>
      <w:r w:rsidRPr="000E661A">
        <w:rPr>
          <w:rStyle w:val="EndnoteReference"/>
          <w:sz w:val="20"/>
          <w:szCs w:val="20"/>
        </w:rPr>
        <w:footnoteRef/>
      </w:r>
      <w:r w:rsidRPr="000E661A">
        <w:rPr>
          <w:sz w:val="20"/>
          <w:szCs w:val="20"/>
        </w:rPr>
        <w:t xml:space="preserve"> </w:t>
      </w:r>
      <w:r w:rsidRPr="000E661A">
        <w:rPr>
          <w:i/>
          <w:iCs/>
          <w:sz w:val="20"/>
          <w:szCs w:val="20"/>
        </w:rPr>
        <w:t>Legilux</w:t>
      </w:r>
      <w:r w:rsidRPr="000E661A">
        <w:rPr>
          <w:sz w:val="20"/>
          <w:szCs w:val="20"/>
        </w:rPr>
        <w:t xml:space="preserve">. (2009, March 16). </w:t>
      </w:r>
      <w:r w:rsidRPr="000E661A">
        <w:rPr>
          <w:rStyle w:val="url"/>
          <w:sz w:val="20"/>
          <w:szCs w:val="20"/>
        </w:rPr>
        <w:t>https://legilux.public.lu/eli/etat/leg/loi/2009/03/16/n2/jo</w:t>
      </w:r>
    </w:p>
    <w:p w:rsidR="009624F0" w:rsidRDefault="009624F0" w:rsidP="009624F0">
      <w:pPr>
        <w:pStyle w:val="EndnoteText"/>
      </w:pPr>
    </w:p>
    <w:p w:rsidR="009624F0" w:rsidRDefault="009624F0" w:rsidP="009624F0">
      <w:pPr>
        <w:pStyle w:val="EndnoteText"/>
      </w:pPr>
      <w:r>
        <w:rPr>
          <w:rStyle w:val="EndnoteReference"/>
        </w:rPr>
        <w:footnoteRef/>
      </w:r>
      <w:r>
        <w:t xml:space="preserve"> Supreme Court of the Netherlands, Criminal Chamber, 21 June 1994, nr 96.972.</w:t>
      </w:r>
    </w:p>
    <w:p w:rsidR="009624F0" w:rsidRPr="00110A66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110A66">
        <w:rPr>
          <w:rStyle w:val="EndnoteReference"/>
          <w:sz w:val="20"/>
          <w:szCs w:val="20"/>
        </w:rPr>
        <w:footnoteRef/>
      </w:r>
      <w:r w:rsidRPr="00110A66">
        <w:rPr>
          <w:sz w:val="20"/>
          <w:szCs w:val="20"/>
        </w:rPr>
        <w:t xml:space="preserve"> Legislative Services Branch. (2025b, January 1). </w:t>
      </w:r>
      <w:r w:rsidRPr="00110A66">
        <w:rPr>
          <w:i/>
          <w:iCs/>
          <w:sz w:val="20"/>
          <w:szCs w:val="20"/>
        </w:rPr>
        <w:t>Consolidated federal laws of Canada, Criminal Code</w:t>
      </w:r>
      <w:r w:rsidRPr="00110A66">
        <w:rPr>
          <w:sz w:val="20"/>
          <w:szCs w:val="20"/>
        </w:rPr>
        <w:t xml:space="preserve">. </w:t>
      </w:r>
      <w:r w:rsidRPr="00110A66">
        <w:rPr>
          <w:rStyle w:val="url"/>
          <w:i/>
          <w:sz w:val="20"/>
          <w:szCs w:val="20"/>
        </w:rPr>
        <w:t>https://laws-lois.justice.gc.ca/eng/acts/c-46/page-36.html#h-119931</w:t>
      </w:r>
    </w:p>
    <w:p w:rsidR="009624F0" w:rsidRPr="00110A66" w:rsidRDefault="009624F0" w:rsidP="009624F0">
      <w:pPr>
        <w:pStyle w:val="EndnoteText"/>
        <w:rPr>
          <w:rFonts w:ascii="Times New Roman" w:hAnsi="Times New Roman" w:cs="Times New Roman"/>
        </w:rPr>
      </w:pPr>
      <w:r w:rsidRPr="00110A66">
        <w:rPr>
          <w:rStyle w:val="EndnoteReference"/>
          <w:rFonts w:ascii="Times New Roman" w:hAnsi="Times New Roman" w:cs="Times New Roman"/>
        </w:rPr>
        <w:footnoteRef/>
      </w:r>
      <w:r w:rsidRPr="00110A66">
        <w:rPr>
          <w:rFonts w:ascii="Times New Roman" w:hAnsi="Times New Roman" w:cs="Times New Roman"/>
        </w:rPr>
        <w:t xml:space="preserve"> Rodriguez v. British Columbia (AG) [1993] 3 SCR 519, 107 DLR (4</w:t>
      </w:r>
      <w:r w:rsidRPr="00110A66">
        <w:rPr>
          <w:rFonts w:ascii="Times New Roman" w:hAnsi="Times New Roman" w:cs="Times New Roman"/>
          <w:vertAlign w:val="superscript"/>
        </w:rPr>
        <w:t>th</w:t>
      </w:r>
      <w:r w:rsidRPr="00110A66">
        <w:rPr>
          <w:rFonts w:ascii="Times New Roman" w:hAnsi="Times New Roman" w:cs="Times New Roman"/>
        </w:rPr>
        <w:t>) 342, 1993 CanLll 75.</w:t>
      </w:r>
    </w:p>
    <w:p w:rsidR="009624F0" w:rsidRPr="00110A66" w:rsidRDefault="009624F0" w:rsidP="009624F0">
      <w:pPr>
        <w:pStyle w:val="NormalWeb"/>
        <w:spacing w:before="0" w:beforeAutospacing="0" w:after="0" w:afterAutospacing="0"/>
        <w:ind w:left="720" w:hanging="720"/>
        <w:rPr>
          <w:sz w:val="20"/>
          <w:szCs w:val="20"/>
        </w:rPr>
      </w:pPr>
      <w:r w:rsidRPr="00110A66">
        <w:rPr>
          <w:rStyle w:val="EndnoteReference"/>
          <w:sz w:val="20"/>
          <w:szCs w:val="20"/>
        </w:rPr>
        <w:footnoteRef/>
      </w:r>
      <w:r w:rsidRPr="00110A66">
        <w:rPr>
          <w:sz w:val="20"/>
          <w:szCs w:val="20"/>
        </w:rPr>
        <w:t xml:space="preserve"> Government of Canada, Department of Justice, Electronic Communications. (2024, August 16). </w:t>
      </w:r>
      <w:r w:rsidRPr="00110A66">
        <w:rPr>
          <w:i/>
          <w:iCs/>
          <w:sz w:val="20"/>
          <w:szCs w:val="20"/>
        </w:rPr>
        <w:t>Charterpedia - Section 7 – Life, liberty and security of the person</w:t>
      </w:r>
      <w:r w:rsidRPr="00110A66">
        <w:rPr>
          <w:sz w:val="20"/>
          <w:szCs w:val="20"/>
        </w:rPr>
        <w:t xml:space="preserve">. </w:t>
      </w:r>
      <w:r w:rsidRPr="00110A66">
        <w:rPr>
          <w:rStyle w:val="url"/>
          <w:sz w:val="20"/>
          <w:szCs w:val="20"/>
        </w:rPr>
        <w:t>https://www.justice.gc.ca/eng/csj-sjc/rfc-dlc/ccrf-ccdl/check/art7.html</w:t>
      </w:r>
    </w:p>
    <w:p w:rsidR="009624F0" w:rsidRPr="00110A66" w:rsidRDefault="009624F0" w:rsidP="009624F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0A66">
        <w:rPr>
          <w:rStyle w:val="EndnoteReference"/>
          <w:rFonts w:ascii="Times New Roman" w:hAnsi="Times New Roman" w:cs="Times New Roman"/>
          <w:sz w:val="20"/>
          <w:szCs w:val="20"/>
        </w:rPr>
        <w:footnoteRef/>
      </w:r>
      <w:r w:rsidRPr="00110A66">
        <w:rPr>
          <w:rFonts w:ascii="Times New Roman" w:hAnsi="Times New Roman" w:cs="Times New Roman"/>
          <w:sz w:val="20"/>
          <w:szCs w:val="20"/>
        </w:rPr>
        <w:t xml:space="preserve"> Government of Canada. (2016). Bill C-14: An Act to amend the Criminal Code (medical assistance in dying). https://laws-lois.justice.gc.ca </w:t>
      </w:r>
    </w:p>
    <w:p w:rsidR="009624F0" w:rsidRPr="00110A66" w:rsidRDefault="009624F0" w:rsidP="009624F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10A66">
        <w:rPr>
          <w:rStyle w:val="EndnoteReference"/>
          <w:rFonts w:ascii="Times New Roman" w:hAnsi="Times New Roman" w:cs="Times New Roman"/>
          <w:sz w:val="20"/>
          <w:szCs w:val="20"/>
        </w:rPr>
        <w:footnoteRef/>
      </w:r>
      <w:r w:rsidRPr="00110A66">
        <w:rPr>
          <w:rFonts w:ascii="Times New Roman" w:hAnsi="Times New Roman" w:cs="Times New Roman"/>
          <w:sz w:val="20"/>
          <w:szCs w:val="20"/>
        </w:rPr>
        <w:t xml:space="preserve"> Government of Canada. (2021). Bill C-7: Expanding access to MAID. https://www.canada.ca/en/health-canada/services/medical-assistance-dying.html  </w:t>
      </w:r>
    </w:p>
    <w:sectPr w:rsidR="009624F0" w:rsidRPr="0011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24F0" w:rsidRDefault="009624F0" w:rsidP="009624F0">
      <w:pPr>
        <w:spacing w:after="0" w:line="240" w:lineRule="auto"/>
      </w:pPr>
      <w:r>
        <w:separator/>
      </w:r>
    </w:p>
  </w:endnote>
  <w:endnote w:type="continuationSeparator" w:id="0">
    <w:p w:rsidR="009624F0" w:rsidRDefault="009624F0" w:rsidP="00962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24F0" w:rsidRDefault="009624F0" w:rsidP="009624F0">
      <w:pPr>
        <w:spacing w:after="0" w:line="240" w:lineRule="auto"/>
      </w:pPr>
      <w:r>
        <w:separator/>
      </w:r>
    </w:p>
  </w:footnote>
  <w:footnote w:type="continuationSeparator" w:id="0">
    <w:p w:rsidR="009624F0" w:rsidRDefault="009624F0" w:rsidP="009624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4F0"/>
    <w:rsid w:val="009562F0"/>
    <w:rsid w:val="009624F0"/>
    <w:rsid w:val="00F8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2CE47-9548-4362-B93D-4DC30E41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4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24F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6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rl">
    <w:name w:val="url"/>
    <w:basedOn w:val="DefaultParagraphFont"/>
    <w:rsid w:val="009624F0"/>
  </w:style>
  <w:style w:type="character" w:styleId="Strong">
    <w:name w:val="Strong"/>
    <w:basedOn w:val="DefaultParagraphFont"/>
    <w:uiPriority w:val="22"/>
    <w:qFormat/>
    <w:rsid w:val="009624F0"/>
    <w:rPr>
      <w:b/>
      <w:bCs/>
    </w:rPr>
  </w:style>
  <w:style w:type="character" w:styleId="Emphasis">
    <w:name w:val="Emphasis"/>
    <w:basedOn w:val="DefaultParagraphFont"/>
    <w:uiPriority w:val="20"/>
    <w:qFormat/>
    <w:rsid w:val="009624F0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624F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624F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624F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lawdictionary.org/self-defense/" TargetMode="External"/><Relationship Id="rId13" Type="http://schemas.openxmlformats.org/officeDocument/2006/relationships/hyperlink" Target="https://thelawdictionary.org/self-defens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ancer.gov/search/results?swKeyword=conception" TargetMode="External"/><Relationship Id="rId12" Type="http://schemas.openxmlformats.org/officeDocument/2006/relationships/hyperlink" Target="https://www.britannica.com/topic/euthanasi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001/jamapsychiatry.2015.2887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medicine.missouri.edu/centers-institutes-labs/health-ethics/faq/euthanasi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hchr.org/en/instruments-mechanisms/instruments/basic-principles-use-force-and-firearms-law-enforcement" TargetMode="External"/><Relationship Id="rId10" Type="http://schemas.openxmlformats.org/officeDocument/2006/relationships/hyperlink" Target="https://www.amnestykenya.org/death-sentences-and-executions-in-202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.lib.umn.edu/criminallaw/chapter/5-2-self-defense/" TargetMode="External"/><Relationship Id="rId14" Type="http://schemas.openxmlformats.org/officeDocument/2006/relationships/hyperlink" Target="https://open.lib.umn.edu/criminallaw/chapter/5-2-self-defen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358B0-7D4D-4DE6-A911-6B56EAA49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5</Pages>
  <Words>2025</Words>
  <Characters>16279</Characters>
  <Application>Microsoft Office Word</Application>
  <DocSecurity>0</DocSecurity>
  <Lines>255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2025-04-03T10:14:00Z</dcterms:created>
  <dcterms:modified xsi:type="dcterms:W3CDTF">2025-04-03T16:46:00Z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434bc21b-698e-4577-929b-0d60305782fb</vt:lpwstr>
  </property>
</Properties>
</file>