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9705F"/>
          <w:sz w:val="16"/>
        </w:rPr>
        <w:t>SMARTKISAN  ·  DISEASE MODEL ACCURACY  ·  14 SEPTEMBER 2026</w:t>
      </w:r>
    </w:p>
    <w:p>
      <w:r>
        <w:rPr>
          <w:b/>
          <w:color w:val="1A1E18"/>
          <w:sz w:val="44"/>
        </w:rPr>
        <w:t>Where it stands</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fill="F3F2ED"/>
          </w:tcPr>
          <w:p>
            <w:r>
              <w:rPr>
                <w:color w:val="69705F"/>
                <w:sz w:val="15"/>
              </w:rPr>
              <w:t>DISEASE IDENTIFIED</w:t>
              <w:br/>
            </w:r>
            <w:r>
              <w:rPr>
                <w:b/>
                <w:color w:val="2E7D32"/>
                <w:sz w:val="34"/>
              </w:rPr>
              <w:t>87%</w:t>
            </w:r>
            <w:r>
              <w:rPr>
                <w:color w:val="69705F"/>
                <w:sz w:val="16"/>
              </w:rPr>
              <w:br/>
              <w:t>Old model: 28%</w:t>
            </w:r>
          </w:p>
        </w:tc>
        <w:tc>
          <w:tcPr>
            <w:tcW w:type="dxa" w:w="2412"/>
            <w:shd w:val="clear" w:fill="F3F2ED"/>
          </w:tcPr>
          <w:p>
            <w:r>
              <w:rPr>
                <w:color w:val="69705F"/>
                <w:sz w:val="15"/>
              </w:rPr>
              <w:t>CROP IDENTIFIED</w:t>
              <w:br/>
            </w:r>
            <w:r>
              <w:rPr>
                <w:b/>
                <w:color w:val="2E7D32"/>
                <w:sz w:val="34"/>
              </w:rPr>
              <w:t>99%</w:t>
            </w:r>
            <w:r>
              <w:rPr>
                <w:color w:val="69705F"/>
                <w:sz w:val="16"/>
              </w:rPr>
              <w:br/>
              <w:t>Old model: 49%</w:t>
            </w:r>
          </w:p>
        </w:tc>
        <w:tc>
          <w:tcPr>
            <w:tcW w:type="dxa" w:w="2412"/>
            <w:shd w:val="clear" w:fill="F3F2ED"/>
          </w:tcPr>
          <w:p>
            <w:r>
              <w:rPr>
                <w:color w:val="69705F"/>
                <w:sz w:val="15"/>
              </w:rPr>
              <w:t>HEALTHY PLANT CALLED DISEASED</w:t>
              <w:br/>
            </w:r>
            <w:r>
              <w:rPr>
                <w:b/>
                <w:color w:val="2E7D32"/>
                <w:sz w:val="34"/>
              </w:rPr>
              <w:t>8%</w:t>
            </w:r>
            <w:r>
              <w:rPr>
                <w:color w:val="69705F"/>
                <w:sz w:val="16"/>
              </w:rPr>
              <w:br/>
              <w:t>Old model: 42%</w:t>
            </w:r>
          </w:p>
        </w:tc>
        <w:tc>
          <w:tcPr>
            <w:tcW w:type="dxa" w:w="2412"/>
            <w:shd w:val="clear" w:fill="F3F2ED"/>
          </w:tcPr>
          <w:p>
            <w:r>
              <w:rPr>
                <w:color w:val="69705F"/>
                <w:sz w:val="15"/>
              </w:rPr>
              <w:t>CROPS COVERED</w:t>
              <w:br/>
            </w:r>
            <w:r>
              <w:rPr>
                <w:b/>
                <w:color w:val="2E7D32"/>
                <w:sz w:val="34"/>
              </w:rPr>
              <w:t>9</w:t>
            </w:r>
            <w:r>
              <w:rPr>
                <w:color w:val="69705F"/>
                <w:sz w:val="16"/>
              </w:rPr>
              <w:br/>
              <w:t>Old model: 7</w:t>
            </w:r>
          </w:p>
        </w:tc>
      </w:tr>
      <w:tr>
        <w:tc>
          <w:tcPr>
            <w:tcW w:type="dxa" w:w="2412"/>
            <w:shd w:val="clear" w:fill="F3F2ED"/>
          </w:tcPr>
          <w:p>
            <w:r>
              <w:rPr>
                <w:color w:val="69705F"/>
                <w:sz w:val="16"/>
              </w:rPr>
              <w:t>Names the right disease, on 1,581 photographs</w:t>
            </w:r>
          </w:p>
        </w:tc>
        <w:tc>
          <w:tcPr>
            <w:tcW w:type="dxa" w:w="2412"/>
            <w:shd w:val="clear" w:fill="F3F2ED"/>
          </w:tcPr>
          <w:p>
            <w:r>
              <w:rPr>
                <w:color w:val="69705F"/>
                <w:sz w:val="16"/>
              </w:rPr>
              <w:t>Knows which plant it is looking at</w:t>
            </w:r>
          </w:p>
        </w:tc>
        <w:tc>
          <w:tcPr>
            <w:tcW w:type="dxa" w:w="2412"/>
            <w:shd w:val="clear" w:fill="F3F2ED"/>
          </w:tcPr>
          <w:p>
            <w:r>
              <w:rPr>
                <w:color w:val="69705F"/>
                <w:sz w:val="16"/>
              </w:rPr>
              <w:t>Sent the farmer to buy a fungicide he did not need</w:t>
            </w:r>
          </w:p>
        </w:tc>
        <w:tc>
          <w:tcPr>
            <w:tcW w:type="dxa" w:w="2412"/>
            <w:shd w:val="clear" w:fill="F3F2ED"/>
          </w:tcPr>
          <w:p>
            <w:r>
              <w:rPr>
                <w:color w:val="69705F"/>
                <w:sz w:val="16"/>
              </w:rPr>
              <w:t>Wheat and rice are new — most of our users grow them</w:t>
            </w:r>
          </w:p>
        </w:tc>
      </w:tr>
    </w:tbl>
    <w:p/>
    <w:p>
      <w:r>
        <w:drawing>
          <wp:inline xmlns:a="http://schemas.openxmlformats.org/drawingml/2006/main" xmlns:pic="http://schemas.openxmlformats.org/drawingml/2006/picture">
            <wp:extent cx="6126480" cy="2597095"/>
            <wp:docPr id="1" name="Picture 1"/>
            <wp:cNvGraphicFramePr>
              <a:graphicFrameLocks noChangeAspect="1"/>
            </wp:cNvGraphicFramePr>
            <a:graphic>
              <a:graphicData uri="http://schemas.openxmlformats.org/drawingml/2006/picture">
                <pic:pic>
                  <pic:nvPicPr>
                    <pic:cNvPr id="0" name="by_crop.png"/>
                    <pic:cNvPicPr/>
                  </pic:nvPicPr>
                  <pic:blipFill>
                    <a:blip r:embed="rId9"/>
                    <a:stretch>
                      <a:fillRect/>
                    </a:stretch>
                  </pic:blipFill>
                  <pic:spPr>
                    <a:xfrm>
                      <a:off x="0" y="0"/>
                      <a:ext cx="6126480" cy="2597095"/>
                    </a:xfrm>
                    <a:prstGeom prst="rect"/>
                  </pic:spPr>
                </pic:pic>
              </a:graphicData>
            </a:graphic>
          </wp:inline>
        </w:drawing>
      </w:r>
    </w:p>
    <w:p>
      <w:r>
        <w:rPr>
          <w:color w:val="69705F"/>
          <w:sz w:val="17"/>
        </w:rPr>
        <w:t>Both bars are our own training runs - the first one, and the one now live. The three crops on the left were the ones failing, and adding real field photographs is what fixed them. Rice and wheat worked from the first run and held. Soybean and squash have too few test images to read anything into. The model the app used until today is not on this chart: it had no rice or wheat classes, so there is no per-crop figure to set against these.</w:t>
      </w:r>
    </w:p>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Crop</w:t>
            </w:r>
          </w:p>
        </w:tc>
        <w:tc>
          <w:tcPr>
            <w:tcW w:type="dxa" w:w="2412"/>
          </w:tcPr>
          <w:p>
            <w:pPr>
              <w:jc w:val="right"/>
            </w:pPr>
            <w:r>
              <w:rPr>
                <w:b/>
                <w:sz w:val="18"/>
              </w:rPr>
              <w:t>First run</w:t>
            </w:r>
          </w:p>
        </w:tc>
        <w:tc>
          <w:tcPr>
            <w:tcW w:type="dxa" w:w="2412"/>
          </w:tcPr>
          <w:p>
            <w:pPr>
              <w:jc w:val="right"/>
            </w:pPr>
            <w:r>
              <w:rPr>
                <w:b/>
                <w:sz w:val="18"/>
              </w:rPr>
              <w:t>Now</w:t>
            </w:r>
          </w:p>
        </w:tc>
        <w:tc>
          <w:tcPr>
            <w:tcW w:type="dxa" w:w="2412"/>
          </w:tcPr>
          <w:p>
            <w:pPr>
              <w:jc w:val="right"/>
            </w:pPr>
            <w:r>
              <w:rPr>
                <w:b/>
                <w:sz w:val="18"/>
              </w:rPr>
              <w:t>Test images</w:t>
            </w:r>
          </w:p>
        </w:tc>
      </w:tr>
      <w:tr>
        <w:tc>
          <w:tcPr>
            <w:tcW w:type="dxa" w:w="2412"/>
          </w:tcPr>
          <w:p>
            <w:r>
              <w:rPr>
                <w:b/>
                <w:sz w:val="19"/>
              </w:rPr>
              <w:t>Tomato</w:t>
            </w:r>
            <w:r>
              <w:rPr>
                <w:color w:val="69705F"/>
                <w:sz w:val="15"/>
              </w:rPr>
              <w:br/>
              <w:t>The crop the testing team will reach for first</w:t>
            </w:r>
          </w:p>
        </w:tc>
        <w:tc>
          <w:tcPr>
            <w:tcW w:type="dxa" w:w="2412"/>
          </w:tcPr>
          <w:p>
            <w:pPr>
              <w:jc w:val="right"/>
            </w:pPr>
            <w:r>
              <w:rPr>
                <w:sz w:val="19"/>
              </w:rPr>
              <w:t>43.5%</w:t>
            </w:r>
          </w:p>
        </w:tc>
        <w:tc>
          <w:tcPr>
            <w:tcW w:type="dxa" w:w="2412"/>
          </w:tcPr>
          <w:p>
            <w:pPr>
              <w:jc w:val="right"/>
            </w:pPr>
            <w:r>
              <w:rPr>
                <w:b/>
                <w:color w:val="2E7D32"/>
                <w:sz w:val="19"/>
              </w:rPr>
              <w:t>88.0%</w:t>
            </w:r>
          </w:p>
        </w:tc>
        <w:tc>
          <w:tcPr>
            <w:tcW w:type="dxa" w:w="2412"/>
          </w:tcPr>
          <w:p>
            <w:pPr>
              <w:jc w:val="right"/>
            </w:pPr>
            <w:r>
              <w:rPr>
                <w:sz w:val="19"/>
              </w:rPr>
              <w:t>625</w:t>
            </w:r>
          </w:p>
        </w:tc>
      </w:tr>
      <w:tr>
        <w:tc>
          <w:tcPr>
            <w:tcW w:type="dxa" w:w="2412"/>
          </w:tcPr>
          <w:p>
            <w:r>
              <w:rPr>
                <w:b/>
                <w:sz w:val="19"/>
              </w:rPr>
              <w:t>Potato</w:t>
            </w:r>
            <w:r>
              <w:rPr>
                <w:color w:val="69705F"/>
                <w:sz w:val="15"/>
              </w:rPr>
              <w:br/>
              <w:t>Early blight against late blight was the failure</w:t>
            </w:r>
          </w:p>
        </w:tc>
        <w:tc>
          <w:tcPr>
            <w:tcW w:type="dxa" w:w="2412"/>
          </w:tcPr>
          <w:p>
            <w:pPr>
              <w:jc w:val="right"/>
            </w:pPr>
            <w:r>
              <w:rPr>
                <w:sz w:val="19"/>
              </w:rPr>
              <w:t>50.0%</w:t>
            </w:r>
          </w:p>
        </w:tc>
        <w:tc>
          <w:tcPr>
            <w:tcW w:type="dxa" w:w="2412"/>
          </w:tcPr>
          <w:p>
            <w:pPr>
              <w:jc w:val="right"/>
            </w:pPr>
            <w:r>
              <w:rPr>
                <w:b/>
                <w:color w:val="2E7D32"/>
                <w:sz w:val="19"/>
              </w:rPr>
              <w:t>85.7%</w:t>
            </w:r>
          </w:p>
        </w:tc>
        <w:tc>
          <w:tcPr>
            <w:tcW w:type="dxa" w:w="2412"/>
          </w:tcPr>
          <w:p>
            <w:pPr>
              <w:jc w:val="right"/>
            </w:pPr>
            <w:r>
              <w:rPr>
                <w:sz w:val="19"/>
              </w:rPr>
              <w:t>210</w:t>
            </w:r>
          </w:p>
        </w:tc>
      </w:tr>
      <w:tr>
        <w:tc>
          <w:tcPr>
            <w:tcW w:type="dxa" w:w="2412"/>
          </w:tcPr>
          <w:p>
            <w:r>
              <w:rPr>
                <w:b/>
                <w:sz w:val="19"/>
              </w:rPr>
              <w:t>Maize</w:t>
            </w:r>
            <w:r>
              <w:rPr>
                <w:color w:val="69705F"/>
                <w:sz w:val="15"/>
              </w:rPr>
              <w:br/>
              <w:t>Leaf blight against gray leaf spot</w:t>
            </w:r>
          </w:p>
        </w:tc>
        <w:tc>
          <w:tcPr>
            <w:tcW w:type="dxa" w:w="2412"/>
          </w:tcPr>
          <w:p>
            <w:pPr>
              <w:jc w:val="right"/>
            </w:pPr>
            <w:r>
              <w:rPr>
                <w:sz w:val="19"/>
              </w:rPr>
              <w:t>65.4%</w:t>
            </w:r>
          </w:p>
        </w:tc>
        <w:tc>
          <w:tcPr>
            <w:tcW w:type="dxa" w:w="2412"/>
          </w:tcPr>
          <w:p>
            <w:pPr>
              <w:jc w:val="right"/>
            </w:pPr>
            <w:r>
              <w:rPr>
                <w:b/>
                <w:color w:val="2E7D32"/>
                <w:sz w:val="19"/>
              </w:rPr>
              <w:t>81.7%</w:t>
            </w:r>
          </w:p>
        </w:tc>
        <w:tc>
          <w:tcPr>
            <w:tcW w:type="dxa" w:w="2412"/>
          </w:tcPr>
          <w:p>
            <w:pPr>
              <w:jc w:val="right"/>
            </w:pPr>
            <w:r>
              <w:rPr>
                <w:sz w:val="19"/>
              </w:rPr>
              <w:t>389</w:t>
            </w:r>
          </w:p>
        </w:tc>
      </w:tr>
      <w:tr>
        <w:tc>
          <w:tcPr>
            <w:tcW w:type="dxa" w:w="2412"/>
          </w:tcPr>
          <w:p>
            <w:r>
              <w:rPr>
                <w:sz w:val="19"/>
              </w:rPr>
              <w:t>Capsicum</w:t>
            </w:r>
          </w:p>
        </w:tc>
        <w:tc>
          <w:tcPr>
            <w:tcW w:type="dxa" w:w="2412"/>
          </w:tcPr>
          <w:p>
            <w:pPr>
              <w:jc w:val="right"/>
            </w:pPr>
            <w:r>
              <w:rPr>
                <w:sz w:val="19"/>
              </w:rPr>
              <w:t>82.4%</w:t>
            </w:r>
          </w:p>
        </w:tc>
        <w:tc>
          <w:tcPr>
            <w:tcW w:type="dxa" w:w="2412"/>
          </w:tcPr>
          <w:p>
            <w:pPr>
              <w:jc w:val="right"/>
            </w:pPr>
            <w:r>
              <w:rPr>
                <w:b/>
                <w:color w:val="2E7D32"/>
                <w:sz w:val="19"/>
              </w:rPr>
              <w:t>94.1%</w:t>
            </w:r>
          </w:p>
        </w:tc>
        <w:tc>
          <w:tcPr>
            <w:tcW w:type="dxa" w:w="2412"/>
          </w:tcPr>
          <w:p>
            <w:pPr>
              <w:jc w:val="right"/>
            </w:pPr>
            <w:r>
              <w:rPr>
                <w:sz w:val="19"/>
              </w:rPr>
              <w:t>17</w:t>
            </w:r>
          </w:p>
        </w:tc>
      </w:tr>
      <w:tr>
        <w:tc>
          <w:tcPr>
            <w:tcW w:type="dxa" w:w="2412"/>
          </w:tcPr>
          <w:p>
            <w:r>
              <w:rPr>
                <w:sz w:val="19"/>
              </w:rPr>
              <w:t>Rice</w:t>
            </w:r>
          </w:p>
        </w:tc>
        <w:tc>
          <w:tcPr>
            <w:tcW w:type="dxa" w:w="2412"/>
          </w:tcPr>
          <w:p>
            <w:pPr>
              <w:jc w:val="right"/>
            </w:pPr>
            <w:r>
              <w:rPr>
                <w:sz w:val="19"/>
              </w:rPr>
              <w:t>94.9%</w:t>
            </w:r>
          </w:p>
        </w:tc>
        <w:tc>
          <w:tcPr>
            <w:tcW w:type="dxa" w:w="2412"/>
          </w:tcPr>
          <w:p>
            <w:pPr>
              <w:jc w:val="right"/>
            </w:pPr>
            <w:r>
              <w:rPr>
                <w:sz w:val="19"/>
              </w:rPr>
              <w:t>92.4%</w:t>
            </w:r>
          </w:p>
        </w:tc>
        <w:tc>
          <w:tcPr>
            <w:tcW w:type="dxa" w:w="2412"/>
          </w:tcPr>
          <w:p>
            <w:pPr>
              <w:jc w:val="right"/>
            </w:pPr>
            <w:r>
              <w:rPr>
                <w:sz w:val="19"/>
              </w:rPr>
              <w:t>185</w:t>
            </w:r>
          </w:p>
        </w:tc>
      </w:tr>
      <w:tr>
        <w:tc>
          <w:tcPr>
            <w:tcW w:type="dxa" w:w="2412"/>
          </w:tcPr>
          <w:p>
            <w:r>
              <w:rPr>
                <w:sz w:val="19"/>
              </w:rPr>
              <w:t>Wheat</w:t>
            </w:r>
          </w:p>
        </w:tc>
        <w:tc>
          <w:tcPr>
            <w:tcW w:type="dxa" w:w="2412"/>
          </w:tcPr>
          <w:p>
            <w:pPr>
              <w:jc w:val="right"/>
            </w:pPr>
            <w:r>
              <w:rPr>
                <w:sz w:val="19"/>
              </w:rPr>
              <w:t>90.8%</w:t>
            </w:r>
          </w:p>
        </w:tc>
        <w:tc>
          <w:tcPr>
            <w:tcW w:type="dxa" w:w="2412"/>
          </w:tcPr>
          <w:p>
            <w:pPr>
              <w:jc w:val="right"/>
            </w:pPr>
            <w:r>
              <w:rPr>
                <w:sz w:val="19"/>
              </w:rPr>
              <w:t>90.1%</w:t>
            </w:r>
          </w:p>
        </w:tc>
        <w:tc>
          <w:tcPr>
            <w:tcW w:type="dxa" w:w="2412"/>
          </w:tcPr>
          <w:p>
            <w:pPr>
              <w:jc w:val="right"/>
            </w:pPr>
            <w:r>
              <w:rPr>
                <w:sz w:val="19"/>
              </w:rPr>
              <w:t>141</w:t>
            </w:r>
          </w:p>
        </w:tc>
      </w:tr>
      <w:tr>
        <w:tc>
          <w:tcPr>
            <w:tcW w:type="dxa" w:w="2412"/>
          </w:tcPr>
          <w:p>
            <w:r>
              <w:rPr>
                <w:sz w:val="19"/>
              </w:rPr>
              <w:t>Soybean</w:t>
            </w:r>
          </w:p>
        </w:tc>
        <w:tc>
          <w:tcPr>
            <w:tcW w:type="dxa" w:w="2412"/>
          </w:tcPr>
          <w:p>
            <w:pPr>
              <w:jc w:val="right"/>
            </w:pPr>
            <w:r>
              <w:rPr>
                <w:sz w:val="19"/>
              </w:rPr>
              <w:t>75.0%</w:t>
            </w:r>
          </w:p>
        </w:tc>
        <w:tc>
          <w:tcPr>
            <w:tcW w:type="dxa" w:w="2412"/>
          </w:tcPr>
          <w:p>
            <w:pPr>
              <w:jc w:val="right"/>
            </w:pPr>
            <w:r>
              <w:rPr>
                <w:sz w:val="19"/>
              </w:rPr>
              <w:t>75.0%</w:t>
            </w:r>
          </w:p>
        </w:tc>
        <w:tc>
          <w:tcPr>
            <w:tcW w:type="dxa" w:w="2412"/>
          </w:tcPr>
          <w:p>
            <w:pPr>
              <w:jc w:val="right"/>
            </w:pPr>
            <w:r>
              <w:rPr>
                <w:sz w:val="19"/>
              </w:rPr>
              <w:t>8</w:t>
            </w:r>
          </w:p>
        </w:tc>
      </w:tr>
      <w:tr>
        <w:tc>
          <w:tcPr>
            <w:tcW w:type="dxa" w:w="2412"/>
          </w:tcPr>
          <w:p>
            <w:r>
              <w:rPr>
                <w:sz w:val="19"/>
              </w:rPr>
              <w:t>Squash</w:t>
            </w:r>
          </w:p>
        </w:tc>
        <w:tc>
          <w:tcPr>
            <w:tcW w:type="dxa" w:w="2412"/>
          </w:tcPr>
          <w:p>
            <w:pPr>
              <w:jc w:val="right"/>
            </w:pPr>
            <w:r>
              <w:rPr>
                <w:sz w:val="19"/>
              </w:rPr>
              <w:t>100.0%</w:t>
            </w:r>
          </w:p>
        </w:tc>
        <w:tc>
          <w:tcPr>
            <w:tcW w:type="dxa" w:w="2412"/>
          </w:tcPr>
          <w:p>
            <w:pPr>
              <w:jc w:val="right"/>
            </w:pPr>
            <w:r>
              <w:rPr>
                <w:sz w:val="19"/>
              </w:rPr>
              <w:t>100.0%</w:t>
            </w:r>
          </w:p>
        </w:tc>
        <w:tc>
          <w:tcPr>
            <w:tcW w:type="dxa" w:w="2412"/>
          </w:tcPr>
          <w:p>
            <w:pPr>
              <w:jc w:val="right"/>
            </w:pPr>
            <w:r>
              <w:rPr>
                <w:sz w:val="19"/>
              </w:rPr>
              <w:t>6</w:t>
            </w:r>
          </w:p>
        </w:tc>
      </w:tr>
    </w:tbl>
    <w:p/>
    <w:p>
      <w:r>
        <w:rPr>
          <w:b/>
          <w:sz w:val="19"/>
        </w:rPr>
        <w:t xml:space="preserve">One caveat before quoting the crop figures. </w:t>
      </w:r>
      <w:r>
        <w:rPr>
          <w:sz w:val="19"/>
        </w:rPr>
        <w:t>Tomato, potato and maize are measured largely on newly added collections whose train/test splits we made ourselves, so they are the optimistic end. On the one split published by outside authors, the model scores 57%.</w:t>
      </w:r>
    </w:p>
    <w:p>
      <w:r>
        <w:rPr>
          <w:b/>
          <w:sz w:val="19"/>
        </w:rPr>
        <w:t xml:space="preserve">And on the 28% figure. </w:t>
      </w:r>
      <w:r>
        <w:rPr>
          <w:sz w:val="19"/>
        </w:rPr>
        <w:t>A fifth of the test set is rice and wheat, which the old model had no classes for and so could never have answered. Leaving those out, the old model scores about 35% and the new one about 86%. Both comparisons are real: 35% to 86% is the like-for-like one, and 28% to 87% is what a farmer actually experiences, since the rice and wheat photographs are ones he would have taken anyway.</w:t>
      </w:r>
    </w:p>
    <w:p>
      <w:r>
        <w:br w:type="page"/>
      </w:r>
    </w:p>
    <w:p>
      <w:r>
        <w:rPr>
          <w:b/>
          <w:sz w:val="30"/>
        </w:rPr>
        <w:t>When the app declines to answer</w:t>
      </w:r>
    </w:p>
    <w:p>
      <w:r>
        <w:rPr>
          <w:sz w:val="21"/>
        </w:rPr>
        <w:t>The app withholds a diagnosis below a confidence threshold and asks for a clearer photograph instead.</w:t>
      </w:r>
    </w:p>
    <w:p>
      <w:r>
        <w:drawing>
          <wp:inline xmlns:a="http://schemas.openxmlformats.org/drawingml/2006/main" xmlns:pic="http://schemas.openxmlformats.org/drawingml/2006/picture">
            <wp:extent cx="6126480" cy="2397318"/>
            <wp:docPr id="2" name="Picture 2"/>
            <wp:cNvGraphicFramePr>
              <a:graphicFrameLocks noChangeAspect="1"/>
            </wp:cNvGraphicFramePr>
            <a:graphic>
              <a:graphicData uri="http://schemas.openxmlformats.org/drawingml/2006/picture">
                <pic:pic>
                  <pic:nvPicPr>
                    <pic:cNvPr id="0" name="threshold.png"/>
                    <pic:cNvPicPr/>
                  </pic:nvPicPr>
                  <pic:blipFill>
                    <a:blip r:embed="rId10"/>
                    <a:stretch>
                      <a:fillRect/>
                    </a:stretch>
                  </pic:blipFill>
                  <pic:spPr>
                    <a:xfrm>
                      <a:off x="0" y="0"/>
                      <a:ext cx="6126480" cy="2397318"/>
                    </a:xfrm>
                    <a:prstGeom prst="rect"/>
                  </pic:spPr>
                </pic:pic>
              </a:graphicData>
            </a:graphic>
          </wp:inline>
        </w:drawing>
      </w:r>
    </w:p>
    <w:p>
      <w:r>
        <w:rPr>
          <w:color w:val="69705F"/>
          <w:sz w:val="17"/>
        </w:rPr>
        <w:t>Set to 80%: a quarter fewer wrong diagnoses reach the farmer, for six points of coverage. The previous model answered only 47% of scans at its 70% threshold, against 88% for this one at the same cut.</w:t>
      </w:r>
    </w:p>
    <w:p>
      <w:r>
        <w:rPr>
          <w:color w:val="69705F"/>
          <w:sz w:val="16"/>
        </w:rPr>
        <w:t>SmartKisan · Hbeonlabs Technologies Pvt. Ltd. · Measured on 1,581 held-out photographs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