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Project Design Phase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Solution Architecture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Date: 24 June 2025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Team ID: </w:t>
      </w:r>
      <w:r>
        <w:rPr>
          <w:rFonts w:ascii="Cambria" w:hAnsi="Cambria" w:cs="Cambria" w:eastAsia="Cambria"/>
          <w:color w:val="auto"/>
          <w:spacing w:val="0"/>
          <w:position w:val="0"/>
          <w:sz w:val="22"/>
          <w:shd w:fill="auto" w:val="clear"/>
        </w:rPr>
        <w:t xml:space="preserve">: LTVIP2025TMID38479</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Project Name: </w:t>
      </w:r>
      <w:r>
        <w:rPr>
          <w:rFonts w:ascii="Cambria" w:hAnsi="Cambria" w:cs="Cambria" w:eastAsia="Cambria"/>
          <w:color w:val="auto"/>
          <w:spacing w:val="0"/>
          <w:position w:val="0"/>
          <w:sz w:val="22"/>
          <w:shd w:fill="auto" w:val="clear"/>
        </w:rPr>
        <w:t xml:space="preserve">Citizen AI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Intelligent Citizen Engagement Platform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Maximum Marks: 4 Marks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Solution Architecture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solution architecture for </w:t>
      </w:r>
      <w:r>
        <w:rPr>
          <w:rFonts w:ascii="Cambria" w:hAnsi="Cambria" w:cs="Cambria" w:eastAsia="Cambria"/>
          <w:color w:val="auto"/>
          <w:spacing w:val="0"/>
          <w:position w:val="0"/>
          <w:sz w:val="22"/>
          <w:shd w:fill="auto" w:val="clear"/>
        </w:rPr>
        <w:t xml:space="preserve">Citizen AI i</w:t>
      </w:r>
      <w:r>
        <w:rPr>
          <w:rFonts w:ascii="Cambria" w:hAnsi="Cambria" w:cs="Cambria" w:eastAsia="Cambria"/>
          <w:color w:val="auto"/>
          <w:spacing w:val="0"/>
          <w:position w:val="0"/>
          <w:sz w:val="22"/>
          <w:shd w:fill="auto" w:val="clear"/>
        </w:rPr>
        <w:t xml:space="preserve">s designed to enable personalized, AI-powered learning experiences for students and educators. It bridges the gap between static and citizen content and dynamic, generative tools that adapt to each user. Key objectives of this architecture include:</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Designing an efficient and scalable system using Python and Streamlit.</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Integrating IBM Granite LLM for generating quiz questions and learning content.</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Ensuring role-based access control and storing user/quiz data using lightweight JSON files.</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Providing visualization and tracking of quiz results using Plotly and pandas.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Delivering an intuitive, interactive UI for both students and educators.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Solution Architecture Diagram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760">
          <v:rect xmlns:o="urn:schemas-microsoft-com:office:office" xmlns:v="urn:schemas-microsoft-com:vml" id="rectole0000000000" style="width:432.000000pt;height:28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