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Data Retention Policy</w:t>
      </w:r>
    </w:p>
    <w:p>
      <w:pPr>
        <w:pStyle w:val="Heading1"/>
      </w:pPr>
      <w:r>
        <w:t>1. Introduction</w:t>
      </w:r>
    </w:p>
    <w:p>
      <w:r>
        <w:t>This policy defines how Acme Corp classifies, retains, and disposes of company records. It applies to all employees, contractors, and systems that create or store company data.</w:t>
      </w:r>
    </w:p>
    <w:p>
      <w:pPr>
        <w:pStyle w:val="Heading1"/>
      </w:pPr>
      <w:r>
        <w:t>2. Scope</w:t>
      </w:r>
    </w:p>
    <w:p>
      <w:r>
        <w:t>This policy covers structured and unstructured records held in company systems, including customer records, email logs, and financial statements. Personal devices are out of scope.</w:t>
      </w:r>
    </w:p>
    <w:p>
      <w:pPr>
        <w:pStyle w:val="Heading1"/>
      </w:pPr>
      <w:r>
        <w:t>3. Retention Requirements</w:t>
      </w:r>
    </w:p>
    <w:p>
      <w:r>
        <w:t>Each data category below has a minimum retention period and a designated owner responsible for enforcement and disposal.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Category</w:t>
            </w:r>
          </w:p>
        </w:tc>
        <w:tc>
          <w:tcPr>
            <w:tcW w:type="dxa" w:w="2880"/>
          </w:tcPr>
          <w:p>
            <w:r>
              <w:t>Retention Period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Customer Records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Legal</w:t>
            </w:r>
          </w:p>
        </w:tc>
      </w:tr>
      <w:tr>
        <w:tc>
          <w:tcPr>
            <w:tcW w:type="dxa" w:w="2880"/>
          </w:tcPr>
          <w:p>
            <w:r>
              <w:t>Email Logs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IT Security</w:t>
            </w:r>
          </w:p>
        </w:tc>
      </w:tr>
      <w:tr>
        <w:tc>
          <w:tcPr>
            <w:tcW w:type="dxa" w:w="2880"/>
          </w:tcPr>
          <w:p>
            <w:r>
              <w:t>Financial Statements</w:t>
            </w:r>
          </w:p>
        </w:tc>
        <w:tc>
          <w:tcPr>
            <w:tcW w:type="dxa" w:w="2880"/>
          </w:tcPr>
          <w:p>
            <w:r>
              <w:t>10 years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</w:tbl>
    <w:p>
      <w:pPr>
        <w:pStyle w:val="Heading1"/>
      </w:pPr>
      <w:r>
        <w:t>4. Appendix: Exceptions</w:t>
      </w:r>
    </w:p>
    <w:p>
      <w:r>
        <w:t>Records subject to active legal hold are retained until the hold is released, regardless of the periods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