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5F"/>
          <w:sz w:val="56"/>
          <w:szCs w:val="56"/>
        </w:rPr>
        <w:t xml:space="preserve">JOB SEARCH COPILOT</w:t>
      </w:r>
    </w:p>
    <w:p>
      <w:pPr>
        <w:spacing w:after="100" w:before="200"/>
        <w:jc w:val="center"/>
      </w:pPr>
      <w:r>
        <w:rPr>
          <w:color w:val="595959"/>
          <w:sz w:val="28"/>
          <w:szCs w:val="28"/>
        </w:rPr>
        <w:t xml:space="preserve">Design &amp; Requirements Specification</w:t>
      </w:r>
    </w:p>
    <w:p>
      <w:pPr>
        <w:spacing w:after="1600"/>
        <w:jc w:val="center"/>
      </w:pPr>
      <w:r>
        <w:rPr>
          <w:i/>
          <w:iCs/>
          <w:color w:val="595959"/>
          <w:sz w:val="22"/>
          <w:szCs w:val="22"/>
        </w:rPr>
        <w:t xml:space="preserve">An end-to-end job search AI agent</w:t>
      </w:r>
    </w:p>
    <w:p>
      <w:pPr>
        <w:pBdr>
          <w:top w:val="single" w:color="1F4E5F" w:sz="6" w:space="8"/>
        </w:pBdr>
        <w:spacing w:after="4000"/>
        <w:jc w:val="center"/>
      </w:pPr>
    </w:p>
    <w:p>
      <w:pPr>
        <w:spacing w:after="40"/>
        <w:jc w:val="center"/>
      </w:pPr>
      <w:r>
        <w:rPr>
          <w:color w:val="595959"/>
          <w:sz w:val="20"/>
          <w:szCs w:val="20"/>
        </w:rPr>
        <w:t xml:space="preserve">Version 2.0</w:t>
      </w:r>
    </w:p>
    <w:p>
      <w:pPr>
        <w:jc w:val="center"/>
      </w:pPr>
      <w:r>
        <w:rPr>
          <w:color w:val="595959"/>
          <w:sz w:val="20"/>
          <w:szCs w:val="20"/>
        </w:rPr>
        <w:t xml:space="preserve">Job Search Copilot Project</w:t>
      </w:r>
    </w:p>
    <w:p>
      <w:r>
        <w:br w:type="page"/>
      </w:r>
    </w:p>
    <w:p>
      <w:pPr>
        <w:pStyle w:val="Heading1"/>
        <w:spacing w:after="200" w:before="400"/>
      </w:pPr>
      <w:r>
        <w:rPr>
          <w:b/>
          <w:bCs/>
          <w:color w:val="1F4E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4E5F"/>
          <w:sz w:val="30"/>
          <w:szCs w:val="30"/>
        </w:rPr>
        <w:t xml:space="preserve">1. Problem Statement</w:t>
      </w:r>
    </w:p>
    <w:p>
      <w:pPr>
        <w:spacing w:after="160" w:line="276"/>
      </w:pPr>
      <w:r>
        <w:rPr>
          <w:sz w:val="21"/>
          <w:szCs w:val="21"/>
        </w:rPr>
        <w:t xml:space="preserve">Job searching in the current market requires tracking a high volume of postings across many boards, tailoring applications to each one, and networking consistently. This work is time-consuming enough that a solo candidate misses relevant roles, applies with generic materials to high-value opportunities, and neglects networking due to the friction of figuring out what to say.</w:t>
      </w:r>
    </w:p>
    <w:p>
      <w:pPr>
        <w:spacing w:after="160" w:line="276"/>
      </w:pPr>
      <w:r>
        <w:rPr>
          <w:sz w:val="21"/>
          <w:szCs w:val="21"/>
        </w:rPr>
        <w:t xml:space="preserve">Job Search Copilot is an agentic system that observes job postings and market signals, makes judgment-based decisions on fit and required action, and produces ready-to-act outputs — a ranked digest, tailored resumes, outreach drafts, and autofilled applications — minimizing manual effort to the few steps that cannot be automated within legal and terms-of-service constraints, such as manually locating a contact on LinkedIn.</w:t>
      </w:r>
    </w:p>
    <w:p>
      <w:pPr>
        <w:spacing w:after="160" w:line="276"/>
      </w:pPr>
      <w:r>
        <w:rPr>
          <w:sz w:val="21"/>
          <w:szCs w:val="21"/>
        </w:rPr>
        <w:t xml:space="preserve">The system is built to be cloneable, so any job seeker can adopt it by supplying their own profile data.</w:t>
      </w:r>
    </w:p>
    <w:p>
      <w:pPr>
        <w:pStyle w:val="Heading1"/>
        <w:spacing w:after="200" w:before="400"/>
      </w:pPr>
      <w:r>
        <w:rPr>
          <w:b/>
          <w:bCs/>
          <w:color w:val="1F4E5F"/>
          <w:sz w:val="30"/>
          <w:szCs w:val="30"/>
        </w:rPr>
        <w:t xml:space="preserve">2. System Definition</w:t>
      </w:r>
    </w:p>
    <w:p>
      <w:pPr>
        <w:spacing w:after="160" w:line="276"/>
      </w:pPr>
      <w:r>
        <w:rPr>
          <w:sz w:val="21"/>
          <w:szCs w:val="21"/>
        </w:rPr>
        <w:t xml:space="preserve">Job Search Agent: a continuous running agent loop that observes job market signals — new listings, application status changes, elapsed time — and its own history, reasons about what each signal means given the candidate's profile and accumulated outcomes, and acts: scoring and ranking, drafting outreach, autofilling applications, flagging skill gaps, or queuing follow-ups. Each outcome is recorded back into state, shaping future reasoning.</w:t>
      </w:r>
    </w:p>
    <w:p>
      <w:pPr>
        <w:pStyle w:val="Heading2"/>
        <w:spacing w:after="150" w:before="300"/>
      </w:pPr>
      <w:r>
        <w:rPr>
          <w:b/>
          <w:bCs/>
          <w:color w:val="1F4E5F"/>
          <w:sz w:val="25"/>
          <w:szCs w:val="25"/>
        </w:rPr>
        <w:t xml:space="preserve">2.1 The Loop</w:t>
      </w:r>
    </w:p>
    <w:p>
      <w:pPr>
        <w:spacing w:after="160" w:line="276"/>
      </w:pPr>
      <w:r>
        <w:rPr>
          <w:b/>
          <w:bCs/>
          <w:color w:val="1F4E5F"/>
          <w:sz w:val="21"/>
          <w:szCs w:val="21"/>
        </w:rPr>
        <w:t xml:space="preserve">Observe → Reason → Act → Record → Wait → (back to Observe)</w:t>
      </w:r>
    </w:p>
    <w:p>
      <w:pPr>
        <w:pStyle w:val="ListParagraph"/>
        <w:numPr>
          <w:ilvl w:val="0"/>
          <w:numId w:val="2"/>
        </w:numPr>
        <w:spacing w:after="80" w:line="276"/>
      </w:pPr>
      <w:r>
        <w:rPr>
          <w:b/>
          <w:bCs/>
          <w:sz w:val="21"/>
          <w:szCs w:val="21"/>
        </w:rPr>
        <w:t xml:space="preserve">Observe: </w:t>
      </w:r>
      <w:r>
        <w:rPr>
          <w:sz w:val="21"/>
          <w:szCs w:val="21"/>
        </w:rPr>
        <w:t xml:space="preserve">new listings from collectors, application status changes, and time-elapsed triggers.</w:t>
      </w:r>
    </w:p>
    <w:p>
      <w:pPr>
        <w:pStyle w:val="ListParagraph"/>
        <w:numPr>
          <w:ilvl w:val="0"/>
          <w:numId w:val="2"/>
        </w:numPr>
        <w:spacing w:after="80" w:line="276"/>
      </w:pPr>
      <w:r>
        <w:rPr>
          <w:b/>
          <w:bCs/>
          <w:sz w:val="21"/>
          <w:szCs w:val="21"/>
        </w:rPr>
        <w:t xml:space="preserve">Reason (LLM): </w:t>
      </w:r>
      <w:r>
        <w:rPr>
          <w:sz w:val="21"/>
          <w:szCs w:val="21"/>
        </w:rPr>
        <w:t xml:space="preserve">evaluates a signal against the candidate's profile and accumulated history; decides discard versus pursue, and any bundled sub-actions.</w:t>
      </w:r>
    </w:p>
    <w:p>
      <w:pPr>
        <w:pStyle w:val="ListParagraph"/>
        <w:numPr>
          <w:ilvl w:val="0"/>
          <w:numId w:val="2"/>
        </w:numPr>
        <w:spacing w:after="80" w:line="276"/>
      </w:pPr>
      <w:r>
        <w:rPr>
          <w:b/>
          <w:bCs/>
          <w:sz w:val="21"/>
          <w:szCs w:val="21"/>
        </w:rPr>
        <w:t xml:space="preserve">Act (tool calls): </w:t>
      </w:r>
      <w:r>
        <w:rPr>
          <w:sz w:val="21"/>
          <w:szCs w:val="21"/>
        </w:rPr>
        <w:t xml:space="preserve">score and rank, generate a tailored resume, draft outreach, autofill, flag a skill gap, queue a follow-up, or take no action.</w:t>
      </w:r>
    </w:p>
    <w:p>
      <w:pPr>
        <w:pStyle w:val="ListParagraph"/>
        <w:numPr>
          <w:ilvl w:val="0"/>
          <w:numId w:val="2"/>
        </w:numPr>
        <w:spacing w:after="80" w:line="276"/>
      </w:pPr>
      <w:r>
        <w:rPr>
          <w:b/>
          <w:bCs/>
          <w:sz w:val="21"/>
          <w:szCs w:val="21"/>
        </w:rPr>
        <w:t xml:space="preserve">Record: </w:t>
      </w:r>
      <w:r>
        <w:rPr>
          <w:sz w:val="21"/>
          <w:szCs w:val="21"/>
        </w:rPr>
        <w:t xml:space="preserve">the outcome is written to state — applied, skipped, rejected, responded, ignored, or corrected.</w:t>
      </w:r>
    </w:p>
    <w:p>
      <w:pPr>
        <w:pStyle w:val="ListParagraph"/>
        <w:numPr>
          <w:ilvl w:val="0"/>
          <w:numId w:val="2"/>
        </w:numPr>
        <w:spacing w:after="80" w:line="276"/>
      </w:pPr>
      <w:r>
        <w:rPr>
          <w:b/>
          <w:bCs/>
          <w:sz w:val="21"/>
          <w:szCs w:val="21"/>
        </w:rPr>
        <w:t xml:space="preserve">Wait: </w:t>
      </w:r>
      <w:r>
        <w:rPr>
          <w:sz w:val="21"/>
          <w:szCs w:val="21"/>
        </w:rPr>
        <w:t xml:space="preserve">for the next trigger — a schedule tick, a new listing, a status change, or a user correction.</w:t>
      </w:r>
    </w:p>
    <w:p>
      <w:pPr>
        <w:spacing w:after="160" w:line="276"/>
      </w:pPr>
      <w:r>
        <w:rPr>
          <w:sz w:val="21"/>
          <w:szCs w:val="21"/>
        </w:rPr>
        <w:t xml:space="preserve">State (the database) is read by every Reason step and written by every Record step — it is the loop's memory, not merely a log. Record output feeds Reason on every subsequent iteration, which is what makes this a loop rather than a one-shot pipeline.</w:t>
      </w:r>
    </w:p>
    <w:p>
      <w:pPr>
        <w:spacing w:after="160" w:line="276"/>
      </w:pPr>
      <w:r>
        <w:rPr>
          <w:sz w:val="21"/>
          <w:szCs w:val="21"/>
        </w:rPr>
        <w:t xml:space="preserve">Deterministic layer (no LLM): collectors, scheduling, database read/write, email delivery, and browser automation mechanics.</w:t>
      </w:r>
    </w:p>
    <w:p>
      <w:pPr>
        <w:spacing w:after="160" w:line="276"/>
      </w:pPr>
      <w:r>
        <w:rPr>
          <w:sz w:val="21"/>
          <w:szCs w:val="21"/>
        </w:rPr>
        <w:t xml:space="preserve">Agentic layer (LLM): matching judgment with rationale, tool and action selection, skill-gap pattern synthesis, outreach drafting, unmapped-form field inference, and follow-up timing decisions.</w:t>
      </w:r>
    </w:p>
    <w:p>
      <w:pPr>
        <w:spacing w:after="160" w:line="276"/>
      </w:pPr>
      <w:r>
        <w:rPr>
          <w:sz w:val="21"/>
          <w:szCs w:val="21"/>
        </w:rPr>
        <w:t xml:space="preserve">Trigger types: scheduled (the daily digest pass), event-driven (status changes, user feedback or correction), and time-elapsed (no response after N days).</w:t>
      </w:r>
    </w:p>
    <w:p>
      <w:pPr>
        <w:pStyle w:val="Heading2"/>
        <w:spacing w:after="150" w:before="300"/>
      </w:pPr>
      <w:r>
        <w:rPr>
          <w:b/>
          <w:bCs/>
          <w:color w:val="1F4E5F"/>
          <w:sz w:val="25"/>
          <w:szCs w:val="25"/>
        </w:rPr>
        <w:t xml:space="preserve">2.2 Named Agent Tools</w:t>
      </w:r>
    </w:p>
    <w:p>
      <w:pPr>
        <w:spacing w:after="160" w:line="276"/>
      </w:pPr>
      <w:r>
        <w:rPr>
          <w:sz w:val="21"/>
          <w:szCs w:val="21"/>
        </w:rPr>
        <w:t xml:space="preserve">The Act step's decisions are implemented as a set of discrete, named functions that the agent selects from and chains per role. The LLM produces judgment — a verdict, score, and rationale — while the deterministic code layer decides which named tool to invoke next, rather than the LLM directly executing tool calls itself. This keeps consequential actions, such as application submission or message sending, gated behind explicit user approval enforced in code, rather than dependent on the model's own restraint.</w:t>
      </w:r>
    </w:p>
    <w:tbl>
      <w:tblPr>
        <w:tblW w:type="dxa" w:w="9350"/>
        <w:tblBorders>
          <w:top w:val="single" w:color="CBD5D9" w:sz="4"/>
          <w:left w:val="single" w:color="CBD5D9" w:sz="4"/>
          <w:bottom w:val="single" w:color="CBD5D9" w:sz="4"/>
          <w:right w:val="single" w:color="CBD5D9" w:sz="4"/>
          <w:insideH w:val="single" w:color="CBD5D9" w:sz="4"/>
          <w:insideV w:val="single" w:color="CBD5D9" w:sz="4"/>
        </w:tblBorders>
      </w:tblPr>
      <w:tblGrid>
        <w:gridCol w:w="3800"/>
        <w:gridCol w:w="5550"/>
      </w:tblGrid>
      <w:tr>
        <w:trPr>
          <w:tblHeader/>
        </w:trPr>
        <w:tc>
          <w:tcPr>
            <w:tcW w:type="dxa" w:w="3800"/>
            <w:shd w:fill="EAF1F3" w:color="auto" w:val="clear"/>
            <w:tcMar>
              <w:top w:type="dxa" w:w="100"/>
              <w:left w:type="dxa" w:w="120"/>
              <w:bottom w:type="dxa" w:w="100"/>
              <w:right w:type="dxa" w:w="120"/>
            </w:tcMar>
            <w:vAlign w:val="center"/>
          </w:tcPr>
          <w:p>
            <w:pPr>
              <w:jc w:val="left"/>
            </w:pPr>
            <w:r>
              <w:rPr>
                <w:b/>
                <w:bCs/>
                <w:sz w:val="20"/>
                <w:szCs w:val="20"/>
              </w:rPr>
              <w:t xml:space="preserve">Tool</w:t>
            </w:r>
          </w:p>
        </w:tc>
        <w:tc>
          <w:tcPr>
            <w:tcW w:type="dxa" w:w="5550"/>
            <w:shd w:fill="EAF1F3" w:color="auto" w:val="clear"/>
            <w:tcMar>
              <w:top w:type="dxa" w:w="100"/>
              <w:left w:type="dxa" w:w="120"/>
              <w:bottom w:type="dxa" w:w="100"/>
              <w:right w:type="dxa" w:w="120"/>
            </w:tcMar>
            <w:vAlign w:val="center"/>
          </w:tcPr>
          <w:p>
            <w:pPr>
              <w:jc w:val="left"/>
            </w:pPr>
            <w:r>
              <w:rPr>
                <w:b/>
                <w:bCs/>
                <w:sz w:val="20"/>
                <w:szCs w:val="20"/>
              </w:rPr>
              <w:t xml:space="preserve">Purpose</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fetch_job_posting(url)</w:t>
            </w:r>
          </w:p>
        </w:tc>
        <w:tc>
          <w:tcPr>
            <w:tcW w:type="dxa" w:w="5550"/>
            <w:tcMar>
              <w:top w:type="dxa" w:w="100"/>
              <w:left w:type="dxa" w:w="120"/>
              <w:bottom w:type="dxa" w:w="100"/>
              <w:right w:type="dxa" w:w="120"/>
            </w:tcMar>
            <w:vAlign w:val="center"/>
          </w:tcPr>
          <w:p>
            <w:pPr>
              <w:jc w:val="left"/>
            </w:pPr>
            <w:r>
              <w:rPr>
                <w:b w:val="false"/>
                <w:bCs w:val="false"/>
                <w:sz w:val="20"/>
                <w:szCs w:val="20"/>
              </w:rPr>
              <w:t xml:space="preserve">Pulls and normalizes job description text from a listing.</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check_referral_contacts(company)</w:t>
            </w:r>
          </w:p>
        </w:tc>
        <w:tc>
          <w:tcPr>
            <w:tcW w:type="dxa" w:w="5550"/>
            <w:tcMar>
              <w:top w:type="dxa" w:w="100"/>
              <w:left w:type="dxa" w:w="120"/>
              <w:bottom w:type="dxa" w:w="100"/>
              <w:right w:type="dxa" w:w="120"/>
            </w:tcMar>
            <w:vAlign w:val="center"/>
          </w:tcPr>
          <w:p>
            <w:pPr>
              <w:jc w:val="left"/>
            </w:pPr>
            <w:r>
              <w:rPr>
                <w:b w:val="false"/>
                <w:bCs w:val="false"/>
                <w:sz w:val="20"/>
                <w:szCs w:val="20"/>
              </w:rPr>
              <w:t xml:space="preserve">Looks up the user's own contacts database for an existing connection at that company.</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score_match(jd, resume, preferences, history)</w:t>
            </w:r>
          </w:p>
        </w:tc>
        <w:tc>
          <w:tcPr>
            <w:tcW w:type="dxa" w:w="5550"/>
            <w:tcMar>
              <w:top w:type="dxa" w:w="100"/>
              <w:left w:type="dxa" w:w="120"/>
              <w:bottom w:type="dxa" w:w="100"/>
              <w:right w:type="dxa" w:w="120"/>
            </w:tcMar>
            <w:vAlign w:val="center"/>
          </w:tcPr>
          <w:p>
            <w:pPr>
              <w:jc w:val="left"/>
            </w:pPr>
            <w:r>
              <w:rPr>
                <w:b w:val="false"/>
                <w:bCs w:val="false"/>
                <w:sz w:val="20"/>
                <w:szCs w:val="20"/>
              </w:rPr>
              <w:t xml:space="preserve">The Reason step's core judgment call — discard or pursue, with rationale.</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tailor_resume(jd, master_resume)</w:t>
            </w:r>
          </w:p>
        </w:tc>
        <w:tc>
          <w:tcPr>
            <w:tcW w:type="dxa" w:w="5550"/>
            <w:tcMar>
              <w:top w:type="dxa" w:w="100"/>
              <w:left w:type="dxa" w:w="120"/>
              <w:bottom w:type="dxa" w:w="100"/>
              <w:right w:type="dxa" w:w="120"/>
            </w:tcMar>
            <w:vAlign w:val="center"/>
          </w:tcPr>
          <w:p>
            <w:pPr>
              <w:jc w:val="left"/>
            </w:pPr>
            <w:r>
              <w:rPr>
                <w:b w:val="false"/>
                <w:bCs w:val="false"/>
                <w:sz w:val="20"/>
                <w:szCs w:val="20"/>
              </w:rPr>
              <w:t xml:space="preserve">Generates tailored resume content for a pursued role above the tailoring threshold.</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check_ats_compatibility(resume, jd)</w:t>
            </w:r>
          </w:p>
        </w:tc>
        <w:tc>
          <w:tcPr>
            <w:tcW w:type="dxa" w:w="5550"/>
            <w:tcMar>
              <w:top w:type="dxa" w:w="100"/>
              <w:left w:type="dxa" w:w="120"/>
              <w:bottom w:type="dxa" w:w="100"/>
              <w:right w:type="dxa" w:w="120"/>
            </w:tcMar>
            <w:vAlign w:val="center"/>
          </w:tcPr>
          <w:p>
            <w:pPr>
              <w:jc w:val="left"/>
            </w:pPr>
            <w:r>
              <w:rPr>
                <w:b w:val="false"/>
                <w:bCs w:val="false"/>
                <w:sz w:val="20"/>
                <w:szCs w:val="20"/>
              </w:rPr>
              <w:t xml:space="preserve">Computes keyword coverage percentage and a formatting pass/fail check on the generated resume.</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draft_outreach(contact_or_placeholder, company, role)</w:t>
            </w:r>
          </w:p>
        </w:tc>
        <w:tc>
          <w:tcPr>
            <w:tcW w:type="dxa" w:w="5550"/>
            <w:tcMar>
              <w:top w:type="dxa" w:w="100"/>
              <w:left w:type="dxa" w:w="120"/>
              <w:bottom w:type="dxa" w:w="100"/>
              <w:right w:type="dxa" w:w="120"/>
            </w:tcMar>
            <w:vAlign w:val="center"/>
          </w:tcPr>
          <w:p>
            <w:pPr>
              <w:jc w:val="left"/>
            </w:pPr>
            <w:r>
              <w:rPr>
                <w:b w:val="false"/>
                <w:bCs w:val="false"/>
                <w:sz w:val="20"/>
                <w:szCs w:val="20"/>
              </w:rPr>
              <w:t xml:space="preserve">Writes the outreach message, addressed or placeholder.</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analyze_skill_gap(jd, master_resume)</w:t>
            </w:r>
          </w:p>
        </w:tc>
        <w:tc>
          <w:tcPr>
            <w:tcW w:type="dxa" w:w="5550"/>
            <w:tcMar>
              <w:top w:type="dxa" w:w="100"/>
              <w:left w:type="dxa" w:w="120"/>
              <w:bottom w:type="dxa" w:w="100"/>
              <w:right w:type="dxa" w:w="120"/>
            </w:tcMar>
            <w:vAlign w:val="center"/>
          </w:tcPr>
          <w:p>
            <w:pPr>
              <w:jc w:val="left"/>
            </w:pPr>
            <w:r>
              <w:rPr>
                <w:b w:val="false"/>
                <w:bCs w:val="false"/>
                <w:sz w:val="20"/>
                <w:szCs w:val="20"/>
              </w:rPr>
              <w:t xml:space="preserve">Extracts missing or weak skills from a job description relative to the resume.</w:t>
            </w:r>
          </w:p>
        </w:tc>
      </w:tr>
      <w:tr>
        <w:tc>
          <w:tcPr>
            <w:tcW w:type="dxa" w:w="3800"/>
            <w:tcMar>
              <w:top w:type="dxa" w:w="100"/>
              <w:left w:type="dxa" w:w="120"/>
              <w:bottom w:type="dxa" w:w="100"/>
              <w:right w:type="dxa" w:w="120"/>
            </w:tcMar>
            <w:vAlign w:val="center"/>
          </w:tcPr>
          <w:p>
            <w:r>
              <w:rPr>
                <w:rFonts w:ascii="Consolas" w:cs="Consolas" w:eastAsia="Consolas" w:hAnsi="Consolas"/>
                <w:sz w:val="19"/>
                <w:szCs w:val="19"/>
              </w:rPr>
              <w:t xml:space="preserve">log_outcome(role_id, status)</w:t>
            </w:r>
          </w:p>
        </w:tc>
        <w:tc>
          <w:tcPr>
            <w:tcW w:type="dxa" w:w="5550"/>
            <w:tcMar>
              <w:top w:type="dxa" w:w="100"/>
              <w:left w:type="dxa" w:w="120"/>
              <w:bottom w:type="dxa" w:w="100"/>
              <w:right w:type="dxa" w:w="120"/>
            </w:tcMar>
            <w:vAlign w:val="center"/>
          </w:tcPr>
          <w:p>
            <w:pPr>
              <w:jc w:val="left"/>
            </w:pPr>
            <w:r>
              <w:rPr>
                <w:b w:val="false"/>
                <w:bCs w:val="false"/>
                <w:sz w:val="20"/>
                <w:szCs w:val="20"/>
              </w:rPr>
              <w:t xml:space="preserve">Writes the Record step's result to state.</w:t>
            </w:r>
          </w:p>
        </w:tc>
      </w:tr>
    </w:tbl>
    <w:p>
      <w:r>
        <w:br w:type="page"/>
      </w:r>
    </w:p>
    <w:p>
      <w:pPr>
        <w:pStyle w:val="Heading1"/>
        <w:spacing w:after="200" w:before="400"/>
      </w:pPr>
      <w:r>
        <w:rPr>
          <w:b/>
          <w:bCs/>
          <w:color w:val="1F4E5F"/>
          <w:sz w:val="30"/>
          <w:szCs w:val="30"/>
        </w:rPr>
        <w:t xml:space="preserve">3. Functional &amp; Non-Functional Requirements</w:t>
      </w:r>
    </w:p>
    <w:p>
      <w:pPr>
        <w:pStyle w:val="Heading2"/>
        <w:spacing w:after="150" w:before="300"/>
      </w:pPr>
      <w:r>
        <w:rPr>
          <w:b/>
          <w:bCs/>
          <w:color w:val="1F4E5F"/>
          <w:sz w:val="25"/>
          <w:szCs w:val="25"/>
        </w:rPr>
        <w:t xml:space="preserve">3.1 Functional Requirements</w:t>
      </w:r>
    </w:p>
    <w:tbl>
      <w:tblPr>
        <w:tblW w:type="dxa" w:w="9350"/>
        <w:tblBorders>
          <w:top w:val="single" w:color="CBD5D9" w:sz="4"/>
          <w:left w:val="single" w:color="CBD5D9" w:sz="4"/>
          <w:bottom w:val="single" w:color="CBD5D9" w:sz="4"/>
          <w:right w:val="single" w:color="CBD5D9" w:sz="4"/>
          <w:insideH w:val="single" w:color="CBD5D9" w:sz="4"/>
          <w:insideV w:val="single" w:color="CBD5D9" w:sz="4"/>
        </w:tblBorders>
      </w:tblPr>
      <w:tblGrid>
        <w:gridCol w:w="900"/>
        <w:gridCol w:w="1800"/>
        <w:gridCol w:w="6650"/>
      </w:tblGrid>
      <w:tr>
        <w:trPr>
          <w:tblHeader/>
        </w:trPr>
        <w:tc>
          <w:tcPr>
            <w:tcW w:type="dxa" w:w="900"/>
            <w:shd w:fill="EAF1F3" w:color="auto" w:val="clear"/>
            <w:tcMar>
              <w:top w:type="dxa" w:w="100"/>
              <w:left w:type="dxa" w:w="120"/>
              <w:bottom w:type="dxa" w:w="100"/>
              <w:right w:type="dxa" w:w="120"/>
            </w:tcMar>
            <w:vAlign w:val="center"/>
          </w:tcPr>
          <w:p>
            <w:pPr>
              <w:jc w:val="left"/>
            </w:pPr>
            <w:r>
              <w:rPr>
                <w:b/>
                <w:bCs/>
                <w:sz w:val="20"/>
                <w:szCs w:val="20"/>
              </w:rPr>
              <w:t xml:space="preserve">ID</w:t>
            </w:r>
          </w:p>
        </w:tc>
        <w:tc>
          <w:tcPr>
            <w:tcW w:type="dxa" w:w="1800"/>
            <w:shd w:fill="EAF1F3" w:color="auto" w:val="clear"/>
            <w:tcMar>
              <w:top w:type="dxa" w:w="100"/>
              <w:left w:type="dxa" w:w="120"/>
              <w:bottom w:type="dxa" w:w="100"/>
              <w:right w:type="dxa" w:w="120"/>
            </w:tcMar>
            <w:vAlign w:val="center"/>
          </w:tcPr>
          <w:p>
            <w:pPr>
              <w:jc w:val="left"/>
            </w:pPr>
            <w:r>
              <w:rPr>
                <w:b/>
                <w:bCs/>
                <w:sz w:val="20"/>
                <w:szCs w:val="20"/>
              </w:rPr>
              <w:t xml:space="preserve">Name</w:t>
            </w:r>
          </w:p>
        </w:tc>
        <w:tc>
          <w:tcPr>
            <w:tcW w:type="dxa" w:w="6650"/>
            <w:shd w:fill="EAF1F3" w:color="auto" w:val="clear"/>
            <w:tcMar>
              <w:top w:type="dxa" w:w="100"/>
              <w:left w:type="dxa" w:w="120"/>
              <w:bottom w:type="dxa" w:w="100"/>
              <w:right w:type="dxa" w:w="120"/>
            </w:tcMar>
            <w:vAlign w:val="center"/>
          </w:tcPr>
          <w:p>
            <w:pPr>
              <w:jc w:val="left"/>
            </w:pPr>
            <w:r>
              <w:rPr>
                <w:b/>
                <w:bCs/>
                <w:sz w:val="20"/>
                <w:szCs w:val="20"/>
              </w:rPr>
              <w:t xml:space="preserve">Description</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w:t>
            </w:r>
          </w:p>
        </w:tc>
        <w:tc>
          <w:tcPr>
            <w:tcW w:type="dxa" w:w="1800"/>
            <w:tcMar>
              <w:top w:type="dxa" w:w="100"/>
              <w:left w:type="dxa" w:w="120"/>
              <w:bottom w:type="dxa" w:w="100"/>
              <w:right w:type="dxa" w:w="120"/>
            </w:tcMar>
            <w:vAlign w:val="center"/>
          </w:tcPr>
          <w:p>
            <w:pPr>
              <w:jc w:val="left"/>
            </w:pPr>
            <w:r>
              <w:rPr>
                <w:b/>
                <w:bCs/>
                <w:sz w:val="20"/>
                <w:szCs w:val="20"/>
              </w:rPr>
              <w:t xml:space="preserve">Profile Intake</w:t>
            </w:r>
          </w:p>
        </w:tc>
        <w:tc>
          <w:tcPr>
            <w:tcW w:type="dxa" w:w="6650"/>
            <w:tcMar>
              <w:top w:type="dxa" w:w="100"/>
              <w:left w:type="dxa" w:w="120"/>
              <w:bottom w:type="dxa" w:w="100"/>
              <w:right w:type="dxa" w:w="120"/>
            </w:tcMar>
            <w:vAlign w:val="center"/>
          </w:tcPr>
          <w:p>
            <w:pPr>
              <w:jc w:val="left"/>
            </w:pPr>
            <w:r>
              <w:rPr>
                <w:b w:val="false"/>
                <w:bCs w:val="false"/>
                <w:sz w:val="20"/>
                <w:szCs w:val="20"/>
              </w:rPr>
              <w:t xml:space="preserve">Accepts resume, preferred roles, location and compensation preferences, dream-company list, and existing referral contacts as user-supplied configuration.</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FR2</w:t>
            </w:r>
          </w:p>
        </w:tc>
        <w:tc>
          <w:tcPr>
            <w:tcW w:type="dxa" w:w="1800"/>
            <w:tcMar>
              <w:top w:type="dxa" w:w="100"/>
              <w:left w:type="dxa" w:w="120"/>
              <w:bottom w:type="dxa" w:w="100"/>
              <w:right w:type="dxa" w:w="120"/>
            </w:tcMar>
            <w:vAlign w:val="center"/>
          </w:tcPr>
          <w:p>
            <w:pPr>
              <w:jc w:val="left"/>
            </w:pPr>
            <w:r>
              <w:rPr>
                <w:b/>
                <w:bCs/>
                <w:sz w:val="20"/>
                <w:szCs w:val="20"/>
              </w:rPr>
              <w:t xml:space="preserve">Listing Collection</w:t>
            </w:r>
          </w:p>
        </w:tc>
        <w:tc>
          <w:tcPr>
            <w:tcW w:type="dxa" w:w="6650"/>
            <w:tcMar>
              <w:top w:type="dxa" w:w="100"/>
              <w:left w:type="dxa" w:w="120"/>
              <w:bottom w:type="dxa" w:w="100"/>
              <w:right w:type="dxa" w:w="120"/>
            </w:tcMar>
            <w:vAlign w:val="center"/>
          </w:tcPr>
          <w:p>
            <w:pPr>
              <w:jc w:val="left"/>
            </w:pPr>
            <w:r>
              <w:rPr>
                <w:b w:val="false"/>
                <w:bCs w:val="false"/>
                <w:sz w:val="20"/>
                <w:szCs w:val="20"/>
              </w:rPr>
              <w:t xml:space="preserve">Collects job listings from verified, free, no-auth public sources: ATS platforms (Greenhouse, Lever, Ashby — direct from each company's own career page) and aggregator APIs (Adzuna India, RemoteOK, Himalayas). All configured sources are built and delivered together as a single feature.</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FR3</w:t>
            </w:r>
          </w:p>
        </w:tc>
        <w:tc>
          <w:tcPr>
            <w:tcW w:type="dxa" w:w="1800"/>
            <w:tcMar>
              <w:top w:type="dxa" w:w="100"/>
              <w:left w:type="dxa" w:w="120"/>
              <w:bottom w:type="dxa" w:w="100"/>
              <w:right w:type="dxa" w:w="120"/>
            </w:tcMar>
            <w:vAlign w:val="center"/>
          </w:tcPr>
          <w:p>
            <w:pPr>
              <w:jc w:val="left"/>
            </w:pPr>
            <w:r>
              <w:rPr>
                <w:b/>
                <w:bCs/>
                <w:sz w:val="20"/>
                <w:szCs w:val="20"/>
              </w:rPr>
              <w:t xml:space="preserve">Company-Specific Monitoring</w:t>
            </w:r>
          </w:p>
        </w:tc>
        <w:tc>
          <w:tcPr>
            <w:tcW w:type="dxa" w:w="6650"/>
            <w:tcMar>
              <w:top w:type="dxa" w:w="100"/>
              <w:left w:type="dxa" w:w="120"/>
              <w:bottom w:type="dxa" w:w="100"/>
              <w:right w:type="dxa" w:w="120"/>
            </w:tcMar>
            <w:vAlign w:val="center"/>
          </w:tcPr>
          <w:p>
            <w:pPr>
              <w:jc w:val="left"/>
            </w:pPr>
            <w:r>
              <w:rPr>
                <w:b w:val="false"/>
                <w:bCs w:val="false"/>
                <w:sz w:val="20"/>
                <w:szCs w:val="20"/>
              </w:rPr>
              <w:t xml:space="preserve">A custom, config-driven collector for companies with their own career page — each entry defined by company name, URL, and CSS selectors, with no code changes required. Supports multi-page crawling and JavaScript-rendered listings. New entries are picked up automatically on the next scheduled run. Delivered together with FR2 as one Listing Collection capability.</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FR4</w:t>
            </w:r>
          </w:p>
        </w:tc>
        <w:tc>
          <w:tcPr>
            <w:tcW w:type="dxa" w:w="1800"/>
            <w:tcMar>
              <w:top w:type="dxa" w:w="100"/>
              <w:left w:type="dxa" w:w="120"/>
              <w:bottom w:type="dxa" w:w="100"/>
              <w:right w:type="dxa" w:w="120"/>
            </w:tcMar>
            <w:vAlign w:val="center"/>
          </w:tcPr>
          <w:p>
            <w:pPr>
              <w:jc w:val="left"/>
            </w:pPr>
            <w:r>
              <w:rPr>
                <w:b/>
                <w:bCs/>
                <w:sz w:val="20"/>
                <w:szCs w:val="20"/>
              </w:rPr>
              <w:t xml:space="preserve">Deduplication</w:t>
            </w:r>
          </w:p>
        </w:tc>
        <w:tc>
          <w:tcPr>
            <w:tcW w:type="dxa" w:w="6650"/>
            <w:tcMar>
              <w:top w:type="dxa" w:w="100"/>
              <w:left w:type="dxa" w:w="120"/>
              <w:bottom w:type="dxa" w:w="100"/>
              <w:right w:type="dxa" w:w="120"/>
            </w:tcMar>
            <w:vAlign w:val="center"/>
          </w:tcPr>
          <w:p>
            <w:pPr>
              <w:jc w:val="left"/>
            </w:pPr>
            <w:r>
              <w:rPr>
                <w:b w:val="false"/>
                <w:bCs w:val="false"/>
                <w:sz w:val="20"/>
                <w:szCs w:val="20"/>
              </w:rPr>
              <w:t xml:space="preserve">Listings are deduplicated across all sources using the ATS-issued job ID where available, falling back to a normalized (company, title, location) composite key. A match on either key counts as a duplicate; the first-seen listing is kept and later sources are appended to a tracked source list rather than discarded.</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FR5</w:t>
            </w:r>
          </w:p>
        </w:tc>
        <w:tc>
          <w:tcPr>
            <w:tcW w:type="dxa" w:w="1800"/>
            <w:tcMar>
              <w:top w:type="dxa" w:w="100"/>
              <w:left w:type="dxa" w:w="120"/>
              <w:bottom w:type="dxa" w:w="100"/>
              <w:right w:type="dxa" w:w="120"/>
            </w:tcMar>
            <w:vAlign w:val="center"/>
          </w:tcPr>
          <w:p>
            <w:pPr>
              <w:jc w:val="left"/>
            </w:pPr>
            <w:r>
              <w:rPr>
                <w:b/>
                <w:bCs/>
                <w:sz w:val="20"/>
                <w:szCs w:val="20"/>
              </w:rPr>
              <w:t xml:space="preserve">Role Evaluation &amp; Adaptation</w:t>
            </w:r>
          </w:p>
        </w:tc>
        <w:tc>
          <w:tcPr>
            <w:tcW w:type="dxa" w:w="6650"/>
            <w:tcMar>
              <w:top w:type="dxa" w:w="100"/>
              <w:left w:type="dxa" w:w="120"/>
              <w:bottom w:type="dxa" w:w="100"/>
              <w:right w:type="dxa" w:w="120"/>
            </w:tcMar>
            <w:vAlign w:val="center"/>
          </w:tcPr>
          <w:p>
            <w:pPr>
              <w:jc w:val="left"/>
            </w:pPr>
            <w:r>
              <w:rPr>
                <w:b w:val="false"/>
                <w:bCs w:val="false"/>
                <w:sz w:val="20"/>
                <w:szCs w:val="20"/>
              </w:rPr>
              <w:t xml:space="preserve">For each new listing, the system evaluates fit against the candidate's profile, preferences, and accumulated historical outcomes, and classifies it as discard or pursue with a stated rationale. Historical outcomes (applied vs. skipped, rejected vs. responded, user corrections) actively feed back into this judgment on every subsequent evaluation, rather than being stored as an inert log.</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FR6</w:t>
            </w:r>
          </w:p>
        </w:tc>
        <w:tc>
          <w:tcPr>
            <w:tcW w:type="dxa" w:w="1800"/>
            <w:tcMar>
              <w:top w:type="dxa" w:w="100"/>
              <w:left w:type="dxa" w:w="120"/>
              <w:bottom w:type="dxa" w:w="100"/>
              <w:right w:type="dxa" w:w="120"/>
            </w:tcMar>
            <w:vAlign w:val="center"/>
          </w:tcPr>
          <w:p>
            <w:pPr>
              <w:jc w:val="left"/>
            </w:pPr>
            <w:r>
              <w:rPr>
                <w:b/>
                <w:bCs/>
                <w:sz w:val="20"/>
                <w:szCs w:val="20"/>
              </w:rPr>
              <w:t xml:space="preserve">Resume Tailoring</w:t>
            </w:r>
          </w:p>
        </w:tc>
        <w:tc>
          <w:tcPr>
            <w:tcW w:type="dxa" w:w="6650"/>
            <w:tcMar>
              <w:top w:type="dxa" w:w="100"/>
              <w:left w:type="dxa" w:w="120"/>
              <w:bottom w:type="dxa" w:w="100"/>
              <w:right w:type="dxa" w:w="120"/>
            </w:tcMar>
            <w:vAlign w:val="center"/>
          </w:tcPr>
          <w:p>
            <w:pPr>
              <w:jc w:val="left"/>
            </w:pPr>
            <w:r>
              <w:rPr>
                <w:b w:val="false"/>
                <w:bCs w:val="false"/>
                <w:sz w:val="20"/>
                <w:szCs w:val="20"/>
              </w:rPr>
              <w:t xml:space="preserve">For pursued roles, computes a match score; roles above a threshold trigger generation of a fully formatted, ATS-friendly tailored resume as a submittable PDF. The threshold self-adjusts based on observed outcome data over time. An ATS compatibility check (keyword coverage percentage and a formatting pass/fail check) is attached alongside the resume.</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FR7</w:t>
            </w:r>
          </w:p>
        </w:tc>
        <w:tc>
          <w:tcPr>
            <w:tcW w:type="dxa" w:w="1800"/>
            <w:tcMar>
              <w:top w:type="dxa" w:w="100"/>
              <w:left w:type="dxa" w:w="120"/>
              <w:bottom w:type="dxa" w:w="100"/>
              <w:right w:type="dxa" w:w="120"/>
            </w:tcMar>
            <w:vAlign w:val="center"/>
          </w:tcPr>
          <w:p>
            <w:pPr>
              <w:jc w:val="left"/>
            </w:pPr>
            <w:r>
              <w:rPr>
                <w:b/>
                <w:bCs/>
                <w:sz w:val="20"/>
                <w:szCs w:val="20"/>
              </w:rPr>
              <w:t xml:space="preserve">Daily Digest &amp; Dashboard</w:t>
            </w:r>
          </w:p>
        </w:tc>
        <w:tc>
          <w:tcPr>
            <w:tcW w:type="dxa" w:w="6650"/>
            <w:tcMar>
              <w:top w:type="dxa" w:w="100"/>
              <w:left w:type="dxa" w:w="120"/>
              <w:bottom w:type="dxa" w:w="100"/>
              <w:right w:type="dxa" w:w="120"/>
            </w:tcMar>
            <w:vAlign w:val="center"/>
          </w:tcPr>
          <w:p>
            <w:pPr>
              <w:jc w:val="left"/>
            </w:pPr>
            <w:r>
              <w:rPr>
                <w:b w:val="false"/>
                <w:bCs w:val="false"/>
                <w:sz w:val="20"/>
                <w:szCs w:val="20"/>
              </w:rPr>
              <w:t xml:space="preserve">Sends one daily nudge-only email pointing to the dashboard, where all digest content (roles, resumes, drafts) lives. Each pursued role can be resolved (applied or dismissed) from the dashboard. A day's digest is marked reviewed once every pursued role that day is resolved; if unresolved by end of day, a catch-up summary email is sent.</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FR9</w:t>
            </w:r>
          </w:p>
        </w:tc>
        <w:tc>
          <w:tcPr>
            <w:tcW w:type="dxa" w:w="1800"/>
            <w:tcMar>
              <w:top w:type="dxa" w:w="100"/>
              <w:left w:type="dxa" w:w="120"/>
              <w:bottom w:type="dxa" w:w="100"/>
              <w:right w:type="dxa" w:w="120"/>
            </w:tcMar>
            <w:vAlign w:val="center"/>
          </w:tcPr>
          <w:p>
            <w:pPr>
              <w:jc w:val="left"/>
            </w:pPr>
            <w:r>
              <w:rPr>
                <w:b/>
                <w:bCs/>
                <w:sz w:val="20"/>
                <w:szCs w:val="20"/>
              </w:rPr>
              <w:t xml:space="preserve">Application Autofill</w:t>
            </w:r>
          </w:p>
        </w:tc>
        <w:tc>
          <w:tcPr>
            <w:tcW w:type="dxa" w:w="6650"/>
            <w:tcMar>
              <w:top w:type="dxa" w:w="100"/>
              <w:left w:type="dxa" w:w="120"/>
              <w:bottom w:type="dxa" w:w="100"/>
              <w:right w:type="dxa" w:w="120"/>
            </w:tcMar>
            <w:vAlign w:val="center"/>
          </w:tcPr>
          <w:p>
            <w:pPr>
              <w:jc w:val="left"/>
            </w:pPr>
            <w:r>
              <w:rPr>
                <w:b w:val="false"/>
                <w:bCs w:val="false"/>
                <w:sz w:val="20"/>
                <w:szCs w:val="20"/>
              </w:rPr>
              <w:t xml:space="preserve">Autofills application forms across all supported ATS platforms (Greenhouse, Lever, Ashby, Workday, SuccessFactors) using tracked profile data; unmapped fields are inferred via LLM reasoning over form structure. The system always stops before submission — the user reviews and submits manually.</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FR10</w:t>
            </w:r>
          </w:p>
        </w:tc>
        <w:tc>
          <w:tcPr>
            <w:tcW w:type="dxa" w:w="1800"/>
            <w:tcMar>
              <w:top w:type="dxa" w:w="100"/>
              <w:left w:type="dxa" w:w="120"/>
              <w:bottom w:type="dxa" w:w="100"/>
              <w:right w:type="dxa" w:w="120"/>
            </w:tcMar>
            <w:vAlign w:val="center"/>
          </w:tcPr>
          <w:p>
            <w:pPr>
              <w:jc w:val="left"/>
            </w:pPr>
            <w:r>
              <w:rPr>
                <w:b/>
                <w:bCs/>
                <w:sz w:val="20"/>
                <w:szCs w:val="20"/>
              </w:rPr>
              <w:t xml:space="preserve">Follow-Up Nudges</w:t>
            </w:r>
          </w:p>
        </w:tc>
        <w:tc>
          <w:tcPr>
            <w:tcW w:type="dxa" w:w="6650"/>
            <w:tcMar>
              <w:top w:type="dxa" w:w="100"/>
              <w:left w:type="dxa" w:w="120"/>
              <w:bottom w:type="dxa" w:w="100"/>
              <w:right w:type="dxa" w:w="120"/>
            </w:tcMar>
            <w:vAlign w:val="center"/>
          </w:tcPr>
          <w:p>
            <w:pPr>
              <w:jc w:val="left"/>
            </w:pPr>
            <w:r>
              <w:rPr>
                <w:b w:val="false"/>
                <w:bCs w:val="false"/>
                <w:sz w:val="20"/>
                <w:szCs w:val="20"/>
              </w:rPr>
              <w:t xml:space="preserve">Applies only to dream-company roles or roles with a referral contact. Tracks a status (applied → no response → responded / rejected), drafts one follow-up message (not recurring) after a configurable threshold, and automatically marks a role expired if it remains unresolved past a configurable window.</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FR11</w:t>
            </w:r>
          </w:p>
        </w:tc>
        <w:tc>
          <w:tcPr>
            <w:tcW w:type="dxa" w:w="1800"/>
            <w:tcMar>
              <w:top w:type="dxa" w:w="100"/>
              <w:left w:type="dxa" w:w="120"/>
              <w:bottom w:type="dxa" w:w="100"/>
              <w:right w:type="dxa" w:w="120"/>
            </w:tcMar>
            <w:vAlign w:val="center"/>
          </w:tcPr>
          <w:p>
            <w:pPr>
              <w:jc w:val="left"/>
            </w:pPr>
            <w:r>
              <w:rPr>
                <w:b/>
                <w:bCs/>
                <w:sz w:val="20"/>
                <w:szCs w:val="20"/>
              </w:rPr>
              <w:t xml:space="preserve">Skill-Gap Synthesis</w:t>
            </w:r>
          </w:p>
        </w:tc>
        <w:tc>
          <w:tcPr>
            <w:tcW w:type="dxa" w:w="6650"/>
            <w:tcMar>
              <w:top w:type="dxa" w:w="100"/>
              <w:left w:type="dxa" w:w="120"/>
              <w:bottom w:type="dxa" w:w="100"/>
              <w:right w:type="dxa" w:w="120"/>
            </w:tcMar>
            <w:vAlign w:val="center"/>
          </w:tcPr>
          <w:p>
            <w:pPr>
              <w:jc w:val="left"/>
            </w:pPr>
            <w:r>
              <w:rPr>
                <w:b w:val="false"/>
                <w:bCs w:val="false"/>
                <w:sz w:val="20"/>
                <w:szCs w:val="20"/>
              </w:rPr>
              <w:t xml:space="preserve">Periodically analyzes patterns across all evaluated job descriptions — not only applied-to roles — to surface recurring skill or qualification gaps.</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FR12</w:t>
            </w:r>
          </w:p>
        </w:tc>
        <w:tc>
          <w:tcPr>
            <w:tcW w:type="dxa" w:w="1800"/>
            <w:tcMar>
              <w:top w:type="dxa" w:w="100"/>
              <w:left w:type="dxa" w:w="120"/>
              <w:bottom w:type="dxa" w:w="100"/>
              <w:right w:type="dxa" w:w="120"/>
            </w:tcMar>
            <w:vAlign w:val="center"/>
          </w:tcPr>
          <w:p>
            <w:pPr>
              <w:jc w:val="left"/>
            </w:pPr>
            <w:r>
              <w:rPr>
                <w:b/>
                <w:bCs/>
                <w:sz w:val="20"/>
                <w:szCs w:val="20"/>
              </w:rPr>
              <w:t xml:space="preserve">Application Tracking</w:t>
            </w:r>
          </w:p>
        </w:tc>
        <w:tc>
          <w:tcPr>
            <w:tcW w:type="dxa" w:w="6650"/>
            <w:tcMar>
              <w:top w:type="dxa" w:w="100"/>
              <w:left w:type="dxa" w:w="120"/>
              <w:bottom w:type="dxa" w:w="100"/>
              <w:right w:type="dxa" w:w="120"/>
            </w:tcMar>
            <w:vAlign w:val="center"/>
          </w:tcPr>
          <w:p>
            <w:pPr>
              <w:jc w:val="left"/>
            </w:pPr>
            <w:r>
              <w:rPr>
                <w:b w:val="false"/>
                <w:bCs w:val="false"/>
                <w:sz w:val="20"/>
                <w:szCs w:val="20"/>
              </w:rPr>
              <w:t xml:space="preserve">Records status (discarded, pursued, applied, rejected, interviewing, etc.) for every evaluated role, and last-touch context for contacts. Forms the state backbone that every other feature reads from and writes to.</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FR14</w:t>
            </w:r>
          </w:p>
        </w:tc>
        <w:tc>
          <w:tcPr>
            <w:tcW w:type="dxa" w:w="1800"/>
            <w:tcMar>
              <w:top w:type="dxa" w:w="100"/>
              <w:left w:type="dxa" w:w="120"/>
              <w:bottom w:type="dxa" w:w="100"/>
              <w:right w:type="dxa" w:w="120"/>
            </w:tcMar>
            <w:vAlign w:val="center"/>
          </w:tcPr>
          <w:p>
            <w:pPr>
              <w:jc w:val="left"/>
            </w:pPr>
            <w:r>
              <w:rPr>
                <w:b/>
                <w:bCs/>
                <w:sz w:val="20"/>
                <w:szCs w:val="20"/>
              </w:rPr>
              <w:t xml:space="preserve">Cloneability</w:t>
            </w:r>
          </w:p>
        </w:tc>
        <w:tc>
          <w:tcPr>
            <w:tcW w:type="dxa" w:w="6650"/>
            <w:tcMar>
              <w:top w:type="dxa" w:w="100"/>
              <w:left w:type="dxa" w:w="120"/>
              <w:bottom w:type="dxa" w:w="100"/>
              <w:right w:type="dxa" w:w="120"/>
            </w:tcMar>
            <w:vAlign w:val="center"/>
          </w:tcPr>
          <w:p>
            <w:pPr>
              <w:jc w:val="left"/>
            </w:pPr>
            <w:r>
              <w:rPr>
                <w:b w:val="false"/>
                <w:bCs w:val="false"/>
                <w:sz w:val="20"/>
                <w:szCs w:val="20"/>
              </w:rPr>
              <w:t xml:space="preserve">The system is usable by a new user via a single profile configuration edit and credential setup; no user-specific logic is hardcoded anywhere else in the codebase.</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FR15</w:t>
            </w:r>
          </w:p>
        </w:tc>
        <w:tc>
          <w:tcPr>
            <w:tcW w:type="dxa" w:w="1800"/>
            <w:tcMar>
              <w:top w:type="dxa" w:w="100"/>
              <w:left w:type="dxa" w:w="120"/>
              <w:bottom w:type="dxa" w:w="100"/>
              <w:right w:type="dxa" w:w="120"/>
            </w:tcMar>
            <w:vAlign w:val="center"/>
          </w:tcPr>
          <w:p>
            <w:pPr>
              <w:jc w:val="left"/>
            </w:pPr>
            <w:r>
              <w:rPr>
                <w:b/>
                <w:bCs/>
                <w:sz w:val="20"/>
                <w:szCs w:val="20"/>
              </w:rPr>
              <w:t xml:space="preserve">LLM Provider Independence</w:t>
            </w:r>
          </w:p>
        </w:tc>
        <w:tc>
          <w:tcPr>
            <w:tcW w:type="dxa" w:w="6650"/>
            <w:tcMar>
              <w:top w:type="dxa" w:w="100"/>
              <w:left w:type="dxa" w:w="120"/>
              <w:bottom w:type="dxa" w:w="100"/>
              <w:right w:type="dxa" w:w="120"/>
            </w:tcMar>
            <w:vAlign w:val="center"/>
          </w:tcPr>
          <w:p>
            <w:pPr>
              <w:jc w:val="left"/>
            </w:pPr>
            <w:r>
              <w:rPr>
                <w:b w:val="false"/>
                <w:bCs w:val="false"/>
                <w:sz w:val="20"/>
                <w:szCs w:val="20"/>
              </w:rPr>
              <w:t xml:space="preserve">All LLM calls route through a provider-agnostic abstraction layer (LiteLLM), configurable per instance via a single field, with no hardcoded dependency on any one paid API. A clone may run entirely on free or local models.</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FR16</w:t>
            </w:r>
          </w:p>
        </w:tc>
        <w:tc>
          <w:tcPr>
            <w:tcW w:type="dxa" w:w="1800"/>
            <w:tcMar>
              <w:top w:type="dxa" w:w="100"/>
              <w:left w:type="dxa" w:w="120"/>
              <w:bottom w:type="dxa" w:w="100"/>
              <w:right w:type="dxa" w:w="120"/>
            </w:tcMar>
            <w:vAlign w:val="center"/>
          </w:tcPr>
          <w:p>
            <w:pPr>
              <w:jc w:val="left"/>
            </w:pPr>
            <w:r>
              <w:rPr>
                <w:b/>
                <w:bCs/>
                <w:sz w:val="20"/>
                <w:szCs w:val="20"/>
              </w:rPr>
              <w:t xml:space="preserve">Opt-In Shared Mode</w:t>
            </w:r>
          </w:p>
        </w:tc>
        <w:tc>
          <w:tcPr>
            <w:tcW w:type="dxa" w:w="6650"/>
            <w:tcMar>
              <w:top w:type="dxa" w:w="100"/>
              <w:left w:type="dxa" w:w="120"/>
              <w:bottom w:type="dxa" w:w="100"/>
              <w:right w:type="dxa" w:w="120"/>
            </w:tcMar>
            <w:vAlign w:val="center"/>
          </w:tcPr>
          <w:p>
            <w:pPr>
              <w:jc w:val="left"/>
            </w:pPr>
            <w:r>
              <w:rPr>
                <w:b w:val="false"/>
                <w:bCs w:val="false"/>
                <w:sz w:val="20"/>
                <w:szCs w:val="20"/>
              </w:rPr>
              <w:t xml:space="preserve">Defaults to mode: single — a fully standalone instance. A user may optionally set mode: shared and configure partner instances (separate Supabase project plus a read-only key, scoped to that partner's contacts and skill-gap data only). No other data is ever shared, and the entire code path is inactive by default.</w:t>
            </w:r>
          </w:p>
        </w:tc>
      </w:tr>
    </w:tbl>
    <w:p>
      <w:pPr>
        <w:pStyle w:val="Heading2"/>
        <w:spacing w:after="150" w:before="300"/>
      </w:pPr>
      <w:r>
        <w:rPr>
          <w:b/>
          <w:bCs/>
          <w:color w:val="1F4E5F"/>
          <w:sz w:val="25"/>
          <w:szCs w:val="25"/>
        </w:rPr>
        <w:t xml:space="preserve">3.2 Non-Functional Requirements</w:t>
      </w:r>
    </w:p>
    <w:tbl>
      <w:tblPr>
        <w:tblW w:type="dxa" w:w="9350"/>
        <w:tblBorders>
          <w:top w:val="single" w:color="CBD5D9" w:sz="4"/>
          <w:left w:val="single" w:color="CBD5D9" w:sz="4"/>
          <w:bottom w:val="single" w:color="CBD5D9" w:sz="4"/>
          <w:right w:val="single" w:color="CBD5D9" w:sz="4"/>
          <w:insideH w:val="single" w:color="CBD5D9" w:sz="4"/>
          <w:insideV w:val="single" w:color="CBD5D9" w:sz="4"/>
        </w:tblBorders>
      </w:tblPr>
      <w:tblGrid>
        <w:gridCol w:w="900"/>
        <w:gridCol w:w="1800"/>
        <w:gridCol w:w="6650"/>
      </w:tblGrid>
      <w:tr>
        <w:trPr>
          <w:tblHeader/>
        </w:trPr>
        <w:tc>
          <w:tcPr>
            <w:tcW w:type="dxa" w:w="900"/>
            <w:shd w:fill="EAF1F3" w:color="auto" w:val="clear"/>
            <w:tcMar>
              <w:top w:type="dxa" w:w="100"/>
              <w:left w:type="dxa" w:w="120"/>
              <w:bottom w:type="dxa" w:w="100"/>
              <w:right w:type="dxa" w:w="120"/>
            </w:tcMar>
            <w:vAlign w:val="center"/>
          </w:tcPr>
          <w:p>
            <w:pPr>
              <w:jc w:val="left"/>
            </w:pPr>
            <w:r>
              <w:rPr>
                <w:b/>
                <w:bCs/>
                <w:sz w:val="20"/>
                <w:szCs w:val="20"/>
              </w:rPr>
              <w:t xml:space="preserve">ID</w:t>
            </w:r>
          </w:p>
        </w:tc>
        <w:tc>
          <w:tcPr>
            <w:tcW w:type="dxa" w:w="1800"/>
            <w:shd w:fill="EAF1F3" w:color="auto" w:val="clear"/>
            <w:tcMar>
              <w:top w:type="dxa" w:w="100"/>
              <w:left w:type="dxa" w:w="120"/>
              <w:bottom w:type="dxa" w:w="100"/>
              <w:right w:type="dxa" w:w="120"/>
            </w:tcMar>
            <w:vAlign w:val="center"/>
          </w:tcPr>
          <w:p>
            <w:pPr>
              <w:jc w:val="left"/>
            </w:pPr>
            <w:r>
              <w:rPr>
                <w:b/>
                <w:bCs/>
                <w:sz w:val="20"/>
                <w:szCs w:val="20"/>
              </w:rPr>
              <w:t xml:space="preserve">Name</w:t>
            </w:r>
          </w:p>
        </w:tc>
        <w:tc>
          <w:tcPr>
            <w:tcW w:type="dxa" w:w="6650"/>
            <w:shd w:fill="EAF1F3" w:color="auto" w:val="clear"/>
            <w:tcMar>
              <w:top w:type="dxa" w:w="100"/>
              <w:left w:type="dxa" w:w="120"/>
              <w:bottom w:type="dxa" w:w="100"/>
              <w:right w:type="dxa" w:w="120"/>
            </w:tcMar>
            <w:vAlign w:val="center"/>
          </w:tcPr>
          <w:p>
            <w:pPr>
              <w:jc w:val="left"/>
            </w:pPr>
            <w:r>
              <w:rPr>
                <w:b/>
                <w:bCs/>
                <w:sz w:val="20"/>
                <w:szCs w:val="20"/>
              </w:rPr>
              <w:t xml:space="preserve">Description</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NFR1</w:t>
            </w:r>
          </w:p>
        </w:tc>
        <w:tc>
          <w:tcPr>
            <w:tcW w:type="dxa" w:w="1800"/>
            <w:tcMar>
              <w:top w:type="dxa" w:w="100"/>
              <w:left w:type="dxa" w:w="120"/>
              <w:bottom w:type="dxa" w:w="100"/>
              <w:right w:type="dxa" w:w="120"/>
            </w:tcMar>
            <w:vAlign w:val="center"/>
          </w:tcPr>
          <w:p>
            <w:pPr>
              <w:jc w:val="left"/>
            </w:pPr>
            <w:r>
              <w:rPr>
                <w:b/>
                <w:bCs/>
                <w:sz w:val="20"/>
                <w:szCs w:val="20"/>
              </w:rPr>
              <w:t xml:space="preserve">Human Approval Gate</w:t>
            </w:r>
          </w:p>
        </w:tc>
        <w:tc>
          <w:tcPr>
            <w:tcW w:type="dxa" w:w="6650"/>
            <w:tcMar>
              <w:top w:type="dxa" w:w="100"/>
              <w:left w:type="dxa" w:w="120"/>
              <w:bottom w:type="dxa" w:w="100"/>
              <w:right w:type="dxa" w:w="120"/>
            </w:tcMar>
            <w:vAlign w:val="center"/>
          </w:tcPr>
          <w:p>
            <w:pPr>
              <w:jc w:val="left"/>
            </w:pPr>
            <w:r>
              <w:rPr>
                <w:b w:val="false"/>
                <w:bCs w:val="false"/>
                <w:sz w:val="20"/>
                <w:szCs w:val="20"/>
              </w:rPr>
              <w:t xml:space="preserve">No consequential action (application submission, message sending) executes without explicit user review and approval, by default.</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NFR2</w:t>
            </w:r>
          </w:p>
        </w:tc>
        <w:tc>
          <w:tcPr>
            <w:tcW w:type="dxa" w:w="1800"/>
            <w:tcMar>
              <w:top w:type="dxa" w:w="100"/>
              <w:left w:type="dxa" w:w="120"/>
              <w:bottom w:type="dxa" w:w="100"/>
              <w:right w:type="dxa" w:w="120"/>
            </w:tcMar>
            <w:vAlign w:val="center"/>
          </w:tcPr>
          <w:p>
            <w:pPr>
              <w:jc w:val="left"/>
            </w:pPr>
            <w:r>
              <w:rPr>
                <w:b/>
                <w:bCs/>
                <w:sz w:val="20"/>
                <w:szCs w:val="20"/>
              </w:rPr>
              <w:t xml:space="preserve">Low Ongoing Manual Effort</w:t>
            </w:r>
          </w:p>
        </w:tc>
        <w:tc>
          <w:tcPr>
            <w:tcW w:type="dxa" w:w="6650"/>
            <w:tcMar>
              <w:top w:type="dxa" w:w="100"/>
              <w:left w:type="dxa" w:w="120"/>
              <w:bottom w:type="dxa" w:w="100"/>
              <w:right w:type="dxa" w:w="120"/>
            </w:tcMar>
            <w:vAlign w:val="center"/>
          </w:tcPr>
          <w:p>
            <w:pPr>
              <w:jc w:val="left"/>
            </w:pPr>
            <w:r>
              <w:rPr>
                <w:b w:val="false"/>
                <w:bCs w:val="false"/>
                <w:sz w:val="20"/>
                <w:szCs w:val="20"/>
              </w:rPr>
              <w:t xml:space="preserve">Beyond initial setup and the irreducible manual step of locating contacts on LinkedIn, the system requires no regular manual maintenance to keep functioning.</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NFR3</w:t>
            </w:r>
          </w:p>
        </w:tc>
        <w:tc>
          <w:tcPr>
            <w:tcW w:type="dxa" w:w="1800"/>
            <w:tcMar>
              <w:top w:type="dxa" w:w="100"/>
              <w:left w:type="dxa" w:w="120"/>
              <w:bottom w:type="dxa" w:w="100"/>
              <w:right w:type="dxa" w:w="120"/>
            </w:tcMar>
            <w:vAlign w:val="center"/>
          </w:tcPr>
          <w:p>
            <w:pPr>
              <w:jc w:val="left"/>
            </w:pPr>
            <w:r>
              <w:rPr>
                <w:b/>
                <w:bCs/>
                <w:sz w:val="20"/>
                <w:szCs w:val="20"/>
              </w:rPr>
              <w:t xml:space="preserve">Reliability of Sourcing</w:t>
            </w:r>
          </w:p>
        </w:tc>
        <w:tc>
          <w:tcPr>
            <w:tcW w:type="dxa" w:w="6650"/>
            <w:tcMar>
              <w:top w:type="dxa" w:w="100"/>
              <w:left w:type="dxa" w:w="120"/>
              <w:bottom w:type="dxa" w:w="100"/>
              <w:right w:type="dxa" w:w="120"/>
            </w:tcMar>
            <w:vAlign w:val="center"/>
          </w:tcPr>
          <w:p>
            <w:pPr>
              <w:jc w:val="left"/>
            </w:pPr>
            <w:r>
              <w:rPr>
                <w:b w:val="false"/>
                <w:bCs w:val="false"/>
                <w:sz w:val="20"/>
                <w:szCs w:val="20"/>
              </w:rPr>
              <w:t xml:space="preserve">Collectors degrade gracefully — a broken or unavailable source is skipped and logged rather than failing the entire loop.</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NFR4</w:t>
            </w:r>
          </w:p>
        </w:tc>
        <w:tc>
          <w:tcPr>
            <w:tcW w:type="dxa" w:w="1800"/>
            <w:tcMar>
              <w:top w:type="dxa" w:w="100"/>
              <w:left w:type="dxa" w:w="120"/>
              <w:bottom w:type="dxa" w:w="100"/>
              <w:right w:type="dxa" w:w="120"/>
            </w:tcMar>
            <w:vAlign w:val="center"/>
          </w:tcPr>
          <w:p>
            <w:pPr>
              <w:jc w:val="left"/>
            </w:pPr>
            <w:r>
              <w:rPr>
                <w:b/>
                <w:bCs/>
                <w:sz w:val="20"/>
                <w:szCs w:val="20"/>
              </w:rPr>
              <w:t xml:space="preserve">Auditability</w:t>
            </w:r>
          </w:p>
        </w:tc>
        <w:tc>
          <w:tcPr>
            <w:tcW w:type="dxa" w:w="6650"/>
            <w:tcMar>
              <w:top w:type="dxa" w:w="100"/>
              <w:left w:type="dxa" w:w="120"/>
              <w:bottom w:type="dxa" w:w="100"/>
              <w:right w:type="dxa" w:w="120"/>
            </w:tcMar>
            <w:vAlign w:val="center"/>
          </w:tcPr>
          <w:p>
            <w:pPr>
              <w:jc w:val="left"/>
            </w:pPr>
            <w:r>
              <w:rPr>
                <w:b w:val="false"/>
                <w:bCs w:val="false"/>
                <w:sz w:val="20"/>
                <w:szCs w:val="20"/>
              </w:rPr>
              <w:t xml:space="preserve">Every discard, pursue, tailoring, and outreach decision is recorded with a rationale, so the user can review why the agent acted as it did.</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NFR5</w:t>
            </w:r>
          </w:p>
        </w:tc>
        <w:tc>
          <w:tcPr>
            <w:tcW w:type="dxa" w:w="1800"/>
            <w:tcMar>
              <w:top w:type="dxa" w:w="100"/>
              <w:left w:type="dxa" w:w="120"/>
              <w:bottom w:type="dxa" w:w="100"/>
              <w:right w:type="dxa" w:w="120"/>
            </w:tcMar>
            <w:vAlign w:val="center"/>
          </w:tcPr>
          <w:p>
            <w:pPr>
              <w:jc w:val="left"/>
            </w:pPr>
            <w:r>
              <w:rPr>
                <w:b/>
                <w:bCs/>
                <w:sz w:val="20"/>
                <w:szCs w:val="20"/>
              </w:rPr>
              <w:t xml:space="preserve">Portability &amp; Reusability</w:t>
            </w:r>
          </w:p>
        </w:tc>
        <w:tc>
          <w:tcPr>
            <w:tcW w:type="dxa" w:w="6650"/>
            <w:tcMar>
              <w:top w:type="dxa" w:w="100"/>
              <w:left w:type="dxa" w:w="120"/>
              <w:bottom w:type="dxa" w:w="100"/>
              <w:right w:type="dxa" w:w="120"/>
            </w:tcMar>
            <w:vAlign w:val="center"/>
          </w:tcPr>
          <w:p>
            <w:pPr>
              <w:jc w:val="left"/>
            </w:pPr>
            <w:r>
              <w:rPr>
                <w:b w:val="false"/>
                <w:bCs w:val="false"/>
                <w:sz w:val="20"/>
                <w:szCs w:val="20"/>
              </w:rPr>
              <w:t xml:space="preserve">The codebase and configuration are structured so another user can fork and run the system using only their own data, with no code changes required.</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NFR6</w:t>
            </w:r>
          </w:p>
        </w:tc>
        <w:tc>
          <w:tcPr>
            <w:tcW w:type="dxa" w:w="1800"/>
            <w:tcMar>
              <w:top w:type="dxa" w:w="100"/>
              <w:left w:type="dxa" w:w="120"/>
              <w:bottom w:type="dxa" w:w="100"/>
              <w:right w:type="dxa" w:w="120"/>
            </w:tcMar>
            <w:vAlign w:val="center"/>
          </w:tcPr>
          <w:p>
            <w:pPr>
              <w:jc w:val="left"/>
            </w:pPr>
            <w:r>
              <w:rPr>
                <w:b/>
                <w:bCs/>
                <w:sz w:val="20"/>
                <w:szCs w:val="20"/>
              </w:rPr>
              <w:t xml:space="preserve">Cost Efficiency</w:t>
            </w:r>
          </w:p>
        </w:tc>
        <w:tc>
          <w:tcPr>
            <w:tcW w:type="dxa" w:w="6650"/>
            <w:tcMar>
              <w:top w:type="dxa" w:w="100"/>
              <w:left w:type="dxa" w:w="120"/>
              <w:bottom w:type="dxa" w:w="100"/>
              <w:right w:type="dxa" w:w="120"/>
            </w:tcMar>
            <w:vAlign w:val="center"/>
          </w:tcPr>
          <w:p>
            <w:pPr>
              <w:jc w:val="left"/>
            </w:pPr>
            <w:r>
              <w:rPr>
                <w:b w:val="false"/>
                <w:bCs w:val="false"/>
                <w:sz w:val="20"/>
                <w:szCs w:val="20"/>
              </w:rPr>
              <w:t xml:space="preserve">LLM calls are scoped to judgment-requiring steps only; deterministic steps (fetching, scheduling, database operations) avoid LLM usage to control operating cost.</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NFR7</w:t>
            </w:r>
          </w:p>
        </w:tc>
        <w:tc>
          <w:tcPr>
            <w:tcW w:type="dxa" w:w="1800"/>
            <w:tcMar>
              <w:top w:type="dxa" w:w="100"/>
              <w:left w:type="dxa" w:w="120"/>
              <w:bottom w:type="dxa" w:w="100"/>
              <w:right w:type="dxa" w:w="120"/>
            </w:tcMar>
            <w:vAlign w:val="center"/>
          </w:tcPr>
          <w:p>
            <w:pPr>
              <w:jc w:val="left"/>
            </w:pPr>
            <w:r>
              <w:rPr>
                <w:b/>
                <w:bCs/>
                <w:sz w:val="20"/>
                <w:szCs w:val="20"/>
              </w:rPr>
              <w:t xml:space="preserve">Extensibility</w:t>
            </w:r>
          </w:p>
        </w:tc>
        <w:tc>
          <w:tcPr>
            <w:tcW w:type="dxa" w:w="6650"/>
            <w:tcMar>
              <w:top w:type="dxa" w:w="100"/>
              <w:left w:type="dxa" w:w="120"/>
              <w:bottom w:type="dxa" w:w="100"/>
              <w:right w:type="dxa" w:w="120"/>
            </w:tcMar>
            <w:vAlign w:val="center"/>
          </w:tcPr>
          <w:p>
            <w:pPr>
              <w:jc w:val="left"/>
            </w:pPr>
            <w:r>
              <w:rPr>
                <w:b w:val="false"/>
                <w:bCs w:val="false"/>
                <w:sz w:val="20"/>
                <w:szCs w:val="20"/>
              </w:rPr>
              <w:t xml:space="preserve">Collector and autofill layers follow an interface/plugin pattern so new job sources, career pages, or ATS platforms can be added without restructuring the core loop.</w:t>
            </w:r>
          </w:p>
        </w:tc>
      </w:tr>
      <w:tr>
        <w:tc>
          <w:tcPr>
            <w:tcW w:type="dxa" w:w="900"/>
            <w:tcMar>
              <w:top w:type="dxa" w:w="100"/>
              <w:left w:type="dxa" w:w="120"/>
              <w:bottom w:type="dxa" w:w="100"/>
              <w:right w:type="dxa" w:w="120"/>
            </w:tcMar>
            <w:vAlign w:val="center"/>
          </w:tcPr>
          <w:p>
            <w:pPr>
              <w:jc w:val="left"/>
            </w:pPr>
            <w:r>
              <w:rPr>
                <w:b w:val="false"/>
                <w:bCs w:val="false"/>
                <w:sz w:val="20"/>
                <w:szCs w:val="20"/>
              </w:rPr>
              <w:t xml:space="preserve">NFR9</w:t>
            </w:r>
          </w:p>
        </w:tc>
        <w:tc>
          <w:tcPr>
            <w:tcW w:type="dxa" w:w="1800"/>
            <w:tcMar>
              <w:top w:type="dxa" w:w="100"/>
              <w:left w:type="dxa" w:w="120"/>
              <w:bottom w:type="dxa" w:w="100"/>
              <w:right w:type="dxa" w:w="120"/>
            </w:tcMar>
            <w:vAlign w:val="center"/>
          </w:tcPr>
          <w:p>
            <w:pPr>
              <w:jc w:val="left"/>
            </w:pPr>
            <w:r>
              <w:rPr>
                <w:b/>
                <w:bCs/>
                <w:sz w:val="20"/>
                <w:szCs w:val="20"/>
              </w:rPr>
              <w:t xml:space="preserve">Data Protection</w:t>
            </w:r>
          </w:p>
        </w:tc>
        <w:tc>
          <w:tcPr>
            <w:tcW w:type="dxa" w:w="6650"/>
            <w:tcMar>
              <w:top w:type="dxa" w:w="100"/>
              <w:left w:type="dxa" w:w="120"/>
              <w:bottom w:type="dxa" w:w="100"/>
              <w:right w:type="dxa" w:w="120"/>
            </w:tcMar>
            <w:vAlign w:val="center"/>
          </w:tcPr>
          <w:p>
            <w:pPr>
              <w:jc w:val="left"/>
            </w:pPr>
            <w:r>
              <w:rPr>
                <w:b w:val="false"/>
                <w:bCs w:val="false"/>
                <w:sz w:val="20"/>
                <w:szCs w:val="20"/>
              </w:rPr>
              <w:t xml:space="preserve">Secrets are never committed to the repository; Row Level Security is enabled on all Supabase tables, including single-user instances, as defense-in-depth; the local listener requires token authentication; the dashboard is access-controlled rather than fully public.</w:t>
            </w:r>
          </w:p>
        </w:tc>
      </w:tr>
    </w:tbl>
    <w:p>
      <w:r>
        <w:br w:type="page"/>
      </w:r>
    </w:p>
    <w:p>
      <w:pPr>
        <w:pStyle w:val="Heading1"/>
        <w:spacing w:after="200" w:before="400"/>
      </w:pPr>
      <w:r>
        <w:rPr>
          <w:b/>
          <w:bCs/>
          <w:color w:val="1F4E5F"/>
          <w:sz w:val="30"/>
          <w:szCs w:val="30"/>
        </w:rPr>
        <w:t xml:space="preserve">4. Technology Stack</w:t>
      </w:r>
    </w:p>
    <w:p>
      <w:pPr>
        <w:spacing w:after="160" w:line="276"/>
      </w:pPr>
      <w:r>
        <w:rPr>
          <w:sz w:val="21"/>
          <w:szCs w:val="21"/>
        </w:rPr>
        <w:t xml:space="preserve">A single-language system in Python, spanning LLM orchestration, HTTP clients, document generation, and browser automation.</w:t>
      </w:r>
    </w:p>
    <w:tbl>
      <w:tblPr>
        <w:tblW w:type="dxa" w:w="9350"/>
        <w:tblBorders>
          <w:top w:val="single" w:color="CBD5D9" w:sz="4"/>
          <w:left w:val="single" w:color="CBD5D9" w:sz="4"/>
          <w:bottom w:val="single" w:color="CBD5D9" w:sz="4"/>
          <w:right w:val="single" w:color="CBD5D9" w:sz="4"/>
          <w:insideH w:val="single" w:color="CBD5D9" w:sz="4"/>
          <w:insideV w:val="single" w:color="CBD5D9" w:sz="4"/>
        </w:tblBorders>
      </w:tblPr>
      <w:tblGrid>
        <w:gridCol w:w="3400"/>
        <w:gridCol w:w="5950"/>
      </w:tblGrid>
      <w:tr>
        <w:trPr>
          <w:tblHeader/>
        </w:trPr>
        <w:tc>
          <w:tcPr>
            <w:tcW w:type="dxa" w:w="3400"/>
            <w:shd w:fill="EAF1F3" w:color="auto" w:val="clear"/>
            <w:tcMar>
              <w:top w:type="dxa" w:w="100"/>
              <w:left w:type="dxa" w:w="120"/>
              <w:bottom w:type="dxa" w:w="100"/>
              <w:right w:type="dxa" w:w="120"/>
            </w:tcMar>
            <w:vAlign w:val="center"/>
          </w:tcPr>
          <w:p>
            <w:pPr>
              <w:jc w:val="left"/>
            </w:pPr>
            <w:r>
              <w:rPr>
                <w:b/>
                <w:bCs/>
                <w:sz w:val="20"/>
                <w:szCs w:val="20"/>
              </w:rPr>
              <w:t xml:space="preserve">Layer</w:t>
            </w:r>
          </w:p>
        </w:tc>
        <w:tc>
          <w:tcPr>
            <w:tcW w:type="dxa" w:w="5950"/>
            <w:shd w:fill="EAF1F3" w:color="auto" w:val="clear"/>
            <w:tcMar>
              <w:top w:type="dxa" w:w="100"/>
              <w:left w:type="dxa" w:w="120"/>
              <w:bottom w:type="dxa" w:w="100"/>
              <w:right w:type="dxa" w:w="120"/>
            </w:tcMar>
            <w:vAlign w:val="center"/>
          </w:tcPr>
          <w:p>
            <w:pPr>
              <w:jc w:val="left"/>
            </w:pPr>
            <w:r>
              <w:rPr>
                <w:b/>
                <w:bCs/>
                <w:sz w:val="20"/>
                <w:szCs w:val="20"/>
              </w:rPr>
              <w:t xml:space="preserve">Tool</w:t>
            </w:r>
          </w:p>
        </w:tc>
      </w:tr>
      <w:tr>
        <w:tc>
          <w:tcPr>
            <w:tcW w:type="dxa" w:w="3400"/>
            <w:tcMar>
              <w:top w:type="dxa" w:w="100"/>
              <w:left w:type="dxa" w:w="120"/>
              <w:bottom w:type="dxa" w:w="100"/>
              <w:right w:type="dxa" w:w="120"/>
            </w:tcMar>
            <w:vAlign w:val="center"/>
          </w:tcPr>
          <w:p>
            <w:pPr>
              <w:jc w:val="left"/>
            </w:pPr>
            <w:r>
              <w:rPr>
                <w:b/>
                <w:bCs/>
                <w:sz w:val="20"/>
                <w:szCs w:val="20"/>
              </w:rPr>
              <w:t xml:space="preserve">Language</w:t>
            </w:r>
          </w:p>
        </w:tc>
        <w:tc>
          <w:tcPr>
            <w:tcW w:type="dxa" w:w="5950"/>
            <w:tcMar>
              <w:top w:type="dxa" w:w="100"/>
              <w:left w:type="dxa" w:w="120"/>
              <w:bottom w:type="dxa" w:w="100"/>
              <w:right w:type="dxa" w:w="120"/>
            </w:tcMar>
            <w:vAlign w:val="center"/>
          </w:tcPr>
          <w:p>
            <w:pPr>
              <w:jc w:val="left"/>
            </w:pPr>
            <w:r>
              <w:rPr>
                <w:b w:val="false"/>
                <w:bCs w:val="false"/>
                <w:sz w:val="20"/>
                <w:szCs w:val="20"/>
              </w:rPr>
              <w:t xml:space="preserve">Python</w:t>
            </w:r>
          </w:p>
        </w:tc>
      </w:tr>
      <w:tr>
        <w:tc>
          <w:tcPr>
            <w:tcW w:type="dxa" w:w="3400"/>
            <w:tcMar>
              <w:top w:type="dxa" w:w="100"/>
              <w:left w:type="dxa" w:w="120"/>
              <w:bottom w:type="dxa" w:w="100"/>
              <w:right w:type="dxa" w:w="120"/>
            </w:tcMar>
            <w:vAlign w:val="center"/>
          </w:tcPr>
          <w:p>
            <w:pPr>
              <w:jc w:val="left"/>
            </w:pPr>
            <w:r>
              <w:rPr>
                <w:b/>
                <w:bCs/>
                <w:sz w:val="20"/>
                <w:szCs w:val="20"/>
              </w:rPr>
              <w:t xml:space="preserve">Scheduler</w:t>
            </w:r>
          </w:p>
        </w:tc>
        <w:tc>
          <w:tcPr>
            <w:tcW w:type="dxa" w:w="5950"/>
            <w:tcMar>
              <w:top w:type="dxa" w:w="100"/>
              <w:left w:type="dxa" w:w="120"/>
              <w:bottom w:type="dxa" w:w="100"/>
              <w:right w:type="dxa" w:w="120"/>
            </w:tcMar>
            <w:vAlign w:val="center"/>
          </w:tcPr>
          <w:p>
            <w:pPr>
              <w:jc w:val="left"/>
            </w:pPr>
            <w:r>
              <w:rPr>
                <w:b w:val="false"/>
                <w:bCs w:val="false"/>
                <w:sz w:val="20"/>
                <w:szCs w:val="20"/>
              </w:rPr>
              <w:t xml:space="preserve">GitHub Actions</w:t>
            </w:r>
          </w:p>
        </w:tc>
      </w:tr>
      <w:tr>
        <w:tc>
          <w:tcPr>
            <w:tcW w:type="dxa" w:w="3400"/>
            <w:tcMar>
              <w:top w:type="dxa" w:w="100"/>
              <w:left w:type="dxa" w:w="120"/>
              <w:bottom w:type="dxa" w:w="100"/>
              <w:right w:type="dxa" w:w="120"/>
            </w:tcMar>
            <w:vAlign w:val="center"/>
          </w:tcPr>
          <w:p>
            <w:pPr>
              <w:jc w:val="left"/>
            </w:pPr>
            <w:r>
              <w:rPr>
                <w:b/>
                <w:bCs/>
                <w:sz w:val="20"/>
                <w:szCs w:val="20"/>
              </w:rPr>
              <w:t xml:space="preserve">LLM Access</w:t>
            </w:r>
          </w:p>
        </w:tc>
        <w:tc>
          <w:tcPr>
            <w:tcW w:type="dxa" w:w="5950"/>
            <w:tcMar>
              <w:top w:type="dxa" w:w="100"/>
              <w:left w:type="dxa" w:w="120"/>
              <w:bottom w:type="dxa" w:w="100"/>
              <w:right w:type="dxa" w:w="120"/>
            </w:tcMar>
            <w:vAlign w:val="center"/>
          </w:tcPr>
          <w:p>
            <w:pPr>
              <w:jc w:val="left"/>
            </w:pPr>
            <w:r>
              <w:rPr>
                <w:b w:val="false"/>
                <w:bCs w:val="false"/>
                <w:sz w:val="20"/>
                <w:szCs w:val="20"/>
              </w:rPr>
              <w:t xml:space="preserve">LiteLLM abstraction layer</w:t>
            </w:r>
          </w:p>
        </w:tc>
      </w:tr>
      <w:tr>
        <w:tc>
          <w:tcPr>
            <w:tcW w:type="dxa" w:w="3400"/>
            <w:tcMar>
              <w:top w:type="dxa" w:w="100"/>
              <w:left w:type="dxa" w:w="120"/>
              <w:bottom w:type="dxa" w:w="100"/>
              <w:right w:type="dxa" w:w="120"/>
            </w:tcMar>
            <w:vAlign w:val="center"/>
          </w:tcPr>
          <w:p>
            <w:pPr>
              <w:jc w:val="left"/>
            </w:pPr>
            <w:r>
              <w:rPr>
                <w:b/>
                <w:bCs/>
                <w:sz w:val="20"/>
                <w:szCs w:val="20"/>
              </w:rPr>
              <w:t xml:space="preserve">Collectors (APIs)</w:t>
            </w:r>
          </w:p>
        </w:tc>
        <w:tc>
          <w:tcPr>
            <w:tcW w:type="dxa" w:w="5950"/>
            <w:tcMar>
              <w:top w:type="dxa" w:w="100"/>
              <w:left w:type="dxa" w:w="120"/>
              <w:bottom w:type="dxa" w:w="100"/>
              <w:right w:type="dxa" w:w="120"/>
            </w:tcMar>
            <w:vAlign w:val="center"/>
          </w:tcPr>
          <w:p>
            <w:pPr>
              <w:jc w:val="left"/>
            </w:pPr>
            <w:r>
              <w:rPr>
                <w:b w:val="false"/>
                <w:bCs w:val="false"/>
                <w:sz w:val="20"/>
                <w:szCs w:val="20"/>
              </w:rPr>
              <w:t xml:space="preserve">httpx / requests</w:t>
            </w:r>
          </w:p>
        </w:tc>
      </w:tr>
      <w:tr>
        <w:tc>
          <w:tcPr>
            <w:tcW w:type="dxa" w:w="3400"/>
            <w:tcMar>
              <w:top w:type="dxa" w:w="100"/>
              <w:left w:type="dxa" w:w="120"/>
              <w:bottom w:type="dxa" w:w="100"/>
              <w:right w:type="dxa" w:w="120"/>
            </w:tcMar>
            <w:vAlign w:val="center"/>
          </w:tcPr>
          <w:p>
            <w:pPr>
              <w:jc w:val="left"/>
            </w:pPr>
            <w:r>
              <w:rPr>
                <w:b/>
                <w:bCs/>
                <w:sz w:val="20"/>
                <w:szCs w:val="20"/>
              </w:rPr>
              <w:t xml:space="preserve">Collectors (Custom career pages)</w:t>
            </w:r>
          </w:p>
        </w:tc>
        <w:tc>
          <w:tcPr>
            <w:tcW w:type="dxa" w:w="5950"/>
            <w:tcMar>
              <w:top w:type="dxa" w:w="100"/>
              <w:left w:type="dxa" w:w="120"/>
              <w:bottom w:type="dxa" w:w="100"/>
              <w:right w:type="dxa" w:w="120"/>
            </w:tcMar>
            <w:vAlign w:val="center"/>
          </w:tcPr>
          <w:p>
            <w:pPr>
              <w:jc w:val="left"/>
            </w:pPr>
            <w:r>
              <w:rPr>
                <w:b w:val="false"/>
                <w:bCs w:val="false"/>
                <w:sz w:val="20"/>
                <w:szCs w:val="20"/>
              </w:rPr>
              <w:t xml:space="preserve">Scrapy, with scrapy-playwright for JavaScript-rendered pages</w:t>
            </w:r>
          </w:p>
        </w:tc>
      </w:tr>
      <w:tr>
        <w:tc>
          <w:tcPr>
            <w:tcW w:type="dxa" w:w="3400"/>
            <w:tcMar>
              <w:top w:type="dxa" w:w="100"/>
              <w:left w:type="dxa" w:w="120"/>
              <w:bottom w:type="dxa" w:w="100"/>
              <w:right w:type="dxa" w:w="120"/>
            </w:tcMar>
            <w:vAlign w:val="center"/>
          </w:tcPr>
          <w:p>
            <w:pPr>
              <w:jc w:val="left"/>
            </w:pPr>
            <w:r>
              <w:rPr>
                <w:b/>
                <w:bCs/>
                <w:sz w:val="20"/>
                <w:szCs w:val="20"/>
              </w:rPr>
              <w:t xml:space="preserve">State / Tracking Database</w:t>
            </w:r>
          </w:p>
        </w:tc>
        <w:tc>
          <w:tcPr>
            <w:tcW w:type="dxa" w:w="5950"/>
            <w:tcMar>
              <w:top w:type="dxa" w:w="100"/>
              <w:left w:type="dxa" w:w="120"/>
              <w:bottom w:type="dxa" w:w="100"/>
              <w:right w:type="dxa" w:w="120"/>
            </w:tcMar>
            <w:vAlign w:val="center"/>
          </w:tcPr>
          <w:p>
            <w:pPr>
              <w:jc w:val="left"/>
            </w:pPr>
            <w:r>
              <w:rPr>
                <w:b w:val="false"/>
                <w:bCs w:val="false"/>
                <w:sz w:val="20"/>
                <w:szCs w:val="20"/>
              </w:rPr>
              <w:t xml:space="preserve">Supabase (Postgres, free tier)</w:t>
            </w:r>
          </w:p>
        </w:tc>
      </w:tr>
      <w:tr>
        <w:tc>
          <w:tcPr>
            <w:tcW w:type="dxa" w:w="3400"/>
            <w:tcMar>
              <w:top w:type="dxa" w:w="100"/>
              <w:left w:type="dxa" w:w="120"/>
              <w:bottom w:type="dxa" w:w="100"/>
              <w:right w:type="dxa" w:w="120"/>
            </w:tcMar>
            <w:vAlign w:val="center"/>
          </w:tcPr>
          <w:p>
            <w:pPr>
              <w:jc w:val="left"/>
            </w:pPr>
            <w:r>
              <w:rPr>
                <w:b/>
                <w:bCs/>
                <w:sz w:val="20"/>
                <w:szCs w:val="20"/>
              </w:rPr>
              <w:t xml:space="preserve">Resume File Storage</w:t>
            </w:r>
          </w:p>
        </w:tc>
        <w:tc>
          <w:tcPr>
            <w:tcW w:type="dxa" w:w="5950"/>
            <w:tcMar>
              <w:top w:type="dxa" w:w="100"/>
              <w:left w:type="dxa" w:w="120"/>
              <w:bottom w:type="dxa" w:w="100"/>
              <w:right w:type="dxa" w:w="120"/>
            </w:tcMar>
            <w:vAlign w:val="center"/>
          </w:tcPr>
          <w:p>
            <w:pPr>
              <w:jc w:val="left"/>
            </w:pPr>
            <w:r>
              <w:rPr>
                <w:b w:val="false"/>
                <w:bCs w:val="false"/>
                <w:sz w:val="20"/>
                <w:szCs w:val="20"/>
              </w:rPr>
              <w:t xml:space="preserve">Supabase Storage</w:t>
            </w:r>
          </w:p>
        </w:tc>
      </w:tr>
      <w:tr>
        <w:tc>
          <w:tcPr>
            <w:tcW w:type="dxa" w:w="3400"/>
            <w:tcMar>
              <w:top w:type="dxa" w:w="100"/>
              <w:left w:type="dxa" w:w="120"/>
              <w:bottom w:type="dxa" w:w="100"/>
              <w:right w:type="dxa" w:w="120"/>
            </w:tcMar>
            <w:vAlign w:val="center"/>
          </w:tcPr>
          <w:p>
            <w:pPr>
              <w:jc w:val="left"/>
            </w:pPr>
            <w:r>
              <w:rPr>
                <w:b/>
                <w:bCs/>
                <w:sz w:val="20"/>
                <w:szCs w:val="20"/>
              </w:rPr>
              <w:t xml:space="preserve">Resume Generation</w:t>
            </w:r>
          </w:p>
        </w:tc>
        <w:tc>
          <w:tcPr>
            <w:tcW w:type="dxa" w:w="5950"/>
            <w:tcMar>
              <w:top w:type="dxa" w:w="100"/>
              <w:left w:type="dxa" w:w="120"/>
              <w:bottom w:type="dxa" w:w="100"/>
              <w:right w:type="dxa" w:w="120"/>
            </w:tcMar>
            <w:vAlign w:val="center"/>
          </w:tcPr>
          <w:p>
            <w:pPr>
              <w:jc w:val="left"/>
            </w:pPr>
            <w:r>
              <w:rPr>
                <w:b w:val="false"/>
                <w:bCs w:val="false"/>
                <w:sz w:val="20"/>
                <w:szCs w:val="20"/>
              </w:rPr>
              <w:t xml:space="preserve">LLM content → python-docx template → LibreOffice headless → PDF</w:t>
            </w:r>
          </w:p>
        </w:tc>
      </w:tr>
      <w:tr>
        <w:tc>
          <w:tcPr>
            <w:tcW w:type="dxa" w:w="3400"/>
            <w:tcMar>
              <w:top w:type="dxa" w:w="100"/>
              <w:left w:type="dxa" w:w="120"/>
              <w:bottom w:type="dxa" w:w="100"/>
              <w:right w:type="dxa" w:w="120"/>
            </w:tcMar>
            <w:vAlign w:val="center"/>
          </w:tcPr>
          <w:p>
            <w:pPr>
              <w:jc w:val="left"/>
            </w:pPr>
            <w:r>
              <w:rPr>
                <w:b/>
                <w:bCs/>
                <w:sz w:val="20"/>
                <w:szCs w:val="20"/>
              </w:rPr>
              <w:t xml:space="preserve">Digest Delivery</w:t>
            </w:r>
          </w:p>
        </w:tc>
        <w:tc>
          <w:tcPr>
            <w:tcW w:type="dxa" w:w="5950"/>
            <w:tcMar>
              <w:top w:type="dxa" w:w="100"/>
              <w:left w:type="dxa" w:w="120"/>
              <w:bottom w:type="dxa" w:w="100"/>
              <w:right w:type="dxa" w:w="120"/>
            </w:tcMar>
            <w:vAlign w:val="center"/>
          </w:tcPr>
          <w:p>
            <w:pPr>
              <w:jc w:val="left"/>
            </w:pPr>
            <w:r>
              <w:rPr>
                <w:b w:val="false"/>
                <w:bCs w:val="false"/>
                <w:sz w:val="20"/>
                <w:szCs w:val="20"/>
              </w:rPr>
              <w:t xml:space="preserve">smtplib via Gmail app password</w:t>
            </w:r>
          </w:p>
        </w:tc>
      </w:tr>
      <w:tr>
        <w:tc>
          <w:tcPr>
            <w:tcW w:type="dxa" w:w="3400"/>
            <w:tcMar>
              <w:top w:type="dxa" w:w="100"/>
              <w:left w:type="dxa" w:w="120"/>
              <w:bottom w:type="dxa" w:w="100"/>
              <w:right w:type="dxa" w:w="120"/>
            </w:tcMar>
            <w:vAlign w:val="center"/>
          </w:tcPr>
          <w:p>
            <w:pPr>
              <w:jc w:val="left"/>
            </w:pPr>
            <w:r>
              <w:rPr>
                <w:b/>
                <w:bCs/>
                <w:sz w:val="20"/>
                <w:szCs w:val="20"/>
              </w:rPr>
              <w:t xml:space="preserve">Dashboard</w:t>
            </w:r>
          </w:p>
        </w:tc>
        <w:tc>
          <w:tcPr>
            <w:tcW w:type="dxa" w:w="5950"/>
            <w:tcMar>
              <w:top w:type="dxa" w:w="100"/>
              <w:left w:type="dxa" w:w="120"/>
              <w:bottom w:type="dxa" w:w="100"/>
              <w:right w:type="dxa" w:w="120"/>
            </w:tcMar>
            <w:vAlign w:val="center"/>
          </w:tcPr>
          <w:p>
            <w:pPr>
              <w:jc w:val="left"/>
            </w:pPr>
            <w:r>
              <w:rPr>
                <w:b w:val="false"/>
                <w:bCs w:val="false"/>
                <w:sz w:val="20"/>
                <w:szCs w:val="20"/>
              </w:rPr>
              <w:t xml:space="preserve">Streamlit, hosted on Streamlit Community Cloud</w:t>
            </w:r>
          </w:p>
        </w:tc>
      </w:tr>
      <w:tr>
        <w:tc>
          <w:tcPr>
            <w:tcW w:type="dxa" w:w="3400"/>
            <w:tcMar>
              <w:top w:type="dxa" w:w="100"/>
              <w:left w:type="dxa" w:w="120"/>
              <w:bottom w:type="dxa" w:w="100"/>
              <w:right w:type="dxa" w:w="120"/>
            </w:tcMar>
            <w:vAlign w:val="center"/>
          </w:tcPr>
          <w:p>
            <w:pPr>
              <w:jc w:val="left"/>
            </w:pPr>
            <w:r>
              <w:rPr>
                <w:b/>
                <w:bCs/>
                <w:sz w:val="20"/>
                <w:szCs w:val="20"/>
              </w:rPr>
              <w:t xml:space="preserve">Autofill Execution</w:t>
            </w:r>
          </w:p>
        </w:tc>
        <w:tc>
          <w:tcPr>
            <w:tcW w:type="dxa" w:w="5950"/>
            <w:tcMar>
              <w:top w:type="dxa" w:w="100"/>
              <w:left w:type="dxa" w:w="120"/>
              <w:bottom w:type="dxa" w:w="100"/>
              <w:right w:type="dxa" w:w="120"/>
            </w:tcMar>
            <w:vAlign w:val="center"/>
          </w:tcPr>
          <w:p>
            <w:pPr>
              <w:jc w:val="left"/>
            </w:pPr>
            <w:r>
              <w:rPr>
                <w:b w:val="false"/>
                <w:bCs w:val="false"/>
                <w:sz w:val="20"/>
                <w:szCs w:val="20"/>
              </w:rPr>
              <w:t xml:space="preserve">Playwright (Python), local-only</w:t>
            </w:r>
          </w:p>
        </w:tc>
      </w:tr>
      <w:tr>
        <w:tc>
          <w:tcPr>
            <w:tcW w:type="dxa" w:w="3400"/>
            <w:tcMar>
              <w:top w:type="dxa" w:w="100"/>
              <w:left w:type="dxa" w:w="120"/>
              <w:bottom w:type="dxa" w:w="100"/>
              <w:right w:type="dxa" w:w="120"/>
            </w:tcMar>
            <w:vAlign w:val="center"/>
          </w:tcPr>
          <w:p>
            <w:pPr>
              <w:jc w:val="left"/>
            </w:pPr>
            <w:r>
              <w:rPr>
                <w:b/>
                <w:bCs/>
                <w:sz w:val="20"/>
                <w:szCs w:val="20"/>
              </w:rPr>
              <w:t xml:space="preserve">Local Listener</w:t>
            </w:r>
          </w:p>
        </w:tc>
        <w:tc>
          <w:tcPr>
            <w:tcW w:type="dxa" w:w="5950"/>
            <w:tcMar>
              <w:top w:type="dxa" w:w="100"/>
              <w:left w:type="dxa" w:w="120"/>
              <w:bottom w:type="dxa" w:w="100"/>
              <w:right w:type="dxa" w:w="120"/>
            </w:tcMar>
            <w:vAlign w:val="center"/>
          </w:tcPr>
          <w:p>
            <w:pPr>
              <w:jc w:val="left"/>
            </w:pPr>
            <w:r>
              <w:rPr>
                <w:b w:val="false"/>
                <w:bCs w:val="false"/>
                <w:sz w:val="20"/>
                <w:szCs w:val="20"/>
              </w:rPr>
              <w:t xml:space="preserve">Flask / FastAPI, bound to localhost, token-secured</w:t>
            </w:r>
          </w:p>
        </w:tc>
      </w:tr>
      <w:tr>
        <w:tc>
          <w:tcPr>
            <w:tcW w:type="dxa" w:w="3400"/>
            <w:tcMar>
              <w:top w:type="dxa" w:w="100"/>
              <w:left w:type="dxa" w:w="120"/>
              <w:bottom w:type="dxa" w:w="100"/>
              <w:right w:type="dxa" w:w="120"/>
            </w:tcMar>
            <w:vAlign w:val="center"/>
          </w:tcPr>
          <w:p>
            <w:pPr>
              <w:jc w:val="left"/>
            </w:pPr>
            <w:r>
              <w:rPr>
                <w:b/>
                <w:bCs/>
                <w:sz w:val="20"/>
                <w:szCs w:val="20"/>
              </w:rPr>
              <w:t xml:space="preserve">Configuration</w:t>
            </w:r>
          </w:p>
        </w:tc>
        <w:tc>
          <w:tcPr>
            <w:tcW w:type="dxa" w:w="5950"/>
            <w:tcMar>
              <w:top w:type="dxa" w:w="100"/>
              <w:left w:type="dxa" w:w="120"/>
              <w:bottom w:type="dxa" w:w="100"/>
              <w:right w:type="dxa" w:w="120"/>
            </w:tcMar>
            <w:vAlign w:val="center"/>
          </w:tcPr>
          <w:p>
            <w:pPr>
              <w:jc w:val="left"/>
            </w:pPr>
            <w:r>
              <w:rPr>
                <w:b w:val="false"/>
                <w:bCs w:val="false"/>
                <w:sz w:val="20"/>
                <w:szCs w:val="20"/>
              </w:rPr>
              <w:t xml:space="preserve">YAML + .env (local) / GitHub Actions secrets (CI)</w:t>
            </w:r>
          </w:p>
        </w:tc>
      </w:tr>
      <w:tr>
        <w:tc>
          <w:tcPr>
            <w:tcW w:type="dxa" w:w="3400"/>
            <w:tcMar>
              <w:top w:type="dxa" w:w="100"/>
              <w:left w:type="dxa" w:w="120"/>
              <w:bottom w:type="dxa" w:w="100"/>
              <w:right w:type="dxa" w:w="120"/>
            </w:tcMar>
            <w:vAlign w:val="center"/>
          </w:tcPr>
          <w:p>
            <w:pPr>
              <w:jc w:val="left"/>
            </w:pPr>
            <w:r>
              <w:rPr>
                <w:b/>
                <w:bCs/>
                <w:sz w:val="20"/>
                <w:szCs w:val="20"/>
              </w:rPr>
              <w:t xml:space="preserve">Package Management</w:t>
            </w:r>
          </w:p>
        </w:tc>
        <w:tc>
          <w:tcPr>
            <w:tcW w:type="dxa" w:w="5950"/>
            <w:tcMar>
              <w:top w:type="dxa" w:w="100"/>
              <w:left w:type="dxa" w:w="120"/>
              <w:bottom w:type="dxa" w:w="100"/>
              <w:right w:type="dxa" w:w="120"/>
            </w:tcMar>
            <w:vAlign w:val="center"/>
          </w:tcPr>
          <w:p>
            <w:pPr>
              <w:jc w:val="left"/>
            </w:pPr>
            <w:r>
              <w:rPr>
                <w:b w:val="false"/>
                <w:bCs w:val="false"/>
                <w:sz w:val="20"/>
                <w:szCs w:val="20"/>
              </w:rPr>
              <w:t xml:space="preserve">uv</w:t>
            </w:r>
          </w:p>
        </w:tc>
      </w:tr>
    </w:tbl>
    <w:p>
      <w:r>
        <w:br w:type="page"/>
      </w:r>
    </w:p>
    <w:p>
      <w:pPr>
        <w:pStyle w:val="Heading1"/>
        <w:spacing w:after="200" w:before="400"/>
      </w:pPr>
      <w:r>
        <w:rPr>
          <w:b/>
          <w:bCs/>
          <w:color w:val="1F4E5F"/>
          <w:sz w:val="30"/>
          <w:szCs w:val="30"/>
        </w:rPr>
        <w:t xml:space="preserve">5. Build Plan</w:t>
      </w:r>
    </w:p>
    <w:p>
      <w:pPr>
        <w:spacing w:after="160" w:line="276"/>
      </w:pPr>
      <w:r>
        <w:rPr>
          <w:sz w:val="21"/>
          <w:szCs w:val="21"/>
        </w:rPr>
        <w:t xml:space="preserve">Development proceeds in dependency-ordered phases. Each phase delivers one or more complete features in full — no feature is split across phases or partially implemented to be picked up later. A phase begins only once every phase it depends on is complete.</w:t>
      </w:r>
    </w:p>
    <w:tbl>
      <w:tblPr>
        <w:tblW w:type="dxa" w:w="9350"/>
        <w:tblBorders>
          <w:top w:val="single" w:color="CBD5D9" w:sz="4"/>
          <w:left w:val="single" w:color="CBD5D9" w:sz="4"/>
          <w:bottom w:val="single" w:color="CBD5D9" w:sz="4"/>
          <w:right w:val="single" w:color="CBD5D9" w:sz="4"/>
          <w:insideH w:val="single" w:color="CBD5D9" w:sz="4"/>
          <w:insideV w:val="single" w:color="CBD5D9" w:sz="4"/>
        </w:tblBorders>
      </w:tblPr>
      <w:tblGrid>
        <w:gridCol w:w="700"/>
        <w:gridCol w:w="2300"/>
        <w:gridCol w:w="6350"/>
      </w:tblGrid>
      <w:tr>
        <w:trPr>
          <w:tblHeader/>
        </w:trPr>
        <w:tc>
          <w:tcPr>
            <w:tcW w:type="dxa" w:w="700"/>
            <w:shd w:fill="EAF1F3" w:color="auto" w:val="clear"/>
            <w:tcMar>
              <w:top w:type="dxa" w:w="100"/>
              <w:left w:type="dxa" w:w="120"/>
              <w:bottom w:type="dxa" w:w="100"/>
              <w:right w:type="dxa" w:w="120"/>
            </w:tcMar>
            <w:vAlign w:val="center"/>
          </w:tcPr>
          <w:p>
            <w:pPr>
              <w:jc w:val="left"/>
            </w:pPr>
            <w:r>
              <w:rPr>
                <w:b/>
                <w:bCs/>
                <w:sz w:val="20"/>
                <w:szCs w:val="20"/>
              </w:rPr>
              <w:t xml:space="preserve">Phase</w:t>
            </w:r>
          </w:p>
        </w:tc>
        <w:tc>
          <w:tcPr>
            <w:tcW w:type="dxa" w:w="2300"/>
            <w:shd w:fill="EAF1F3" w:color="auto" w:val="clear"/>
            <w:tcMar>
              <w:top w:type="dxa" w:w="100"/>
              <w:left w:type="dxa" w:w="120"/>
              <w:bottom w:type="dxa" w:w="100"/>
              <w:right w:type="dxa" w:w="120"/>
            </w:tcMar>
            <w:vAlign w:val="center"/>
          </w:tcPr>
          <w:p>
            <w:pPr>
              <w:jc w:val="left"/>
            </w:pPr>
            <w:r>
              <w:rPr>
                <w:b/>
                <w:bCs/>
                <w:sz w:val="20"/>
                <w:szCs w:val="20"/>
              </w:rPr>
              <w:t xml:space="preserve">Focus</w:t>
            </w:r>
          </w:p>
        </w:tc>
        <w:tc>
          <w:tcPr>
            <w:tcW w:type="dxa" w:w="6350"/>
            <w:shd w:fill="EAF1F3" w:color="auto" w:val="clear"/>
            <w:tcMar>
              <w:top w:type="dxa" w:w="100"/>
              <w:left w:type="dxa" w:w="120"/>
              <w:bottom w:type="dxa" w:w="100"/>
              <w:right w:type="dxa" w:w="120"/>
            </w:tcMar>
            <w:vAlign w:val="center"/>
          </w:tcPr>
          <w:p>
            <w:pPr>
              <w:jc w:val="left"/>
            </w:pPr>
            <w:r>
              <w:rPr>
                <w:b/>
                <w:bCs/>
                <w:sz w:val="20"/>
                <w:szCs w:val="20"/>
              </w:rPr>
              <w:t xml:space="preserve">Scope</w:t>
            </w:r>
          </w:p>
        </w:tc>
      </w:tr>
      <w:tr>
        <w:tc>
          <w:tcPr>
            <w:tcW w:type="dxa" w:w="700"/>
            <w:tcMar>
              <w:top w:type="dxa" w:w="100"/>
              <w:left w:type="dxa" w:w="120"/>
              <w:bottom w:type="dxa" w:w="100"/>
              <w:right w:type="dxa" w:w="120"/>
            </w:tcMar>
            <w:vAlign w:val="center"/>
          </w:tcPr>
          <w:p>
            <w:pPr>
              <w:jc w:val="center"/>
            </w:pPr>
            <w:r>
              <w:rPr>
                <w:b/>
                <w:bCs/>
                <w:sz w:val="20"/>
                <w:szCs w:val="20"/>
              </w:rPr>
              <w:t xml:space="preserve">0</w:t>
            </w:r>
          </w:p>
        </w:tc>
        <w:tc>
          <w:tcPr>
            <w:tcW w:type="dxa" w:w="2300"/>
            <w:tcMar>
              <w:top w:type="dxa" w:w="100"/>
              <w:left w:type="dxa" w:w="120"/>
              <w:bottom w:type="dxa" w:w="100"/>
              <w:right w:type="dxa" w:w="120"/>
            </w:tcMar>
            <w:vAlign w:val="center"/>
          </w:tcPr>
          <w:p>
            <w:pPr>
              <w:jc w:val="left"/>
            </w:pPr>
            <w:r>
              <w:rPr>
                <w:b/>
                <w:bCs/>
                <w:sz w:val="20"/>
                <w:szCs w:val="20"/>
              </w:rPr>
              <w:t xml:space="preserve">Foundation</w:t>
            </w:r>
          </w:p>
        </w:tc>
        <w:tc>
          <w:tcPr>
            <w:tcW w:type="dxa" w:w="6350"/>
            <w:tcMar>
              <w:top w:type="dxa" w:w="100"/>
              <w:left w:type="dxa" w:w="120"/>
              <w:bottom w:type="dxa" w:w="100"/>
              <w:right w:type="dxa" w:w="120"/>
            </w:tcMar>
            <w:vAlign w:val="center"/>
          </w:tcPr>
          <w:p>
            <w:pPr>
              <w:jc w:val="left"/>
            </w:pPr>
            <w:r>
              <w:rPr>
                <w:b w:val="false"/>
                <w:bCs w:val="false"/>
                <w:sz w:val="20"/>
                <w:szCs w:val="20"/>
              </w:rPr>
              <w:t xml:space="preserve">Profile configuration schema; Supabase database schema and Row Level Security policies (including the partner-scoped policy pattern that supports Opt-In Shared Mode); LiteLLM provider-agnostic interface, verified end-to-end against multiple providers.</w:t>
            </w:r>
          </w:p>
        </w:tc>
      </w:tr>
      <w:tr>
        <w:tc>
          <w:tcPr>
            <w:tcW w:type="dxa" w:w="700"/>
            <w:tcMar>
              <w:top w:type="dxa" w:w="100"/>
              <w:left w:type="dxa" w:w="120"/>
              <w:bottom w:type="dxa" w:w="100"/>
              <w:right w:type="dxa" w:w="120"/>
            </w:tcMar>
            <w:vAlign w:val="center"/>
          </w:tcPr>
          <w:p>
            <w:pPr>
              <w:jc w:val="center"/>
            </w:pPr>
            <w:r>
              <w:rPr>
                <w:b/>
                <w:bCs/>
                <w:sz w:val="20"/>
                <w:szCs w:val="20"/>
              </w:rPr>
              <w:t xml:space="preserve">1</w:t>
            </w:r>
          </w:p>
        </w:tc>
        <w:tc>
          <w:tcPr>
            <w:tcW w:type="dxa" w:w="2300"/>
            <w:tcMar>
              <w:top w:type="dxa" w:w="100"/>
              <w:left w:type="dxa" w:w="120"/>
              <w:bottom w:type="dxa" w:w="100"/>
              <w:right w:type="dxa" w:w="120"/>
            </w:tcMar>
            <w:vAlign w:val="center"/>
          </w:tcPr>
          <w:p>
            <w:pPr>
              <w:jc w:val="left"/>
            </w:pPr>
            <w:r>
              <w:rPr>
                <w:b/>
                <w:bCs/>
                <w:sz w:val="20"/>
                <w:szCs w:val="20"/>
              </w:rPr>
              <w:t xml:space="preserve">Application Tracking</w:t>
            </w:r>
          </w:p>
        </w:tc>
        <w:tc>
          <w:tcPr>
            <w:tcW w:type="dxa" w:w="6350"/>
            <w:tcMar>
              <w:top w:type="dxa" w:w="100"/>
              <w:left w:type="dxa" w:w="120"/>
              <w:bottom w:type="dxa" w:w="100"/>
              <w:right w:type="dxa" w:w="120"/>
            </w:tcMar>
            <w:vAlign w:val="center"/>
          </w:tcPr>
          <w:p>
            <w:pPr>
              <w:jc w:val="left"/>
            </w:pPr>
            <w:r>
              <w:rPr>
                <w:b w:val="false"/>
                <w:bCs w:val="false"/>
                <w:sz w:val="20"/>
                <w:szCs w:val="20"/>
              </w:rPr>
              <w:t xml:space="preserve">Verification that the schema and state layer from Phase 0 support real read/write usage before other features begin depending on it.</w:t>
            </w:r>
          </w:p>
        </w:tc>
      </w:tr>
      <w:tr>
        <w:tc>
          <w:tcPr>
            <w:tcW w:type="dxa" w:w="700"/>
            <w:tcMar>
              <w:top w:type="dxa" w:w="100"/>
              <w:left w:type="dxa" w:w="120"/>
              <w:bottom w:type="dxa" w:w="100"/>
              <w:right w:type="dxa" w:w="120"/>
            </w:tcMar>
            <w:vAlign w:val="center"/>
          </w:tcPr>
          <w:p>
            <w:pPr>
              <w:jc w:val="center"/>
            </w:pPr>
            <w:r>
              <w:rPr>
                <w:b/>
                <w:bCs/>
                <w:sz w:val="20"/>
                <w:szCs w:val="20"/>
              </w:rPr>
              <w:t xml:space="preserve">2</w:t>
            </w:r>
          </w:p>
        </w:tc>
        <w:tc>
          <w:tcPr>
            <w:tcW w:type="dxa" w:w="2300"/>
            <w:tcMar>
              <w:top w:type="dxa" w:w="100"/>
              <w:left w:type="dxa" w:w="120"/>
              <w:bottom w:type="dxa" w:w="100"/>
              <w:right w:type="dxa" w:w="120"/>
            </w:tcMar>
            <w:vAlign w:val="center"/>
          </w:tcPr>
          <w:p>
            <w:pPr>
              <w:jc w:val="left"/>
            </w:pPr>
            <w:r>
              <w:rPr>
                <w:b/>
                <w:bCs/>
                <w:sz w:val="20"/>
                <w:szCs w:val="20"/>
              </w:rPr>
              <w:t xml:space="preserve">Listing Collection</w:t>
            </w:r>
          </w:p>
        </w:tc>
        <w:tc>
          <w:tcPr>
            <w:tcW w:type="dxa" w:w="6350"/>
            <w:tcMar>
              <w:top w:type="dxa" w:w="100"/>
              <w:left w:type="dxa" w:w="120"/>
              <w:bottom w:type="dxa" w:w="100"/>
              <w:right w:type="dxa" w:w="120"/>
            </w:tcMar>
            <w:vAlign w:val="center"/>
          </w:tcPr>
          <w:p>
            <w:pPr>
              <w:jc w:val="left"/>
            </w:pPr>
            <w:r>
              <w:rPr>
                <w:b w:val="false"/>
                <w:bCs w:val="false"/>
                <w:sz w:val="20"/>
                <w:szCs w:val="20"/>
              </w:rPr>
              <w:t xml:space="preserve">All configured sources delivered together: Greenhouse, Lever, Ashby, Adzuna India, RemoteOK, Himalayas, and the custom career-page collector.</w:t>
            </w:r>
          </w:p>
        </w:tc>
      </w:tr>
      <w:tr>
        <w:tc>
          <w:tcPr>
            <w:tcW w:type="dxa" w:w="700"/>
            <w:tcMar>
              <w:top w:type="dxa" w:w="100"/>
              <w:left w:type="dxa" w:w="120"/>
              <w:bottom w:type="dxa" w:w="100"/>
              <w:right w:type="dxa" w:w="120"/>
            </w:tcMar>
            <w:vAlign w:val="center"/>
          </w:tcPr>
          <w:p>
            <w:pPr>
              <w:jc w:val="center"/>
            </w:pPr>
            <w:r>
              <w:rPr>
                <w:b/>
                <w:bCs/>
                <w:sz w:val="20"/>
                <w:szCs w:val="20"/>
              </w:rPr>
              <w:t xml:space="preserve">3</w:t>
            </w:r>
          </w:p>
        </w:tc>
        <w:tc>
          <w:tcPr>
            <w:tcW w:type="dxa" w:w="2300"/>
            <w:tcMar>
              <w:top w:type="dxa" w:w="100"/>
              <w:left w:type="dxa" w:w="120"/>
              <w:bottom w:type="dxa" w:w="100"/>
              <w:right w:type="dxa" w:w="120"/>
            </w:tcMar>
            <w:vAlign w:val="center"/>
          </w:tcPr>
          <w:p>
            <w:pPr>
              <w:jc w:val="left"/>
            </w:pPr>
            <w:r>
              <w:rPr>
                <w:b/>
                <w:bCs/>
                <w:sz w:val="20"/>
                <w:szCs w:val="20"/>
              </w:rPr>
              <w:t xml:space="preserve">Deduplication</w:t>
            </w:r>
          </w:p>
        </w:tc>
        <w:tc>
          <w:tcPr>
            <w:tcW w:type="dxa" w:w="6350"/>
            <w:tcMar>
              <w:top w:type="dxa" w:w="100"/>
              <w:left w:type="dxa" w:w="120"/>
              <w:bottom w:type="dxa" w:w="100"/>
              <w:right w:type="dxa" w:w="120"/>
            </w:tcMar>
            <w:vAlign w:val="center"/>
          </w:tcPr>
          <w:p>
            <w:pPr>
              <w:jc w:val="left"/>
            </w:pPr>
            <w:r>
              <w:rPr>
                <w:b w:val="false"/>
                <w:bCs w:val="false"/>
                <w:sz w:val="20"/>
                <w:szCs w:val="20"/>
              </w:rPr>
              <w:t xml:space="preserve">Full multi-source deduplication logic across all sources delivered in Phase 2.</w:t>
            </w:r>
          </w:p>
        </w:tc>
      </w:tr>
      <w:tr>
        <w:tc>
          <w:tcPr>
            <w:tcW w:type="dxa" w:w="700"/>
            <w:tcMar>
              <w:top w:type="dxa" w:w="100"/>
              <w:left w:type="dxa" w:w="120"/>
              <w:bottom w:type="dxa" w:w="100"/>
              <w:right w:type="dxa" w:w="120"/>
            </w:tcMar>
            <w:vAlign w:val="center"/>
          </w:tcPr>
          <w:p>
            <w:pPr>
              <w:jc w:val="center"/>
            </w:pPr>
            <w:r>
              <w:rPr>
                <w:b/>
                <w:bCs/>
                <w:sz w:val="20"/>
                <w:szCs w:val="20"/>
              </w:rPr>
              <w:t xml:space="preserve">4</w:t>
            </w:r>
          </w:p>
        </w:tc>
        <w:tc>
          <w:tcPr>
            <w:tcW w:type="dxa" w:w="2300"/>
            <w:tcMar>
              <w:top w:type="dxa" w:w="100"/>
              <w:left w:type="dxa" w:w="120"/>
              <w:bottom w:type="dxa" w:w="100"/>
              <w:right w:type="dxa" w:w="120"/>
            </w:tcMar>
            <w:vAlign w:val="center"/>
          </w:tcPr>
          <w:p>
            <w:pPr>
              <w:jc w:val="left"/>
            </w:pPr>
            <w:r>
              <w:rPr>
                <w:b/>
                <w:bCs/>
                <w:sz w:val="20"/>
                <w:szCs w:val="20"/>
              </w:rPr>
              <w:t xml:space="preserve">Role Evaluation</w:t>
            </w:r>
          </w:p>
        </w:tc>
        <w:tc>
          <w:tcPr>
            <w:tcW w:type="dxa" w:w="6350"/>
            <w:tcMar>
              <w:top w:type="dxa" w:w="100"/>
              <w:left w:type="dxa" w:w="120"/>
              <w:bottom w:type="dxa" w:w="100"/>
              <w:right w:type="dxa" w:w="120"/>
            </w:tcMar>
            <w:vAlign w:val="center"/>
          </w:tcPr>
          <w:p>
            <w:pPr>
              <w:jc w:val="left"/>
            </w:pPr>
            <w:r>
              <w:rPr>
                <w:b w:val="false"/>
                <w:bCs w:val="false"/>
                <w:sz w:val="20"/>
                <w:szCs w:val="20"/>
              </w:rPr>
              <w:t xml:space="preserve">Discard/pursue judgment with stated rationale, incorporating accumulated historical outcomes into every evaluation.</w:t>
            </w:r>
          </w:p>
        </w:tc>
      </w:tr>
      <w:tr>
        <w:tc>
          <w:tcPr>
            <w:tcW w:type="dxa" w:w="700"/>
            <w:tcMar>
              <w:top w:type="dxa" w:w="100"/>
              <w:left w:type="dxa" w:w="120"/>
              <w:bottom w:type="dxa" w:w="100"/>
              <w:right w:type="dxa" w:w="120"/>
            </w:tcMar>
            <w:vAlign w:val="center"/>
          </w:tcPr>
          <w:p>
            <w:pPr>
              <w:jc w:val="center"/>
            </w:pPr>
            <w:r>
              <w:rPr>
                <w:b/>
                <w:bCs/>
                <w:sz w:val="20"/>
                <w:szCs w:val="20"/>
              </w:rPr>
              <w:t xml:space="preserve">5</w:t>
            </w:r>
          </w:p>
        </w:tc>
        <w:tc>
          <w:tcPr>
            <w:tcW w:type="dxa" w:w="2300"/>
            <w:tcMar>
              <w:top w:type="dxa" w:w="100"/>
              <w:left w:type="dxa" w:w="120"/>
              <w:bottom w:type="dxa" w:w="100"/>
              <w:right w:type="dxa" w:w="120"/>
            </w:tcMar>
            <w:vAlign w:val="center"/>
          </w:tcPr>
          <w:p>
            <w:pPr>
              <w:jc w:val="left"/>
            </w:pPr>
            <w:r>
              <w:rPr>
                <w:b/>
                <w:bCs/>
                <w:sz w:val="20"/>
                <w:szCs w:val="20"/>
              </w:rPr>
              <w:t xml:space="preserve">Digest &amp; Dashboard</w:t>
            </w:r>
          </w:p>
        </w:tc>
        <w:tc>
          <w:tcPr>
            <w:tcW w:type="dxa" w:w="6350"/>
            <w:tcMar>
              <w:top w:type="dxa" w:w="100"/>
              <w:left w:type="dxa" w:w="120"/>
              <w:bottom w:type="dxa" w:w="100"/>
              <w:right w:type="dxa" w:w="120"/>
            </w:tcMar>
            <w:vAlign w:val="center"/>
          </w:tcPr>
          <w:p>
            <w:pPr>
              <w:jc w:val="left"/>
            </w:pPr>
            <w:r>
              <w:rPr>
                <w:b w:val="false"/>
                <w:bCs w:val="false"/>
                <w:sz w:val="20"/>
                <w:szCs w:val="20"/>
              </w:rPr>
              <w:t xml:space="preserve">The nudge email, the full dashboard (pursued-role view, per-role actions, dismiss/apply, reviewed state), and the end-of-day catch-up check.</w:t>
            </w:r>
          </w:p>
        </w:tc>
      </w:tr>
      <w:tr>
        <w:tc>
          <w:tcPr>
            <w:tcW w:type="dxa" w:w="700"/>
            <w:tcMar>
              <w:top w:type="dxa" w:w="100"/>
              <w:left w:type="dxa" w:w="120"/>
              <w:bottom w:type="dxa" w:w="100"/>
              <w:right w:type="dxa" w:w="120"/>
            </w:tcMar>
            <w:vAlign w:val="center"/>
          </w:tcPr>
          <w:p>
            <w:pPr>
              <w:jc w:val="center"/>
            </w:pPr>
            <w:r>
              <w:rPr>
                <w:b/>
                <w:bCs/>
                <w:sz w:val="20"/>
                <w:szCs w:val="20"/>
              </w:rPr>
              <w:t xml:space="preserve">6</w:t>
            </w:r>
          </w:p>
        </w:tc>
        <w:tc>
          <w:tcPr>
            <w:tcW w:type="dxa" w:w="2300"/>
            <w:tcMar>
              <w:top w:type="dxa" w:w="100"/>
              <w:left w:type="dxa" w:w="120"/>
              <w:bottom w:type="dxa" w:w="100"/>
              <w:right w:type="dxa" w:w="120"/>
            </w:tcMar>
            <w:vAlign w:val="center"/>
          </w:tcPr>
          <w:p>
            <w:pPr>
              <w:jc w:val="left"/>
            </w:pPr>
            <w:r>
              <w:rPr>
                <w:b/>
                <w:bCs/>
                <w:sz w:val="20"/>
                <w:szCs w:val="20"/>
              </w:rPr>
              <w:t xml:space="preserve">Resume Tailoring</w:t>
            </w:r>
          </w:p>
        </w:tc>
        <w:tc>
          <w:tcPr>
            <w:tcW w:type="dxa" w:w="6350"/>
            <w:tcMar>
              <w:top w:type="dxa" w:w="100"/>
              <w:left w:type="dxa" w:w="120"/>
              <w:bottom w:type="dxa" w:w="100"/>
              <w:right w:type="dxa" w:w="120"/>
            </w:tcMar>
            <w:vAlign w:val="center"/>
          </w:tcPr>
          <w:p>
            <w:pPr>
              <w:jc w:val="left"/>
            </w:pPr>
            <w:r>
              <w:rPr>
                <w:b w:val="false"/>
                <w:bCs w:val="false"/>
                <w:sz w:val="20"/>
                <w:szCs w:val="20"/>
              </w:rPr>
              <w:t xml:space="preserve">Tailoring threshold logic, tailored resume generation, and the ATS compatibility check, surfaced on the dashboard.</w:t>
            </w:r>
          </w:p>
        </w:tc>
      </w:tr>
      <w:tr>
        <w:tc>
          <w:tcPr>
            <w:tcW w:type="dxa" w:w="700"/>
            <w:tcMar>
              <w:top w:type="dxa" w:w="100"/>
              <w:left w:type="dxa" w:w="120"/>
              <w:bottom w:type="dxa" w:w="100"/>
              <w:right w:type="dxa" w:w="120"/>
            </w:tcMar>
            <w:vAlign w:val="center"/>
          </w:tcPr>
          <w:p>
            <w:pPr>
              <w:jc w:val="center"/>
            </w:pPr>
            <w:r>
              <w:rPr>
                <w:b/>
                <w:bCs/>
                <w:sz w:val="20"/>
                <w:szCs w:val="20"/>
              </w:rPr>
              <w:t xml:space="preserve">7</w:t>
            </w:r>
          </w:p>
        </w:tc>
        <w:tc>
          <w:tcPr>
            <w:tcW w:type="dxa" w:w="2300"/>
            <w:tcMar>
              <w:top w:type="dxa" w:w="100"/>
              <w:left w:type="dxa" w:w="120"/>
              <w:bottom w:type="dxa" w:w="100"/>
              <w:right w:type="dxa" w:w="120"/>
            </w:tcMar>
            <w:vAlign w:val="center"/>
          </w:tcPr>
          <w:p>
            <w:pPr>
              <w:jc w:val="left"/>
            </w:pPr>
            <w:r>
              <w:rPr>
                <w:b/>
                <w:bCs/>
                <w:sz w:val="20"/>
                <w:szCs w:val="20"/>
              </w:rPr>
              <w:t xml:space="preserve">Application Autofill</w:t>
            </w:r>
          </w:p>
        </w:tc>
        <w:tc>
          <w:tcPr>
            <w:tcW w:type="dxa" w:w="6350"/>
            <w:tcMar>
              <w:top w:type="dxa" w:w="100"/>
              <w:left w:type="dxa" w:w="120"/>
              <w:bottom w:type="dxa" w:w="100"/>
              <w:right w:type="dxa" w:w="120"/>
            </w:tcMar>
            <w:vAlign w:val="center"/>
          </w:tcPr>
          <w:p>
            <w:pPr>
              <w:jc w:val="left"/>
            </w:pPr>
            <w:r>
              <w:rPr>
                <w:b w:val="false"/>
                <w:bCs w:val="false"/>
                <w:sz w:val="20"/>
                <w:szCs w:val="20"/>
              </w:rPr>
              <w:t xml:space="preserve">Local listener and Playwright-driven autofill across all five supported ATS platforms, always stopping before submission.</w:t>
            </w:r>
          </w:p>
        </w:tc>
      </w:tr>
      <w:tr>
        <w:tc>
          <w:tcPr>
            <w:tcW w:type="dxa" w:w="700"/>
            <w:tcMar>
              <w:top w:type="dxa" w:w="100"/>
              <w:left w:type="dxa" w:w="120"/>
              <w:bottom w:type="dxa" w:w="100"/>
              <w:right w:type="dxa" w:w="120"/>
            </w:tcMar>
            <w:vAlign w:val="center"/>
          </w:tcPr>
          <w:p>
            <w:pPr>
              <w:jc w:val="center"/>
            </w:pPr>
            <w:r>
              <w:rPr>
                <w:b/>
                <w:bCs/>
                <w:sz w:val="20"/>
                <w:szCs w:val="20"/>
              </w:rPr>
              <w:t xml:space="preserve">8</w:t>
            </w:r>
          </w:p>
        </w:tc>
        <w:tc>
          <w:tcPr>
            <w:tcW w:type="dxa" w:w="2300"/>
            <w:tcMar>
              <w:top w:type="dxa" w:w="100"/>
              <w:left w:type="dxa" w:w="120"/>
              <w:bottom w:type="dxa" w:w="100"/>
              <w:right w:type="dxa" w:w="120"/>
            </w:tcMar>
            <w:vAlign w:val="center"/>
          </w:tcPr>
          <w:p>
            <w:pPr>
              <w:jc w:val="left"/>
            </w:pPr>
            <w:r>
              <w:rPr>
                <w:b/>
                <w:bCs/>
                <w:sz w:val="20"/>
                <w:szCs w:val="20"/>
              </w:rPr>
              <w:t xml:space="preserve">Follow-Up Nudges</w:t>
            </w:r>
          </w:p>
        </w:tc>
        <w:tc>
          <w:tcPr>
            <w:tcW w:type="dxa" w:w="6350"/>
            <w:tcMar>
              <w:top w:type="dxa" w:w="100"/>
              <w:left w:type="dxa" w:w="120"/>
              <w:bottom w:type="dxa" w:w="100"/>
              <w:right w:type="dxa" w:w="120"/>
            </w:tcMar>
            <w:vAlign w:val="center"/>
          </w:tcPr>
          <w:p>
            <w:pPr>
              <w:jc w:val="left"/>
            </w:pPr>
            <w:r>
              <w:rPr>
                <w:b w:val="false"/>
                <w:bCs w:val="false"/>
                <w:sz w:val="20"/>
                <w:szCs w:val="20"/>
              </w:rPr>
              <w:t xml:space="preserve">Eligibility filtering, status tracking, expiry handling, and one-time follow-up drafting.</w:t>
            </w:r>
          </w:p>
        </w:tc>
      </w:tr>
      <w:tr>
        <w:tc>
          <w:tcPr>
            <w:tcW w:type="dxa" w:w="700"/>
            <w:tcMar>
              <w:top w:type="dxa" w:w="100"/>
              <w:left w:type="dxa" w:w="120"/>
              <w:bottom w:type="dxa" w:w="100"/>
              <w:right w:type="dxa" w:w="120"/>
            </w:tcMar>
            <w:vAlign w:val="center"/>
          </w:tcPr>
          <w:p>
            <w:pPr>
              <w:jc w:val="center"/>
            </w:pPr>
            <w:r>
              <w:rPr>
                <w:b/>
                <w:bCs/>
                <w:sz w:val="20"/>
                <w:szCs w:val="20"/>
              </w:rPr>
              <w:t xml:space="preserve">9</w:t>
            </w:r>
          </w:p>
        </w:tc>
        <w:tc>
          <w:tcPr>
            <w:tcW w:type="dxa" w:w="2300"/>
            <w:tcMar>
              <w:top w:type="dxa" w:w="100"/>
              <w:left w:type="dxa" w:w="120"/>
              <w:bottom w:type="dxa" w:w="100"/>
              <w:right w:type="dxa" w:w="120"/>
            </w:tcMar>
            <w:vAlign w:val="center"/>
          </w:tcPr>
          <w:p>
            <w:pPr>
              <w:jc w:val="left"/>
            </w:pPr>
            <w:r>
              <w:rPr>
                <w:b/>
                <w:bCs/>
                <w:sz w:val="20"/>
                <w:szCs w:val="20"/>
              </w:rPr>
              <w:t xml:space="preserve">Skill-Gap Synthesis</w:t>
            </w:r>
          </w:p>
        </w:tc>
        <w:tc>
          <w:tcPr>
            <w:tcW w:type="dxa" w:w="6350"/>
            <w:tcMar>
              <w:top w:type="dxa" w:w="100"/>
              <w:left w:type="dxa" w:w="120"/>
              <w:bottom w:type="dxa" w:w="100"/>
              <w:right w:type="dxa" w:w="120"/>
            </w:tcMar>
            <w:vAlign w:val="center"/>
          </w:tcPr>
          <w:p>
            <w:pPr>
              <w:jc w:val="left"/>
            </w:pPr>
            <w:r>
              <w:rPr>
                <w:b w:val="false"/>
                <w:bCs w:val="false"/>
                <w:sz w:val="20"/>
                <w:szCs w:val="20"/>
              </w:rPr>
              <w:t xml:space="preserve">Periodic pattern analysis across all evaluated job descriptions, surfaced on the dashboard.</w:t>
            </w:r>
          </w:p>
        </w:tc>
      </w:tr>
    </w:tbl>
    <w:p>
      <w:pPr>
        <w:spacing w:after="100" w:before="200"/>
      </w:pPr>
      <w:r>
        <w:rPr>
          <w:b/>
          <w:bCs/>
          <w:sz w:val="21"/>
          <w:szCs w:val="21"/>
        </w:rPr>
        <w:t xml:space="preserve">Notes</w:t>
      </w:r>
    </w:p>
    <w:p>
      <w:pPr>
        <w:pStyle w:val="ListParagraph"/>
        <w:numPr>
          <w:ilvl w:val="0"/>
          <w:numId w:val="2"/>
        </w:numPr>
        <w:spacing w:after="80" w:line="276"/>
      </w:pPr>
      <w:r>
        <w:rPr>
          <w:sz w:val="21"/>
          <w:szCs w:val="21"/>
        </w:rPr>
        <w:t xml:space="preserve">Phases 8 (Follow-Up Nudges) and 9 (Skill-Gap Synthesis) do not depend on one another and may be built in either order, or in parallel, once their own prerequisite phases are complete.</w:t>
      </w:r>
    </w:p>
    <w:p>
      <w:pPr>
        <w:pStyle w:val="ListParagraph"/>
        <w:numPr>
          <w:ilvl w:val="0"/>
          <w:numId w:val="2"/>
        </w:numPr>
        <w:spacing w:after="80" w:line="276"/>
      </w:pPr>
      <w:r>
        <w:rPr>
          <w:sz w:val="21"/>
          <w:szCs w:val="21"/>
        </w:rPr>
        <w:t xml:space="preserve">Cloneability (FR14) and Portability (NFR5) are verified continuously and confirmed at a final gate: an independent clone, configured and run using only the project's setup documentation, with no code changes required.</w:t>
      </w:r>
    </w:p>
    <w:p>
      <w:pPr>
        <w:pStyle w:val="ListParagraph"/>
        <w:numPr>
          <w:ilvl w:val="0"/>
          <w:numId w:val="2"/>
        </w:numPr>
        <w:spacing w:after="80" w:line="276"/>
      </w:pPr>
      <w:r>
        <w:rPr>
          <w:sz w:val="21"/>
          <w:szCs w:val="21"/>
        </w:rPr>
        <w:t xml:space="preserve">Data Protection (NFR9) is tracked as a running checklist across every phase and confirmed complete at the same final gate.</w:t>
      </w:r>
    </w:p>
    <w:p>
      <w:pPr>
        <w:pStyle w:val="ListParagraph"/>
        <w:numPr>
          <w:ilvl w:val="0"/>
          <w:numId w:val="2"/>
        </w:numPr>
        <w:spacing w:after="80" w:line="276"/>
      </w:pPr>
      <w:r>
        <w:rPr>
          <w:sz w:val="21"/>
          <w:szCs w:val="21"/>
        </w:rPr>
        <w:t xml:space="preserve">Opt-In Shared Mode (FR16) is designed for at the schema level in Phase 0 — via a partner-scoped Row Level Security policy pattern — but its feature build is scheduled after the phases above.</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2026-08-30T08:17:30.126Z</dcterms:created>
  <dcterms:modified xsi:type="dcterms:W3CDTF">2026-08-30T08:17:30.138Z</dcterms:modified>
</cp:coreProperties>
</file>

<file path=docProps/custom.xml><?xml version="1.0" encoding="utf-8"?>
<Properties xmlns="http://schemas.openxmlformats.org/officeDocument/2006/custom-properties" xmlns:vt="http://schemas.openxmlformats.org/officeDocument/2006/docPropsVTypes"/>
</file>