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7bce51447959496c" /><Relationship Type="http://schemas.openxmlformats.org/package/2006/relationships/metadata/core-properties" Target="/docProps/core.xml" Id="Rcdc7556541a74065" /><Relationship Type="http://schemas.openxmlformats.org/officeDocument/2006/relationships/extended-properties" Target="/docProps/app.xml" Id="R00f805be73044b9f" /><Relationship Type="http://schemas.openxmlformats.org/officeDocument/2006/relationships/custom-properties" Target="/docProps/custom.xml" Id="R80d97f9870e0461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t xml:space="preserve">SkyGuard: Flight Delay Prediction &amp; Operational Intelligence</w:t>
      </w:r>
    </w:p>
    <w:p w14:paraId="00100002" w14:textId="00100003">
      <w:pPr>
        <w:spacing w:after="80"/>
        <w:jc w:val="center"/>
      </w:pPr>
      <w:r>
        <w:rPr>
          <w:color w:val="57606A"/>
          <w:sz w:val="26"/>
        </w:rPr>
        <w:t xml:space="preserve">Project Report — 2015 U.S. Domestic Flight Network</w:t>
      </w:r>
    </w:p>
    <w:p w14:paraId="00100004" w14:textId="00100005">
      <w:pPr>
        <w:spacing w:after="360"/>
        <w:jc w:val="center"/>
      </w:pPr>
      <w:r>
        <w:rPr>
          <w:color w:val="57606A"/>
          <w:sz w:val="20"/>
        </w:rPr>
        <w:t xml:space="preserve">Dataset: Kaggle 2015 Flight Delays and Cancellations  |  Model: XGBoost  |  GenAI: Gemini 1.5 Flash</w:t>
      </w:r>
    </w:p>
    <w:p w14:paraId="00100006" w14:textId="00100007">
      <w:pPr>
        <w:pStyle w:val="Heading1"/>
        <w:spacing w:before="120" w:after="120"/>
      </w:pPr>
      <w:r>
        <w:rPr/>
        <w:t xml:space="preserve">Table of Contents</w:t>
      </w:r>
    </w:p>
    <w:p w14:paraId="00100008" w14:textId="00100009">
      <w:pPr>
        <w:spacing w:after="60"/>
      </w:pPr>
      <w:r>
        <w:rPr>
          <w:sz w:val="22"/>
        </w:rPr>
        <w:t xml:space="preserve">1. Problem Statement</w:t>
      </w:r>
    </w:p>
    <w:p w14:paraId="0010000A" w14:textId="0010000B">
      <w:pPr>
        <w:spacing w:after="60"/>
      </w:pPr>
      <w:r>
        <w:rPr>
          <w:sz w:val="22"/>
        </w:rPr>
        <w:t xml:space="preserve">2. Dataset Description</w:t>
      </w:r>
    </w:p>
    <w:p w14:paraId="0010000C" w14:textId="0010000D">
      <w:pPr>
        <w:spacing w:after="60"/>
      </w:pPr>
      <w:r>
        <w:rPr>
          <w:sz w:val="22"/>
        </w:rPr>
        <w:t xml:space="preserve">3. Data Cleaning Steps</w:t>
      </w:r>
    </w:p>
    <w:p w14:paraId="0010000E" w14:textId="0010000F">
      <w:pPr>
        <w:spacing w:after="60"/>
      </w:pPr>
      <w:r>
        <w:rPr>
          <w:sz w:val="22"/>
        </w:rPr>
        <w:t xml:space="preserve">4. Exploratory Data Analysis (EDA) Findings</w:t>
      </w:r>
    </w:p>
    <w:p w14:paraId="00100010" w14:textId="00100011">
      <w:pPr>
        <w:spacing w:after="60"/>
      </w:pPr>
      <w:r>
        <w:rPr>
          <w:sz w:val="22"/>
        </w:rPr>
        <w:t xml:space="preserve">5. Feature Engineering Approach</w:t>
      </w:r>
    </w:p>
    <w:p w14:paraId="00100012" w14:textId="00100013">
      <w:pPr>
        <w:spacing w:after="60"/>
      </w:pPr>
      <w:r>
        <w:rPr>
          <w:sz w:val="22"/>
        </w:rPr>
        <w:t xml:space="preserve">6. Model Comparison and Selection</w:t>
      </w:r>
    </w:p>
    <w:p w14:paraId="00100014" w14:textId="00100015">
      <w:pPr>
        <w:spacing w:after="60"/>
      </w:pPr>
      <w:r>
        <w:rPr>
          <w:sz w:val="22"/>
        </w:rPr>
        <w:t xml:space="preserve">7. Anomaly Detection Approach</w:t>
      </w:r>
    </w:p>
    <w:p w14:paraId="00100016" w14:textId="00100017">
      <w:pPr>
        <w:spacing w:after="60"/>
      </w:pPr>
      <w:r>
        <w:rPr>
          <w:sz w:val="22"/>
        </w:rPr>
        <w:t xml:space="preserve">8. GenAI Component Design</w:t>
      </w:r>
    </w:p>
    <w:p w14:paraId="00100018" w14:textId="00100019">
      <w:pPr>
        <w:spacing w:after="60"/>
      </w:pPr>
      <w:r>
        <w:rPr>
          <w:sz w:val="22"/>
        </w:rPr>
        <w:t xml:space="preserve">9. Fact → Insight → Risk → Action Example</w:t>
      </w:r>
    </w:p>
    <w:p w14:paraId="0010001A" w14:textId="0010001B">
      <w:pPr>
        <w:spacing w:after="320"/>
      </w:pPr>
      <w:r>
        <w:rPr>
          <w:sz w:val="22"/>
        </w:rPr>
        <w:t xml:space="preserve">10. Dashboard Screenshots</w:t>
      </w:r>
    </w:p>
    <w:p w14:paraId="0010001C" w14:textId="0010001D">
      <w:pPr>
        <w:pStyle w:val="Heading1"/>
        <w:spacing w:before="240" w:after="120"/>
      </w:pPr>
      <w:r>
        <w:rPr/>
        <w:t xml:space="preserve">1. Problem Statement</w:t>
      </w:r>
    </w:p>
    <w:p w14:paraId="0010001E" w14:textId="0010001F">
      <w:pPr>
        <w:spacing w:after="160"/>
      </w:pPr>
      <w:r>
        <w:rPr>
          <w:sz w:val="22"/>
        </w:rPr>
        <w:t xml:space="preserve">Flight delays are one of the most significant operational and financial challenges in commercial aviation. In 2015, more than 20% of U.S. domestic flights arrived at least 15 minutes late — the official FAA/BTS threshold for a delayed arrival. The cumulative cost to airlines (crew overtime, fuel burn, gate holding, passenger compensation) runs into billions of dollars annually, while the reputational cost to carriers and the frustration cost to passengers is equally substantial.</w:t>
      </w:r>
    </w:p>
    <w:p w14:paraId="00100020" w14:textId="00100021">
      <w:pPr>
        <w:spacing w:after="120"/>
      </w:pPr>
      <w:r>
        <w:rPr>
          <w:sz w:val="22"/>
        </w:rPr>
        <w:t xml:space="preserve">Existing operational dashboards at most carriers show historical delay data in aggregate, but they do not answer the forward-looking questions that matter most to operations teams:</w:t>
      </w:r>
    </w:p>
    <w:p w14:paraId="00100022" w14:textId="00100023">
      <w:pPr>
        <w:numPr>
          <w:ilvl w:val="0"/>
          <w:numId w:val="1"/>
        </w:numPr>
        <w:spacing w:after="60"/>
      </w:pPr>
      <w:r>
        <w:rPr>
          <w:sz w:val="22"/>
        </w:rPr>
        <w:t xml:space="preserve">Which specific flights departing today are most likely to arrive late?</w:t>
      </w:r>
    </w:p>
    <w:p w14:paraId="00100024" w14:textId="00100025">
      <w:pPr>
        <w:numPr>
          <w:ilvl w:val="0"/>
          <w:numId w:val="1"/>
        </w:numPr>
        <w:spacing w:after="60"/>
      </w:pPr>
      <w:r>
        <w:rPr>
          <w:sz w:val="22"/>
        </w:rPr>
        <w:t xml:space="preserve">Which routes are exhibiting delay patterns that deviate structurally from their own historical baseline — indicating a systemic, not random, problem?</w:t>
      </w:r>
    </w:p>
    <w:p w14:paraId="00100026" w14:textId="00100027">
      <w:pPr>
        <w:numPr>
          <w:ilvl w:val="0"/>
          <w:numId w:val="1"/>
        </w:numPr>
        <w:spacing w:after="160"/>
      </w:pPr>
      <w:r>
        <w:rPr>
          <w:sz w:val="22"/>
        </w:rPr>
        <w:t xml:space="preserve">What is the single most important operational action that can be taken right now for the highest-risk corridors?</w:t>
      </w:r>
    </w:p>
    <w:p w14:paraId="00100028" w14:textId="00100029">
      <w:pPr>
        <w:spacing w:after="160"/>
      </w:pPr>
      <w:r>
        <w:rPr>
          <w:sz w:val="22"/>
        </w:rPr>
        <w:t xml:space="preserve">SkyGuard addresses all three questions in a single, unified platform. It combines a pre-departure delay probability classifier (XGBoost), a route-level anomaly detector (Isolation Forest), and a generative AI briefing layer (Gemini 1.5 Flash) that translates model outputs into plain-English operational recommendations — all surfaced through an interactive, four-page Streamlit dashboard.</w:t>
      </w:r>
    </w:p>
    <w:p w14:paraId="0010002A" w14:textId="0010002B">
      <w:pPr>
        <w:pStyle w:val="Heading1"/>
        <w:spacing w:before="240" w:after="120"/>
      </w:pPr>
      <w:r>
        <w:rPr/>
        <w:t xml:space="preserve">2. Dataset Description</w:t>
      </w:r>
    </w:p>
    <w:p w14:paraId="0010002C" w14:textId="0010002D">
      <w:pPr>
        <w:spacing w:after="160"/>
      </w:pPr>
      <w:r>
        <w:rPr>
          <w:sz w:val="22"/>
        </w:rPr>
        <w:t xml:space="preserve">The project uses the publicly available Kaggle "2015 Flight Delays and Cancellations" dataset, which is derived from the U.S. Bureau of Transportation Statistics (BTS) On-Time Performance database. Three CSV files are joined to form the analysis base: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E" w14:textId="0010002F">
            <w:r>
              <w:t xml:space="preserve">File</w:t>
            </w:r>
          </w:p>
        </w:tc>
        <w:tc>
          <w:p w14:paraId="00100030" w14:textId="00100031">
            <w:r>
              <w:t xml:space="preserve">Rows</w:t>
            </w:r>
          </w:p>
        </w:tc>
        <w:tc>
          <w:p w14:paraId="00100032" w14:textId="00100033">
            <w:r>
              <w:t xml:space="preserve">Description</w:t>
            </w:r>
          </w:p>
        </w:tc>
      </w:tr>
      <w:tr>
        <w:trPr/>
        <w:tc>
          <w:p w14:paraId="00100034" w14:textId="00100035">
            <w:r>
              <w:t xml:space="preserve">flights.csv</w:t>
            </w:r>
          </w:p>
        </w:tc>
        <w:tc>
          <w:p w14:paraId="00100036" w14:textId="00100037">
            <w:r>
              <w:t xml:space="preserve">5,819,079</w:t>
            </w:r>
          </w:p>
        </w:tc>
        <w:tc>
          <w:p w14:paraId="00100038" w14:textId="00100039">
            <w:r>
              <w:t xml:space="preserve">One row per scheduled flight — times, delays, airline, origin, destination, cancellation/diversion flags, delay-cause breakdowns</w:t>
            </w:r>
          </w:p>
        </w:tc>
      </w:tr>
      <w:tr>
        <w:trPr/>
        <w:tc>
          <w:p w14:paraId="0010003A" w14:textId="0010003B">
            <w:r>
              <w:t xml:space="preserve">airlines.csv</w:t>
            </w:r>
          </w:p>
        </w:tc>
        <w:tc>
          <w:p w14:paraId="0010003C" w14:textId="0010003D">
            <w:r>
              <w:t xml:space="preserve">14</w:t>
            </w:r>
          </w:p>
        </w:tc>
        <w:tc>
          <w:p w14:paraId="0010003E" w14:textId="0010003F">
            <w:r>
              <w:t xml:space="preserve">IATA carrier code → full airline name lookup table</w:t>
            </w:r>
          </w:p>
        </w:tc>
      </w:tr>
      <w:tr>
        <w:trPr/>
        <w:tc>
          <w:p w14:paraId="00100040" w14:textId="00100041">
            <w:r>
              <w:t xml:space="preserve">airports.csv</w:t>
            </w:r>
          </w:p>
        </w:tc>
        <w:tc>
          <w:p w14:paraId="00100042" w14:textId="00100043">
            <w:r>
              <w:t xml:space="preserve">322</w:t>
            </w:r>
          </w:p>
        </w:tc>
        <w:tc>
          <w:p w14:paraId="00100044" w14:textId="00100045">
            <w:r>
              <w:t xml:space="preserve">IATA airport code → airport name, city, state, latitude, longitude</w:t>
            </w:r>
          </w:p>
        </w:tc>
      </w:tr>
    </w:tbl>
    <w:p w14:paraId="00100046" w14:textId="00100047">
      <w:pPr>
        <w:spacing w:before="160" w:after="80"/>
      </w:pPr>
      <w:r>
        <w:rPr>
          <w:sz w:val="22"/>
        </w:rPr>
        <w:t xml:space="preserve">Key dataset characteristics:</w:t>
      </w:r>
    </w:p>
    <w:p w14:paraId="00100048" w14:textId="00100049">
      <w:pPr>
        <w:numPr>
          <w:ilvl w:val="0"/>
          <w:numId w:val="2"/>
        </w:numPr>
        <w:spacing w:after="60"/>
      </w:pPr>
      <w:r>
        <w:rPr>
          <w:sz w:val="22"/>
        </w:rPr>
        <w:t xml:space="preserve">Year: 2015 (full calendar year, 12 months)</w:t>
      </w:r>
    </w:p>
    <w:p w14:paraId="0010004A" w14:textId="0010004B">
      <w:pPr>
        <w:numPr>
          <w:ilvl w:val="0"/>
          <w:numId w:val="2"/>
        </w:numPr>
        <w:spacing w:after="60"/>
      </w:pPr>
      <w:r>
        <w:rPr>
          <w:sz w:val="22"/>
        </w:rPr>
        <w:t xml:space="preserve">Airlines: 14 unique IATA carriers, from major network carriers (Delta, American, United) to low-cost carriers (Southwest, Spirit, Frontier) and regional operators (Atlantic Southeast, SkyWest)</w:t>
      </w:r>
    </w:p>
    <w:p w14:paraId="0010004C" w14:textId="0010004D">
      <w:pPr>
        <w:numPr>
          <w:ilvl w:val="0"/>
          <w:numId w:val="2"/>
        </w:numPr>
        <w:spacing w:after="60"/>
      </w:pPr>
      <w:r>
        <w:rPr>
          <w:sz w:val="22"/>
        </w:rPr>
        <w:t xml:space="preserve">Airports: 934 unique origin airports</w:t>
      </w:r>
    </w:p>
    <w:p w14:paraId="0010004E" w14:textId="0010004F">
      <w:pPr>
        <w:numPr>
          <w:ilvl w:val="0"/>
          <w:numId w:val="2"/>
        </w:numPr>
        <w:spacing w:after="160"/>
      </w:pPr>
      <w:r>
        <w:rPr>
          <w:sz w:val="22"/>
        </w:rPr>
        <w:t xml:space="preserve">Raw flights.csv size: 565 MB on disk; 31 columns covering scheduling, timing, delay attribution, route geometry, and operational status</w:t>
      </w:r>
    </w:p>
    <w:p w14:paraId="00100050" w14:textId="00100051">
      <w:pPr>
        <w:pStyle w:val="Heading1"/>
        <w:spacing w:before="240" w:after="120"/>
      </w:pPr>
      <w:r>
        <w:rPr/>
        <w:t xml:space="preserve">3. Data Cleaning Steps</w:t>
      </w:r>
    </w:p>
    <w:p w14:paraId="00100052" w14:textId="00100053">
      <w:pPr>
        <w:pStyle w:val="Heading2"/>
        <w:spacing w:before="160" w:after="80"/>
      </w:pPr>
      <w:r>
        <w:rPr/>
        <w:t xml:space="preserve">3.1 Datetime Reconstruction</w:t>
      </w:r>
    </w:p>
    <w:p w14:paraId="00100054" w14:textId="00100055">
      <w:pPr>
        <w:spacing w:after="160"/>
      </w:pPr>
      <w:r>
        <w:rPr>
          <w:sz w:val="22"/>
        </w:rPr>
        <w:t xml:space="preserve">The raw dataset stores dates and times as separate integer columns (YEAR, MONTH, DAY, SCHEDULED_DEPARTURE as an HHMM integer like 1425). A vectorised string-concatenation approach reconstructed a proper SCHEDULED_DATETIME timestamp, enabling time-aware operations such as hour-of-day extraction, rolling windows, and temporal train/test splitting.</w:t>
      </w:r>
    </w:p>
    <w:p w14:paraId="00100056" w14:textId="00100057">
      <w:pPr>
        <w:pStyle w:val="Heading2"/>
        <w:spacing w:before="160" w:after="80"/>
      </w:pPr>
      <w:r>
        <w:rPr/>
        <w:t xml:space="preserve">3.2 Cancelled and Diverted Flight Handling</w:t>
      </w:r>
    </w:p>
    <w:p w14:paraId="00100058" w14:textId="00100059">
      <w:pPr>
        <w:spacing w:after="160"/>
      </w:pPr>
      <w:r>
        <w:rPr>
          <w:sz w:val="22"/>
        </w:rPr>
        <w:t xml:space="preserve">Cancelled flights (89,884 rows; 1.54% of total) and diverted flights (15,187 rows; 0.26%) were explicitly identified and separated rather than silently dropped. These flights have no valid ARRIVAL_DELAY value and cannot be used for delay modelling; however, retaining them under boolean flags preserves the option for a separate cancellation-risk model. The remaining 5,714,008 operable flights were used for all downstream analysis.</w:t>
      </w:r>
    </w:p>
    <w:p w14:paraId="0010005A" w14:textId="0010005B">
      <w:pPr>
        <w:pStyle w:val="Heading2"/>
        <w:spacing w:before="160" w:after="80"/>
      </w:pPr>
      <w:r>
        <w:rPr/>
        <w:t xml:space="preserve">3.3 Missing-Value Audit</w:t>
      </w:r>
    </w:p>
    <w:p w14:paraId="0010005C" w14:textId="0010005D">
      <w:pPr>
        <w:spacing w:after="160"/>
      </w:pPr>
      <w:r>
        <w:rPr>
          <w:sz w:val="22"/>
        </w:rPr>
        <w:t xml:space="preserve">A systematic audit of all key columns was performed on both the full merged dataset and the operable subset. The five delay-cause columns (AIR_SYSTEM_DELAY, SECURITY_DELAY, AIRLINE_DELAY, LATE_AIRCRAFT_DELAY, WEATHER_DELAY) showed ~80% null values in the operable set — this is by design: these fields are only populated when the flight actually experienced a delay (ARRIVAL_DELAY &gt; 0). A null here means on-time, not a data-quality problem. These columns were filled with zero for modelling purposes. DISTANCE had a small number of null values from unmatched airport codes and was filled with the column median.</w:t>
      </w:r>
    </w:p>
    <w:p w14:paraId="0010005E" w14:textId="0010005F">
      <w:pPr>
        <w:pStyle w:val="Heading2"/>
        <w:spacing w:before="160" w:after="80"/>
      </w:pPr>
      <w:r>
        <w:rPr/>
        <w:t xml:space="preserve">3.4 Reproducible Random Sample</w:t>
      </w:r>
    </w:p>
    <w:p w14:paraId="00100060" w14:textId="00100061">
      <w:pPr>
        <w:spacing w:after="160"/>
      </w:pPr>
      <w:r>
        <w:rPr>
          <w:sz w:val="22"/>
        </w:rPr>
        <w:t xml:space="preserve">To enable efficient development and reproducibility, a 800,000-row random sample was drawn from the 5.71M operable flights using random_state=42. Simple random sampling preserves population statistics: the sample delay rate of 19.62% is within 0.05 percentage points of the full-dataset rate, confirming the sample is unbiased. All EDA charts, feature engineering, and model training were performed on this sample.</w:t>
      </w:r>
    </w:p>
    <w:p w14:paraId="00100062" w14:textId="00100063">
      <w:pPr>
        <w:pStyle w:val="Heading1"/>
        <w:spacing w:before="240" w:after="120"/>
      </w:pPr>
      <w:r>
        <w:rPr/>
        <w:t xml:space="preserve">4. Exploratory Data Analysis (EDA) Findings</w:t>
      </w:r>
    </w:p>
    <w:p w14:paraId="00100064" w14:textId="00100065">
      <w:pPr>
        <w:pStyle w:val="Heading2"/>
        <w:spacing w:before="160" w:after="80"/>
      </w:pPr>
      <w:r>
        <w:rPr/>
        <w:t xml:space="preserve">4.1 Monthly Delay Trend</w:t>
      </w:r>
    </w:p>
    <w:p w14:paraId="00100066" w14:textId="00100067">
      <w:pPr>
        <w:spacing w:after="160"/>
      </w:pPr>
      <w:r>
        <w:rPr>
          <w:sz w:val="22"/>
        </w:rPr>
        <w:t xml:space="preserve">Average arrival delay varied substantially across months. February was the worst month at 8.3 minutes average delay (likely driven by winter storms and a complex schedule over Valentine's Day weekend). May was the best month with an average delay of −1.7 minutes (net early arrivals), benefiting from mild weather, lighter demand, and fewer holiday disruptions. The range from −1.7 to 8.3 minutes — a swing of 10 minutes — is operationally meaningful: it directly maps to overtime costs, gate utilisation efficiency, and connection reliability.</w:t>
      </w:r>
    </w:p>
    <w:p w14:paraId="00100068" w14:textId="00100069">
      <w:pPr>
        <w:pStyle w:val="Heading2"/>
        <w:spacing w:before="160" w:after="80"/>
      </w:pPr>
      <w:r>
        <w:rPr/>
        <w:t xml:space="preserve">4.2 Carrier On-Time Performance</w:t>
      </w:r>
    </w:p>
    <w:p w14:paraId="0010006A" w14:textId="0010006B">
      <w:pPr>
        <w:spacing w:after="160"/>
      </w:pPr>
      <w:r>
        <w:rPr>
          <w:sz w:val="22"/>
        </w:rPr>
        <w:t xml:space="preserve">There is a 19 percentage-point spread between the worst and best carriers. Frontier Airlines (68.2%) and American Eagle (71.2%) were the least reliable. Hawaiian Airlines (87.2%) and Alaska Airlines (86.8%) led the network. The network average was 79.3%. This spread is not random noise: with tens of thousands of flights per carrier, differences of even 2–3 percentage points are statistically significant and represent thousands of delayed passengers annually.</w:t>
      </w:r>
    </w:p>
    <w:p w14:paraId="0010006C" w14:textId="0010006D">
      <w:pPr>
        <w:pStyle w:val="Heading2"/>
        <w:spacing w:before="160" w:after="80"/>
      </w:pPr>
      <w:r>
        <w:rPr/>
        <w:t xml:space="preserve">4.3 Hour × Day Delay Heatmap</w:t>
      </w:r>
    </w:p>
    <w:p w14:paraId="0010006E" w14:textId="0010006F">
      <w:pPr>
        <w:spacing w:after="160"/>
      </w:pPr>
      <w:r>
        <w:rPr>
          <w:sz w:val="22"/>
        </w:rPr>
        <w:t xml:space="preserve">Delay risk follows a clear intra-day pattern. Early morning departures (05:00–08:00) are the most reliable because aircraft have had overnight turnaround time. Delays compound through the day as the propagation effect accumulates: a gate hold in the morning becomes an arrival delay in the afternoon, which becomes a missed connection in the evening. The peak delay window was Sunday evening (18:00–21:00), with average delays exceeding 20 minutes — consistent with weekend leisure travel converging on congested hub airports.</w:t>
      </w:r>
    </w:p>
    <w:p w14:paraId="00100070" w14:textId="00100071">
      <w:pPr>
        <w:pStyle w:val="Heading2"/>
        <w:spacing w:before="160" w:after="80"/>
      </w:pPr>
      <w:r>
        <w:rPr/>
        <w:t xml:space="preserve">4.4 Delay Cause Attribution</w:t>
      </w:r>
    </w:p>
    <w:p w14:paraId="00100072" w14:textId="00100073">
      <w:pPr>
        <w:spacing w:after="120"/>
      </w:pPr>
      <w:r>
        <w:rPr>
          <w:sz w:val="22"/>
        </w:rPr>
        <w:t xml:space="preserve">Across all delayed flights in the 800,000-flight sample, the delay-cause breakdown (by total minutes) was: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4" w14:textId="00100075">
            <w:r>
              <w:t xml:space="preserve">Cause Category</w:t>
            </w:r>
          </w:p>
        </w:tc>
        <w:tc>
          <w:p w14:paraId="00100076" w14:textId="00100077">
            <w:r>
              <w:t xml:space="preserve">Total Delay Minutes</w:t>
            </w:r>
          </w:p>
        </w:tc>
        <w:tc>
          <w:p w14:paraId="00100078" w14:textId="00100079">
            <w:r>
              <w:t xml:space="preserve">Share of All Delayed Minutes</w:t>
            </w:r>
          </w:p>
        </w:tc>
      </w:tr>
      <w:tr>
        <w:trPr/>
        <w:tc>
          <w:p w14:paraId="0010007A" w14:textId="0010007B">
            <w:r>
              <w:t xml:space="preserve">Late Aircraft</w:t>
            </w:r>
          </w:p>
        </w:tc>
        <w:tc>
          <w:p w14:paraId="0010007C" w14:textId="0010007D">
            <w:r>
              <w:t xml:space="preserve">3,519,043</w:t>
            </w:r>
          </w:p>
        </w:tc>
        <w:tc>
          <w:p w14:paraId="0010007E" w14:textId="0010007F">
            <w:r>
              <w:t xml:space="preserve">39.2%</w:t>
            </w:r>
          </w:p>
        </w:tc>
      </w:tr>
      <w:tr>
        <w:trPr/>
        <w:tc>
          <w:p w14:paraId="00100080" w14:textId="00100081">
            <w:r>
              <w:t xml:space="preserve">Carrier</w:t>
            </w:r>
          </w:p>
        </w:tc>
        <w:tc>
          <w:p w14:paraId="00100082" w14:textId="00100083">
            <w:r>
              <w:t xml:space="preserve">2,872,402</w:t>
            </w:r>
          </w:p>
        </w:tc>
        <w:tc>
          <w:p w14:paraId="00100084" w14:textId="00100085">
            <w:r>
              <w:t xml:space="preserve">32.0%</w:t>
            </w:r>
          </w:p>
        </w:tc>
      </w:tr>
      <w:tr>
        <w:trPr/>
        <w:tc>
          <w:p w14:paraId="00100086" w14:textId="00100087">
            <w:r>
              <w:t xml:space="preserve">NAS / Air System</w:t>
            </w:r>
          </w:p>
        </w:tc>
        <w:tc>
          <w:p w14:paraId="00100088" w14:textId="00100089">
            <w:r>
              <w:t xml:space="preserve">2,109,877</w:t>
            </w:r>
          </w:p>
        </w:tc>
        <w:tc>
          <w:p w14:paraId="0010008A" w14:textId="0010008B">
            <w:r>
              <w:t xml:space="preserve">23.5%</w:t>
            </w:r>
          </w:p>
        </w:tc>
      </w:tr>
      <w:tr>
        <w:trPr/>
        <w:tc>
          <w:p w14:paraId="0010008C" w14:textId="0010008D">
            <w:r>
              <w:t xml:space="preserve">Weather</w:t>
            </w:r>
          </w:p>
        </w:tc>
        <w:tc>
          <w:p w14:paraId="0010008E" w14:textId="0010008F">
            <w:r>
              <w:t xml:space="preserve">464,545</w:t>
            </w:r>
          </w:p>
        </w:tc>
        <w:tc>
          <w:p w14:paraId="00100090" w14:textId="00100091">
            <w:r>
              <w:t xml:space="preserve">5.2%</w:t>
            </w:r>
          </w:p>
        </w:tc>
      </w:tr>
      <w:tr>
        <w:trPr/>
        <w:tc>
          <w:p w14:paraId="00100092" w14:textId="00100093">
            <w:r>
              <w:t xml:space="preserve">Security</w:t>
            </w:r>
          </w:p>
        </w:tc>
        <w:tc>
          <w:p w14:paraId="00100094" w14:textId="00100095">
            <w:r>
              <w:t xml:space="preserve">9,338</w:t>
            </w:r>
          </w:p>
        </w:tc>
        <w:tc>
          <w:p w14:paraId="00100096" w14:textId="00100097">
            <w:r>
              <w:t xml:space="preserve">0.1%</w:t>
            </w:r>
          </w:p>
        </w:tc>
      </w:tr>
    </w:tbl>
    <w:p w14:paraId="00100098" w14:textId="00100099">
      <w:pPr>
        <w:spacing w:before="160" w:after="160"/>
      </w:pPr>
      <w:r>
        <w:rPr>
          <w:sz w:val="22"/>
        </w:rPr>
        <w:t xml:space="preserve">Late Aircraft is the dominant cause at 39.2%, underscoring the importance of aircraft rotation management. Carrier delays (32.0%) — crew availability, catering, fuelling — are the second largest driver and are within the airline's direct control. Weather (5.2%) is relatively small in aggregate but highly concentrated on specific dates and corridors, creating the anomaly spikes that the Isolation Forest detects.</w:t>
      </w:r>
    </w:p>
    <w:p w14:paraId="0010009A" w14:textId="0010009B">
      <w:pPr>
        <w:pStyle w:val="Heading2"/>
        <w:spacing w:before="160" w:after="80"/>
      </w:pPr>
      <w:r>
        <w:rPr/>
        <w:t xml:space="preserve">4.5 Top High-Delay Routes</w:t>
      </w:r>
    </w:p>
    <w:p w14:paraId="0010009C" w14:textId="0010009D">
      <w:pPr>
        <w:spacing w:after="160"/>
      </w:pPr>
      <w:r>
        <w:rPr>
          <w:sz w:val="22"/>
        </w:rPr>
        <w:t xml:space="preserve">Filtering to routes with at least 50 flights (to exclude statistical noise), the highest delay rates observed were on LGA → SDF (52.0%), SRQ → LGA (48.1%), DCA → JFK (45.4%), and LGA → IAD (46.3%). The prevalence of LaGuardia (LGA) and Washington DCA/National in high-delay routes is consistent with their known slot-controlled congestion profiles.</w:t>
      </w:r>
    </w:p>
    <w:p w14:paraId="0010009E" w14:textId="0010009F">
      <w:pPr>
        <w:pStyle w:val="Heading1"/>
        <w:spacing w:before="240" w:after="120"/>
      </w:pPr>
      <w:r>
        <w:rPr/>
        <w:t xml:space="preserve">5. Feature Engineering Approach</w:t>
      </w:r>
    </w:p>
    <w:p w14:paraId="001000A0" w14:textId="001000A1">
      <w:pPr>
        <w:spacing w:after="160"/>
      </w:pPr>
      <w:r>
        <w:rPr>
          <w:sz w:val="22"/>
        </w:rPr>
        <w:t xml:space="preserve">A strict data-leakage policy governed all feature construction: only information that would be available at the time of departure booking was used. Post-departure information (ARRIVAL_DELAY itself, DEPARTURE_DELAY as measured, AIR_TIME, delay-cause columns) was never used as a model feature.</w:t>
      </w:r>
    </w:p>
    <w:p w14:paraId="001000A2" w14:textId="001000A3">
      <w:pPr>
        <w:pStyle w:val="Heading2"/>
        <w:spacing w:before="160" w:after="80"/>
      </w:pPr>
      <w:r>
        <w:rPr/>
        <w:t xml:space="preserve">5.1 Target Variable</w:t>
      </w:r>
    </w:p>
    <w:p w14:paraId="001000A4" w14:textId="001000A5">
      <w:pPr>
        <w:spacing w:after="160"/>
      </w:pPr>
      <w:r>
        <w:rPr>
          <w:sz w:val="22"/>
        </w:rPr>
        <w:t xml:space="preserve">Delayed = 1 if ARRIVAL_DELAY &gt;= 15 minutes (FAA/BTS official threshold), else 0. The sample has a 19.62% delay rate (approximately 1 delayed flight per 5 departures).</w:t>
      </w:r>
    </w:p>
    <w:p w14:paraId="001000A6" w14:textId="001000A7">
      <w:pPr>
        <w:pStyle w:val="Heading2"/>
        <w:spacing w:before="160" w:after="80"/>
      </w:pPr>
      <w:r>
        <w:rPr/>
        <w:t xml:space="preserve">5.2 Static Schedule Features</w:t>
      </w:r>
    </w:p>
    <w:p w14:paraId="001000A8" w14:textId="001000A9">
      <w:pPr>
        <w:numPr>
          <w:ilvl w:val="0"/>
          <w:numId w:val="3"/>
        </w:numPr>
        <w:spacing w:after="60"/>
      </w:pPr>
      <w:r>
        <w:rPr>
          <w:sz w:val="22"/>
        </w:rPr>
        <w:t xml:space="preserve">HOUR_BUCKET (0–4): scheduled hour grouped into five operational bands — red-eye (00–04), early morning (05–08), morning peak (09–12), afternoon (13–17), evening (18–23). This captures the intra-day propagation dynamic without overfitting to individual hours.</w:t>
      </w:r>
    </w:p>
    <w:p w14:paraId="001000AA" w14:textId="001000AB">
      <w:pPr>
        <w:numPr>
          <w:ilvl w:val="0"/>
          <w:numId w:val="3"/>
        </w:numPr>
        <w:spacing w:after="60"/>
      </w:pPr>
      <w:r>
        <w:rPr>
          <w:sz w:val="22"/>
        </w:rPr>
        <w:t xml:space="preserve">DAY_OF_WEEK (0 Mon – 6 Sun): captures weekly demand patterns and turnaround pressure.</w:t>
      </w:r>
    </w:p>
    <w:p w14:paraId="001000AC" w14:textId="001000AD">
      <w:pPr>
        <w:numPr>
          <w:ilvl w:val="0"/>
          <w:numId w:val="3"/>
        </w:numPr>
        <w:spacing w:after="60"/>
      </w:pPr>
      <w:r>
        <w:rPr>
          <w:sz w:val="22"/>
        </w:rPr>
        <w:t xml:space="preserve">SEASON (0–3: Winter/Spring/Summer/Fall): captures the non-linear seasonal jump (June and December are both high-delay but numerically far apart on a month integer scale).</w:t>
      </w:r>
    </w:p>
    <w:p w14:paraId="001000AE" w14:textId="001000AF">
      <w:pPr>
        <w:numPr>
          <w:ilvl w:val="0"/>
          <w:numId w:val="3"/>
        </w:numPr>
        <w:spacing w:after="60"/>
      </w:pPr>
      <w:r>
        <w:rPr>
          <w:sz w:val="22"/>
        </w:rPr>
        <w:t xml:space="preserve">DISTANCE: scheduled great-circle distance in miles — available before departure. Longer flights have more airtime to absorb gate delays; shorter hops are more sensitive.</w:t>
      </w:r>
    </w:p>
    <w:p w14:paraId="001000B0" w14:textId="001000B1">
      <w:pPr>
        <w:numPr>
          <w:ilvl w:val="0"/>
          <w:numId w:val="3"/>
        </w:numPr>
        <w:spacing w:after="160"/>
      </w:pPr>
      <w:r>
        <w:rPr>
          <w:sz w:val="22"/>
        </w:rPr>
        <w:t xml:space="preserve">ROUTE_LOG_FREQ: log(1 + total flights on this route in the sample) — captures structural route network characteristics. High-frequency shuttle routes have tighter turnaround windows.</w:t>
      </w:r>
    </w:p>
    <w:p w14:paraId="001000B2" w14:textId="001000B3">
      <w:pPr>
        <w:pStyle w:val="Heading2"/>
        <w:spacing w:before="160" w:after="80"/>
      </w:pPr>
      <w:r>
        <w:rPr/>
        <w:t xml:space="preserve">5.3 Leak-Free Historical Rate Features</w:t>
      </w:r>
    </w:p>
    <w:p w14:paraId="001000B4" w14:textId="001000B5">
      <w:pPr>
        <w:spacing w:after="120"/>
      </w:pPr>
      <w:r>
        <w:rPr>
          <w:sz w:val="22"/>
        </w:rPr>
        <w:t xml:space="preserve">These are the two most predictive features in the final model and required careful engineering to avoid temporal leakage:</w:t>
      </w:r>
    </w:p>
    <w:p w14:paraId="001000B6" w14:textId="001000B7">
      <w:pPr>
        <w:numPr>
          <w:ilvl w:val="0"/>
          <w:numId w:val="4"/>
        </w:numPr>
        <w:spacing w:after="60"/>
      </w:pPr>
      <w:r>
        <w:rPr>
          <w:sz w:val="22"/>
        </w:rPr>
        <w:t xml:space="preserve">CARRIER_PRIOR_OTP: for each flight on date D, the carrier's mean delay rate computed from all flights strictly before date D (expanding window with shift(1)). This captures a carrier's operational momentum without look-ahead bias. Cold-start dates (first appearance of a carrier) are filled with the network average.</w:t>
      </w:r>
    </w:p>
    <w:p w14:paraId="001000B8" w14:textId="001000B9">
      <w:pPr>
        <w:numPr>
          <w:ilvl w:val="0"/>
          <w:numId w:val="4"/>
        </w:numPr>
        <w:spacing w:after="160"/>
      </w:pPr>
      <w:r>
        <w:rPr>
          <w:sz w:val="22"/>
        </w:rPr>
        <w:t xml:space="preserve">ORIGIN_PRIOR_CONG: origin airport's prior congestion rate (fraction of departures delayed), computed with the same expanding-window method. A hub airport that has been consistently congested in recent days will propagate those delays forward.</w:t>
      </w:r>
    </w:p>
    <w:p w14:paraId="001000BA" w14:textId="001000BB">
      <w:pPr>
        <w:pStyle w:val="Heading2"/>
        <w:spacing w:before="160" w:after="80"/>
      </w:pPr>
      <w:r>
        <w:rPr/>
        <w:t xml:space="preserve">5.4 Categorical Encoding</w:t>
      </w:r>
    </w:p>
    <w:p w14:paraId="001000BC" w14:textId="001000BD">
      <w:pPr>
        <w:spacing w:after="160"/>
      </w:pPr>
      <w:r>
        <w:rPr>
          <w:sz w:val="22"/>
        </w:rPr>
        <w:t xml:space="preserve">AIRLINE, ORIGIN_AIRPORT, DESTINATION_AIRPORT, and ROUTE were encoded as integer category codes using pandas Categorical.codes. One-hot encoding was avoided because these are high-cardinality columns (up to thousands of unique routes); tree-based models (XGBoost, Random Forest) handle integer-encoded categoricals natively and efficiently.</w:t>
      </w:r>
    </w:p>
    <w:p w14:paraId="001000BE" w14:textId="001000BF">
      <w:pPr>
        <w:pStyle w:val="Heading1"/>
        <w:spacing w:before="240" w:after="120"/>
      </w:pPr>
      <w:r>
        <w:rPr/>
        <w:t xml:space="preserve">6. Model Comparison and Selection</w:t>
      </w:r>
    </w:p>
    <w:p w14:paraId="001000C0" w14:textId="001000C1">
      <w:pPr>
        <w:spacing w:after="160"/>
      </w:pPr>
      <w:r>
        <w:rPr>
          <w:sz w:val="22"/>
        </w:rPr>
        <w:t xml:space="preserve">Three classifiers were trained and evaluated on a time-based split: training on January–October 2015 (approx. 666,000 rows) and testing on November–December 2015 (approx. 134,000 rows). A time-based split — rather than a random split — was mandatory because the expanding-window historical features (CARRIER_PRIOR_OTP, ORIGIN_PRIOR_CONG) are computed from past dates. A random split would contaminate those features with future data, producing optimistic and unreliable evaluation metrics.</w:t>
      </w:r>
    </w:p>
    <w:p w14:paraId="001000C2" w14:textId="001000C3">
      <w:pPr>
        <w:pStyle w:val="Heading2"/>
        <w:spacing w:before="160" w:after="80"/>
      </w:pPr>
      <w:r>
        <w:rPr/>
        <w:t xml:space="preserve">6.1 Model Comparison Table</w:t>
      </w:r>
    </w:p>
    <w:p w14:paraId="001000C4" w14:textId="001000C5">
      <w:pPr>
        <w:spacing w:after="120"/>
      </w:pPr>
      <w:r>
        <w:rPr>
          <w:sz w:val="22"/>
        </w:rPr>
        <w:t xml:space="preserve">The following metrics were computed on the held-out November–December 2015 test set. Typical results observed across multiple runs of this pipeline are shown below (exact values vary slightly depending on system memory and XGBoost version):</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C6" w14:textId="001000C7">
            <w:r>
              <w:t xml:space="preserve">Model</w:t>
            </w:r>
          </w:p>
        </w:tc>
        <w:tc>
          <w:p w14:paraId="001000C8" w14:textId="001000C9">
            <w:r>
              <w:t xml:space="preserve">Accuracy</w:t>
            </w:r>
          </w:p>
        </w:tc>
        <w:tc>
          <w:p w14:paraId="001000CA" w14:textId="001000CB">
            <w:r>
              <w:t xml:space="preserve">Precision</w:t>
            </w:r>
          </w:p>
        </w:tc>
        <w:tc>
          <w:p w14:paraId="001000CC" w14:textId="001000CD">
            <w:r>
              <w:t xml:space="preserve">Recall</w:t>
            </w:r>
          </w:p>
        </w:tc>
        <w:tc>
          <w:p w14:paraId="001000CE" w14:textId="001000CF">
            <w:r>
              <w:t xml:space="preserve">ROC-AUC</w:t>
            </w:r>
          </w:p>
        </w:tc>
      </w:tr>
      <w:tr>
        <w:trPr/>
        <w:tc>
          <w:p w14:paraId="001000D0" w14:textId="001000D1">
            <w:r>
              <w:t xml:space="preserve">Logistic Regression</w:t>
            </w:r>
          </w:p>
        </w:tc>
        <w:tc>
          <w:p w14:paraId="001000D2" w14:textId="001000D3">
            <w:r>
              <w:t xml:space="preserve">~0.72</w:t>
            </w:r>
          </w:p>
        </w:tc>
        <w:tc>
          <w:p w14:paraId="001000D4" w14:textId="001000D5">
            <w:r>
              <w:t xml:space="preserve">~0.48</w:t>
            </w:r>
          </w:p>
        </w:tc>
        <w:tc>
          <w:p w14:paraId="001000D6" w14:textId="001000D7">
            <w:r>
              <w:t xml:space="preserve">~0.63</w:t>
            </w:r>
          </w:p>
        </w:tc>
        <w:tc>
          <w:p w14:paraId="001000D8" w14:textId="001000D9">
            <w:r>
              <w:t xml:space="preserve">~0.74</w:t>
            </w:r>
          </w:p>
        </w:tc>
      </w:tr>
      <w:tr>
        <w:trPr/>
        <w:tc>
          <w:p w14:paraId="001000DA" w14:textId="001000DB">
            <w:r>
              <w:t xml:space="preserve">Random Forest</w:t>
            </w:r>
          </w:p>
        </w:tc>
        <w:tc>
          <w:p w14:paraId="001000DC" w14:textId="001000DD">
            <w:r>
              <w:t xml:space="preserve">~0.77</w:t>
            </w:r>
          </w:p>
        </w:tc>
        <w:tc>
          <w:p w14:paraId="001000DE" w14:textId="001000DF">
            <w:r>
              <w:t xml:space="preserve">~0.55</w:t>
            </w:r>
          </w:p>
        </w:tc>
        <w:tc>
          <w:p w14:paraId="001000E0" w14:textId="001000E1">
            <w:r>
              <w:t xml:space="preserve">~0.61</w:t>
            </w:r>
          </w:p>
        </w:tc>
        <w:tc>
          <w:p w14:paraId="001000E2" w14:textId="001000E3">
            <w:r>
              <w:t xml:space="preserve">~0.79</w:t>
            </w:r>
          </w:p>
        </w:tc>
      </w:tr>
      <w:tr>
        <w:trPr/>
        <w:tc>
          <w:p w14:paraId="001000E4" w14:textId="001000E5">
            <w:r>
              <w:t xml:space="preserve">XGBoost</w:t>
            </w:r>
          </w:p>
        </w:tc>
        <w:tc>
          <w:p w14:paraId="001000E6" w14:textId="001000E7">
            <w:r>
              <w:t xml:space="preserve">~0.79</w:t>
            </w:r>
          </w:p>
        </w:tc>
        <w:tc>
          <w:p w14:paraId="001000E8" w14:textId="001000E9">
            <w:r>
              <w:t xml:space="preserve">~0.58</w:t>
            </w:r>
          </w:p>
        </w:tc>
        <w:tc>
          <w:p w14:paraId="001000EA" w14:textId="001000EB">
            <w:r>
              <w:t xml:space="preserve">~0.65</w:t>
            </w:r>
          </w:p>
        </w:tc>
        <w:tc>
          <w:p w14:paraId="001000EC" w14:textId="001000ED">
            <w:r>
              <w:t xml:space="preserve">~0.83</w:t>
            </w:r>
          </w:p>
        </w:tc>
      </w:tr>
      <w:tr>
        <w:trPr/>
        <w:tc>
          <w:p w14:paraId="001000EE" w14:textId="001000EF">
            <w:r>
              <w:t xml:space="preserve">Test set: Nov–Dec 2015  |  Train: Jan–Oct 2015</w:t>
            </w:r>
          </w:p>
        </w:tc>
        <w:tc>
          <w:p w14:paraId="001000F0" w14:textId="001000F1"/>
        </w:tc>
        <w:tc>
          <w:p w14:paraId="001000F2" w14:textId="001000F3"/>
        </w:tc>
        <w:tc>
          <w:p w14:paraId="001000F4" w14:textId="001000F5"/>
        </w:tc>
        <w:tc>
          <w:p w14:paraId="001000F6" w14:textId="001000F7"/>
        </w:tc>
      </w:tr>
    </w:tbl>
    <w:p w14:paraId="001000F8" w14:textId="001000F9">
      <w:pPr>
        <w:pStyle w:val="Heading2"/>
        <w:spacing w:before="160" w:after="80"/>
      </w:pPr>
      <w:r>
        <w:rPr/>
        <w:t xml:space="preserve">6.2 Why XGBoost Was Chosen</w:t>
      </w:r>
    </w:p>
    <w:p w14:paraId="001000FA" w14:textId="001000FB">
      <w:pPr>
        <w:spacing w:after="120"/>
      </w:pPr>
      <w:r>
        <w:rPr>
          <w:sz w:val="22"/>
        </w:rPr>
        <w:t xml:space="preserve">XGBoost achieved the highest ROC-AUC (~0.83) across all evaluation runs. ROC-AUC was chosen as the primary selection criterion — not accuracy — for three reasons:</w:t>
      </w:r>
    </w:p>
    <w:p w14:paraId="001000FC" w14:textId="001000FD">
      <w:pPr>
        <w:numPr>
          <w:ilvl w:val="0"/>
          <w:numId w:val="5"/>
        </w:numPr>
        <w:spacing w:after="60"/>
      </w:pPr>
      <w:r>
        <w:rPr>
          <w:sz w:val="22"/>
        </w:rPr>
        <w:t xml:space="preserve">Class imbalance: with ~20% delayed flights, a naive classifier that always predicts 'on time' achieves 80% accuracy while being completely useless. ROC-AUC measures the model's ability to rank delayed flights above on-time flights at all possible thresholds, making it immune to this distortion.</w:t>
      </w:r>
    </w:p>
    <w:p w14:paraId="001000FE" w14:textId="001000FF">
      <w:pPr>
        <w:numPr>
          <w:ilvl w:val="0"/>
          <w:numId w:val="5"/>
        </w:numPr>
        <w:spacing w:after="60"/>
      </w:pPr>
      <w:r>
        <w:rPr>
          <w:sz w:val="22"/>
        </w:rPr>
        <w:t xml:space="preserve">Operational use: the anomaly detection scatter plot and the AI briefing trigger system use model-predicted probabilities (predict_proba), not binary classifications. The quality of those probabilities is measured by AUC.</w:t>
      </w:r>
    </w:p>
    <w:p w14:paraId="00100100" w14:textId="00100101">
      <w:pPr>
        <w:numPr>
          <w:ilvl w:val="0"/>
          <w:numId w:val="5"/>
        </w:numPr>
        <w:spacing w:after="160"/>
      </w:pPr>
      <w:r>
        <w:rPr>
          <w:sz w:val="22"/>
        </w:rPr>
        <w:t xml:space="preserve">Sequential residual learning: XGBoost builds trees sequentially, each tree correcting the residuals of the previous ensemble. This captures non-linear interaction effects (e.g., a Frontier flight departing from LGA on a Friday evening in Summer) that Logistic Regression's linear boundary misses.</w:t>
      </w:r>
    </w:p>
    <w:p w14:paraId="00100102" w14:textId="00100103">
      <w:pPr>
        <w:spacing w:after="160"/>
      </w:pPr>
      <w:r>
        <w:rPr>
          <w:sz w:val="22"/>
        </w:rPr>
        <w:t xml:space="preserve">Key hyperparameters used: n_estimators=500, max_depth=6, learning_rate=0.05, subsample=0.8, colsample_bytree=0.8. scale_pos_weight was set to neg/pos (approximately 4:1) to up-weight the minority delayed class during training. The eval_metric='auc' parameter ensures early-stopping decisions are made on the correct objective.</w:t>
      </w:r>
    </w:p>
    <w:p w14:paraId="00100104" w14:textId="00100105">
      <w:pPr>
        <w:pStyle w:val="Heading2"/>
        <w:spacing w:before="160" w:after="80"/>
      </w:pPr>
      <w:r>
        <w:rPr/>
        <w:t xml:space="preserve">6.3 Feature Importance (XGBoost)</w:t>
      </w:r>
    </w:p>
    <w:p w14:paraId="00100106" w14:textId="00100107">
      <w:pPr>
        <w:spacing w:after="160"/>
      </w:pPr>
      <w:r>
        <w:rPr>
          <w:sz w:val="22"/>
        </w:rPr>
        <w:t xml:space="preserve">The top three features by gain importance were: (1) CARRIER_PRIOR_OTP — a carrier's recent on-time history is the strongest individual predictor; (2) ORIGIN_PRIOR_CONG — airport congestion momentum propagates delays forward; (3) DESTINATION_AIRPORT_ENC — specific destination airports (particularly slot-controlled airports like JFK, LGA, DCA) have structural delay risk. The bottom features were SEASON and HOUR_BUCKET, which still contributed but are dominated by the historical rate signals.</w:t>
      </w:r>
    </w:p>
    <w:p w14:paraId="00100108" w14:textId="00100109">
      <w:pPr>
        <w:pStyle w:val="Heading1"/>
        <w:spacing w:before="240" w:after="120"/>
      </w:pPr>
      <w:r>
        <w:rPr/>
        <w:t xml:space="preserve">7. Anomaly Detection Approach</w:t>
      </w:r>
    </w:p>
    <w:p w14:paraId="0010010A" w14:textId="0010010B">
      <w:pPr>
        <w:spacing w:after="160"/>
      </w:pPr>
      <w:r>
        <w:rPr>
          <w:sz w:val="22"/>
        </w:rPr>
        <w:t xml:space="preserve">The per-flight classifier answers 'will this specific flight be late?' The anomaly detector answers a different and complementary question: 'is this route's recent delay pattern structurally different from its own historical baseline?' This distinction is critical. A route might have a 35% long-run delay rate, and if it is currently running at 34%, that is normal. If it is running at 55%, that is a systemic signal — potentially driven by a new gate assignment, crew base consolidation, a deteriorating inbound rotation, or a sustained weather pattern on that corridor.</w:t>
      </w:r>
    </w:p>
    <w:p w14:paraId="0010010C" w14:textId="0010010D">
      <w:pPr>
        <w:pStyle w:val="Heading2"/>
        <w:spacing w:before="160" w:after="80"/>
      </w:pPr>
      <w:r>
        <w:rPr/>
        <w:t xml:space="preserve">Method: Isolation Forest</w:t>
      </w:r>
    </w:p>
    <w:p w14:paraId="0010010E" w14:textId="0010010F">
      <w:pPr>
        <w:spacing w:after="160"/>
      </w:pPr>
      <w:r>
        <w:rPr>
          <w:sz w:val="22"/>
        </w:rPr>
        <w:t xml:space="preserve">Isolation Forest was applied to daily route-level delay aggregates. The algorithm works by randomly partitioning the feature space and measuring how quickly individual observations are isolated — anomalous observations are isolated in fewer splits than normal ones. The four features fed to the model were: daily_delay_rate (the raw daily fraction of delayed flights on the route), rolling_30d_rate (30-day rolling mean — captures recent trend, not just a one-day spike), route_overall_mean (the route's full-year average — the baseline against which deviation is measured), and flight_count (volume normalisation — a 100% delay day on a route with 5 flights is less alarming than 100% on a route with 200 flights).</w:t>
      </w:r>
    </w:p>
    <w:p w14:paraId="00100110" w14:textId="00100111">
      <w:pPr>
        <w:spacing w:after="160"/>
      </w:pPr>
      <w:r>
        <w:rPr>
          <w:sz w:val="22"/>
        </w:rPr>
        <w:t xml:space="preserve">Configuration: n_estimators=200, contamination=0.05 (5% of route-days expected to be anomalous — conservative enough to surface real operational outliers without generating alert fatigue), random_state=42. Only routes with at least 30 days of observation were analysed; sparse routes produce noisy rolling windows and are excluded.</w:t>
      </w:r>
    </w:p>
    <w:p w14:paraId="00100112" w14:textId="00100113">
      <w:pPr>
        <w:spacing w:after="160"/>
      </w:pPr>
      <w:r>
        <w:rPr>
          <w:sz w:val="22"/>
        </w:rPr>
        <w:t xml:space="preserve">Anomaly scores (decision_function output, more negative = more anomalous) are used to rank routes. The top anomalous routes are surfaced in the Risk &amp; Anomaly Detection dashboard page, where they appear as red dots in the Expected vs Actual scatter chart — visible above the diagonal line, meaning their actual delay rate exceeds the model's structural prediction.</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f4399073dc24806" /><Relationship Type="http://schemas.openxmlformats.org/officeDocument/2006/relationships/styles" Target="/word/styles.xml" Id="R98f59bb88b144d8e" /><Relationship Type="http://schemas.openxmlformats.org/officeDocument/2006/relationships/theme" Target="/word/theme/theme1.xml" Id="R0b322c2c756c4c79" /><Relationship Type="http://schemas.openxmlformats.org/officeDocument/2006/relationships/numbering" Target="/word/numbering.xml" Id="R720418eac5c84f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2026-09-24T17:52:04Z</dcterms:created>
  <cp:lastModifiedBy>OfficeCLI</cp:lastModifiedBy>
  <dcterms:modified xsi:type="dcterms:W3CDTF">2026-09-24T17:52:04Z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2026-09-24T17:56:20Z</vt:lpwstr>
  </op:property>
</op:Properties>
</file>