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Performance Marketing — The Next Step Is a Decision, Not a Test</w:t>
      </w:r>
    </w:p>
    <w:p>
      <w:pPr>
        <w:spacing w:after="140"/>
      </w:pPr>
      <w:r>
        <w:rPr>
          <w:i/>
          <w:iCs/>
          <w:color w:val="444444"/>
          <w:sz w:val="22"/>
          <w:szCs w:val="22"/>
        </w:rPr>
        <w:t xml:space="preserve">Before we commission round-2 creative or a test plan, we have to take a call on the perf objective. That call is what decides which tests are even worth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line="276"/>
            </w:pPr>
            <w:r>
              <w:rPr>
                <w:b/>
                <w:bCs/>
                <w:sz w:val="21"/>
                <w:szCs w:val="21"/>
              </w:rPr>
              <w:t xml:space="preserve">THE POSITION  </w:t>
            </w:r>
            <w:r>
              <w:rPr>
                <w:sz w:val="21"/>
                <w:szCs w:val="21"/>
              </w:rPr>
              <w:t xml:space="preserve">Our next step is not “make new creative” or “run more tests.” It is to decide what performance marketing’s objective actually is — because that one decision determines the test plan. Right now we would be testing creative against a success bar we have not agreed on. Decide the objective; the tests fall out of it.</w:t>
            </w:r>
          </w:p>
        </w:tc>
      </w:tr>
    </w:tbl>
    <w:p>
      <w:pPr>
        <w:spacing w:after="80"/>
      </w:pPr>
    </w:p>
    <w:p>
      <w:pPr>
        <w:pStyle w:val="Heading1"/>
      </w:pPr>
      <w:r>
        <w:t xml:space="preserve">Why the objective is open — and can’t be inherited</w:t>
      </w:r>
    </w:p>
    <w:p>
      <w:pPr>
        <w:spacing w:after="120" w:before="0" w:line="276"/>
      </w:pPr>
      <w:r>
        <w:rPr>
          <w:sz w:val="22"/>
          <w:szCs w:val="22"/>
        </w:rPr>
        <w:t xml:space="preserve">Four things from our analysis make “just test creative” the wrong next move:</w:t>
      </w:r>
    </w:p>
    <w:p>
      <w:pPr>
        <w:pStyle w:val="ListParagraph"/>
        <w:numPr>
          <w:ilvl w:val="0"/>
          <w:numId w:val="2"/>
        </w:numPr>
        <w:spacing w:after="80" w:line="276"/>
      </w:pPr>
      <w:r>
        <w:rPr>
          <w:b/>
          <w:bCs/>
          <w:sz w:val="22"/>
          <w:szCs w:val="22"/>
        </w:rPr>
        <w:t xml:space="preserve">Comprehension is a funnel outcome, not an ad output. </w:t>
      </w:r>
      <w:r>
        <w:rPr>
          <w:sz w:val="22"/>
          <w:szCs w:val="22"/>
        </w:rPr>
        <w:t xml:space="preserve">The category is built across many surfaces over time. No single perf surface installs “Recharge-wala Ghar ka Net” on its own, so “did the ad land the category” is the wrong bar.</w:t>
      </w:r>
    </w:p>
    <w:p>
      <w:pPr>
        <w:pStyle w:val="ListParagraph"/>
        <w:numPr>
          <w:ilvl w:val="0"/>
          <w:numId w:val="2"/>
        </w:numPr>
        <w:spacing w:after="80" w:line="276"/>
      </w:pPr>
      <w:r>
        <w:rPr>
          <w:b/>
          <w:bCs/>
          <w:sz w:val="22"/>
          <w:szCs w:val="22"/>
        </w:rPr>
        <w:t xml:space="preserve">The two words we lean on drift to two different wrong places. </w:t>
      </w:r>
      <w:r>
        <w:rPr>
          <w:sz w:val="22"/>
          <w:szCs w:val="22"/>
        </w:rPr>
        <w:t xml:space="preserve">“Recharge” drifts to mobile; “wifi / ghar ka net” drifts to broadband-monthly. So the real question per creative is narrower: did it suppress the wrong model this user holds, and land the next belief?</w:t>
      </w:r>
    </w:p>
    <w:p>
      <w:pPr>
        <w:pStyle w:val="ListParagraph"/>
        <w:numPr>
          <w:ilvl w:val="0"/>
          <w:numId w:val="2"/>
        </w:numPr>
        <w:spacing w:after="80" w:line="276"/>
      </w:pPr>
      <w:r>
        <w:rPr>
          <w:b/>
          <w:bCs/>
          <w:sz w:val="22"/>
          <w:szCs w:val="22"/>
        </w:rPr>
        <w:t xml:space="preserve">Users hold only fragments of these models, not the whole thing. </w:t>
      </w:r>
      <w:r>
        <w:rPr>
          <w:sz w:val="22"/>
          <w:szCs w:val="22"/>
        </w:rPr>
        <w:t xml:space="preserve">Some carry “recharge = mobile top-up” only; some carry “wifi = connects all devices” without the monthly-bill association; some carry the full schema. So the confusion is not uniform and cannot be predicted from the word alone — it depends on which fragments our actual audience holds, which we do not yet know for perf.</w:t>
      </w:r>
    </w:p>
    <w:p>
      <w:pPr>
        <w:pStyle w:val="ListParagraph"/>
        <w:numPr>
          <w:ilvl w:val="0"/>
          <w:numId w:val="2"/>
        </w:numPr>
        <w:spacing w:after="80" w:line="276"/>
      </w:pPr>
      <w:r>
        <w:rPr>
          <w:b/>
          <w:bCs/>
          <w:sz w:val="22"/>
          <w:szCs w:val="22"/>
        </w:rPr>
        <w:t xml:space="preserve">Perf pre-selects the audience, so the field-test confusion may not transfer. </w:t>
      </w:r>
      <w:r>
        <w:rPr>
          <w:sz w:val="22"/>
          <w:szCs w:val="22"/>
        </w:rPr>
        <w:t xml:space="preserve">Perf targets people already considering wifi. Their default drift is more likely broadband-monthly, not the mobile confusion our mixed street survey showed. The audience sets which confusion is the threat — we cannot lift it from a different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6" w:val="clear"/>
            <w:tcMar>
              <w:top w:type="dxa" w:w="80"/>
              <w:left w:type="dxa" w:w="120"/>
              <w:bottom w:type="dxa" w:w="80"/>
              <w:right w:type="dxa" w:w="120"/>
            </w:tcMar>
          </w:tcPr>
          <w:p>
            <w:pPr>
              <w:spacing w:after="0" w:line="276"/>
            </w:pPr>
            <w:r>
              <w:rPr>
                <w:b/>
                <w:bCs/>
                <w:sz w:val="21"/>
                <w:szCs w:val="21"/>
              </w:rPr>
              <w:t xml:space="preserve">WHAT THIS FORCES  </w:t>
            </w:r>
            <w:r>
              <w:rPr>
                <w:sz w:val="21"/>
                <w:szCs w:val="21"/>
              </w:rPr>
              <w:t xml:space="preserve">We must first know which schema fragments our perf audience actually holds, then pick which wrong model to suppress and which belief to land. That is a decision plus a small diagnostic — not a creative round.</w:t>
            </w:r>
          </w:p>
        </w:tc>
      </w:tr>
    </w:tbl>
    <w:p>
      <w:pPr>
        <w:pStyle w:val="Heading1"/>
      </w:pPr>
      <w:r>
        <w:t xml:space="preserve">“Perf” is not one surface — it is four</w:t>
      </w:r>
    </w:p>
    <w:p>
      <w:pPr>
        <w:spacing w:after="120" w:before="0" w:line="276"/>
      </w:pPr>
      <w:r>
        <w:rPr>
          <w:sz w:val="22"/>
          <w:szCs w:val="22"/>
        </w:rPr>
        <w:t xml:space="preserve">Perf is itself a sequence: the ad, the app install, the booking flow, and paying the booking fee. Comprehension and contamination distribute across these four exactly as they do across the larger funnel. The ad does not have to carry the whole belief — the install, the booking flow, and the fee step are all surfaces that can re-anchor, confirm, or where a wrong expectation finally surfaces as drop-off. So the objective must say not only WHICH belief to land and WHICH schema to suppress, but AT WHICH of these stages each job happens.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CCCCC" w:sz="1"/>
              <w:left w:val="single" w:color="CCCCCC" w:sz="1"/>
              <w:bottom w:val="single" w:color="CCCCCC" w:sz="1"/>
              <w:right w:val="single" w:color="CCCCCC" w:sz="1"/>
            </w:tcBorders>
            <w:shd w:fill="2E4D6B" w:val="clear"/>
            <w:tcMar>
              <w:top w:type="dxa" w:w="80"/>
              <w:left w:type="dxa" w:w="120"/>
              <w:bottom w:type="dxa" w:w="80"/>
              <w:right w:type="dxa" w:w="120"/>
            </w:tcMar>
          </w:tcPr>
          <w:p>
            <w:pPr>
              <w:spacing w:after="0"/>
            </w:pPr>
            <w:r>
              <w:rPr>
                <w:b/>
                <w:bCs/>
                <w:color w:val="FFFFFF"/>
                <w:sz w:val="20"/>
                <w:szCs w:val="20"/>
              </w:rPr>
              <w:t xml:space="preserve">Perf stage</w:t>
            </w:r>
          </w:p>
        </w:tc>
        <w:tc>
          <w:tcPr>
            <w:tcW w:type="dxa" w:w="2400"/>
            <w:tcBorders>
              <w:top w:val="single" w:color="CCCCCC" w:sz="1"/>
              <w:left w:val="single" w:color="CCCCCC" w:sz="1"/>
              <w:bottom w:val="single" w:color="CCCCCC" w:sz="1"/>
              <w:right w:val="single" w:color="CCCCCC" w:sz="1"/>
            </w:tcBorders>
            <w:shd w:fill="2E4D6B" w:val="clear"/>
            <w:tcMar>
              <w:top w:type="dxa" w:w="80"/>
              <w:left w:type="dxa" w:w="120"/>
              <w:bottom w:type="dxa" w:w="80"/>
              <w:right w:type="dxa" w:w="120"/>
            </w:tcMar>
          </w:tcPr>
          <w:p>
            <w:pPr>
              <w:spacing w:after="0"/>
            </w:pPr>
            <w:r>
              <w:rPr>
                <w:b/>
                <w:bCs/>
                <w:color w:val="FFFFFF"/>
                <w:sz w:val="20"/>
                <w:szCs w:val="20"/>
              </w:rPr>
              <w:t xml:space="preserve">What it is</w:t>
            </w:r>
          </w:p>
        </w:tc>
        <w:tc>
          <w:tcPr>
            <w:tcW w:type="dxa" w:w="5460"/>
            <w:tcBorders>
              <w:top w:val="single" w:color="CCCCCC" w:sz="1"/>
              <w:left w:val="single" w:color="CCCCCC" w:sz="1"/>
              <w:bottom w:val="single" w:color="CCCCCC" w:sz="1"/>
              <w:right w:val="single" w:color="CCCCCC" w:sz="1"/>
            </w:tcBorders>
            <w:shd w:fill="2E4D6B" w:val="clear"/>
            <w:tcMar>
              <w:top w:type="dxa" w:w="80"/>
              <w:left w:type="dxa" w:w="120"/>
              <w:bottom w:type="dxa" w:w="80"/>
              <w:right w:type="dxa" w:w="120"/>
            </w:tcMar>
          </w:tcPr>
          <w:p>
            <w:pPr>
              <w:spacing w:after="0"/>
            </w:pPr>
            <w:r>
              <w:rPr>
                <w:b/>
                <w:bCs/>
                <w:color w:val="FFFFFF"/>
                <w:sz w:val="20"/>
                <w:szCs w:val="20"/>
              </w:rPr>
              <w:t xml:space="preserve">Comprehension job it can carry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1. 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Impression → click</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Gate: suppress the wrong schema this audience holds; land the hook belief. Wrong job here = contaminated clicks.</w:t>
            </w:r>
          </w:p>
        </w:tc>
      </w:tr>
      <w:tr>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pPr>
              <w:spacing w:after="0"/>
            </w:pPr>
            <w:r>
              <w:rPr>
                <w:b/>
                <w:bCs/>
                <w:sz w:val="20"/>
                <w:szCs w:val="20"/>
              </w:rPr>
              <w:t xml:space="preserve">2. App install</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pPr>
              <w:spacing w:after="0"/>
            </w:pPr>
            <w:r>
              <w:rPr>
                <w:b w:val="false"/>
                <w:bCs w:val="false"/>
                <w:sz w:val="20"/>
                <w:szCs w:val="20"/>
              </w:rPr>
              <w:t xml:space="preserve">Store page → first open</w:t>
            </w:r>
          </w:p>
        </w:tc>
        <w:tc>
          <w:tcPr>
            <w:tcW w:type="dxa" w:w="54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pPr>
              <w:spacing w:after="0"/>
            </w:pPr>
            <w:r>
              <w:rPr>
                <w:b w:val="false"/>
                <w:bCs w:val="false"/>
                <w:sz w:val="20"/>
                <w:szCs w:val="20"/>
              </w:rPr>
              <w:t xml:space="preserve">Re-anchor: confirm “ghar ka net,” set the recharge expectation early.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3. Booking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In-app journey to booking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Confirm comprehension — this is our upstream comprehension-proxy read, days before first-recharge.</w:t>
            </w:r>
          </w:p>
        </w:tc>
      </w:tr>
      <w:tr>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pPr>
              <w:spacing w:after="0"/>
            </w:pPr>
            <w:r>
              <w:rPr>
                <w:b/>
                <w:bCs/>
                <w:sz w:val="20"/>
                <w:szCs w:val="20"/>
              </w:rPr>
              <w:t xml:space="preserve">4. Booking fee paid</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pPr>
              <w:spacing w:after="0"/>
            </w:pPr>
            <w:r>
              <w:rPr>
                <w:b w:val="false"/>
                <w:bCs w:val="false"/>
                <w:sz w:val="20"/>
                <w:szCs w:val="20"/>
              </w:rPr>
              <w:t xml:space="preserve">The conversion artifact</w:t>
            </w:r>
          </w:p>
        </w:tc>
        <w:tc>
          <w:tcPr>
            <w:tcW w:type="dxa" w:w="54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pPr>
              <w:spacing w:after="0"/>
            </w:pPr>
            <w:r>
              <w:rPr>
                <w:b w:val="false"/>
                <w:bCs w:val="false"/>
                <w:sz w:val="20"/>
                <w:szCs w:val="20"/>
              </w:rPr>
              <w:t xml:space="preserve">Where a wrong expectation shows up — as abandonment now, or as weak first-recharge later.</w:t>
            </w:r>
          </w:p>
        </w:tc>
      </w:tr>
    </w:tbl>
    <w:p>
      <w:pPr>
        <w:pStyle w:val="Heading1"/>
      </w:pPr>
      <w:r>
        <w:t xml:space="preserve">The call we have to take</w:t>
      </w:r>
    </w:p>
    <w:p>
      <w:pPr>
        <w:spacing w:after="120" w:before="0" w:line="276"/>
      </w:pPr>
      <w:r>
        <w:rPr>
          <w:sz w:val="22"/>
          <w:szCs w:val="22"/>
        </w:rPr>
        <w:t xml:space="preserve">The objective is three coupled choices. We cannot write a brief until these are answered:</w:t>
      </w:r>
    </w:p>
    <w:p>
      <w:pPr>
        <w:pStyle w:val="ListParagraph"/>
        <w:numPr>
          <w:ilvl w:val="0"/>
          <w:numId w:val="3"/>
        </w:numPr>
        <w:spacing w:after="80" w:line="276"/>
      </w:pPr>
      <w:r>
        <w:rPr>
          <w:b/>
          <w:bCs/>
          <w:sz w:val="22"/>
          <w:szCs w:val="22"/>
        </w:rPr>
        <w:t xml:space="preserve">Which wrong model do we suppress — mobile, or broadband-monthly? </w:t>
      </w:r>
      <w:r>
        <w:rPr>
          <w:sz w:val="22"/>
          <w:szCs w:val="22"/>
        </w:rPr>
        <w:t xml:space="preserve">Audience-dependent; needs the diagnostic on held fragments first.</w:t>
      </w:r>
    </w:p>
    <w:p>
      <w:pPr>
        <w:pStyle w:val="ListParagraph"/>
        <w:numPr>
          <w:ilvl w:val="0"/>
          <w:numId w:val="3"/>
        </w:numPr>
        <w:spacing w:after="80" w:line="276"/>
      </w:pPr>
      <w:r>
        <w:rPr>
          <w:b/>
          <w:bCs/>
          <w:sz w:val="22"/>
          <w:szCs w:val="22"/>
        </w:rPr>
        <w:t xml:space="preserve">Which single belief do we land to convert — and what is the gate? </w:t>
      </w:r>
      <w:r>
        <w:rPr>
          <w:sz w:val="22"/>
          <w:szCs w:val="22"/>
        </w:rPr>
        <w:t xml:space="preserve">Likely: whole-home is the gate (contamination control) and recharge-flexibility is the value prop we sell. For a wifi-considering audience that split may flip — to be decided, not assumed.</w:t>
      </w:r>
    </w:p>
    <w:p>
      <w:pPr>
        <w:pStyle w:val="ListParagraph"/>
        <w:numPr>
          <w:ilvl w:val="0"/>
          <w:numId w:val="3"/>
        </w:numPr>
        <w:spacing w:after="80" w:line="276"/>
      </w:pPr>
      <w:r>
        <w:rPr>
          <w:b/>
          <w:bCs/>
          <w:sz w:val="22"/>
          <w:szCs w:val="22"/>
        </w:rPr>
        <w:t xml:space="preserve">At which of the four perf stages does each job land? </w:t>
      </w:r>
      <w:r>
        <w:rPr>
          <w:sz w:val="22"/>
          <w:szCs w:val="22"/>
        </w:rPr>
        <w:t xml:space="preserve">What is the ad’s job vs. the install / booking-flow / fee step’s job.</w:t>
      </w:r>
    </w:p>
    <w:p>
      <w:pPr>
        <w:pStyle w:val="Heading1"/>
      </w:pPr>
      <w:r>
        <w:t xml:space="preserve">What the call determines: the next tests</w:t>
      </w:r>
    </w:p>
    <w:p>
      <w:pPr>
        <w:spacing w:after="120" w:before="0" w:line="276"/>
      </w:pPr>
      <w:r>
        <w:rPr>
          <w:sz w:val="22"/>
          <w:szCs w:val="22"/>
        </w:rPr>
        <w:t xml:space="preserve">This is the whole point — the test plan is a function of the objective. Different objectives produce entirely different tests, which is exactly why we cannot write the plan first: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4D6B" w:val="clear"/>
            <w:tcMar>
              <w:top w:type="dxa" w:w="80"/>
              <w:left w:type="dxa" w:w="120"/>
              <w:bottom w:type="dxa" w:w="80"/>
              <w:right w:type="dxa" w:w="120"/>
            </w:tcMar>
          </w:tcPr>
          <w:p>
            <w:pPr>
              <w:spacing w:after="0"/>
            </w:pPr>
            <w:r>
              <w:rPr>
                <w:b/>
                <w:bCs/>
                <w:color w:val="FFFFFF"/>
                <w:sz w:val="20"/>
                <w:szCs w:val="20"/>
              </w:rPr>
              <w:t xml:space="preserve">If we decide the objective is…</w:t>
            </w:r>
          </w:p>
        </w:tc>
        <w:tc>
          <w:tcPr>
            <w:tcW w:type="dxa" w:w="5960"/>
            <w:tcBorders>
              <w:top w:val="single" w:color="CCCCCC" w:sz="1"/>
              <w:left w:val="single" w:color="CCCCCC" w:sz="1"/>
              <w:bottom w:val="single" w:color="CCCCCC" w:sz="1"/>
              <w:right w:val="single" w:color="CCCCCC" w:sz="1"/>
            </w:tcBorders>
            <w:shd w:fill="2E4D6B" w:val="clear"/>
            <w:tcMar>
              <w:top w:type="dxa" w:w="80"/>
              <w:left w:type="dxa" w:w="120"/>
              <w:bottom w:type="dxa" w:w="80"/>
              <w:right w:type="dxa" w:w="120"/>
            </w:tcMar>
          </w:tcPr>
          <w:p>
            <w:pPr>
              <w:spacing w:after="0"/>
            </w:pPr>
            <w:r>
              <w:rPr>
                <w:b/>
                <w:bCs/>
                <w:color w:val="FFFFFF"/>
                <w:sz w:val="20"/>
                <w:szCs w:val="20"/>
              </w:rPr>
              <w:t xml:space="preserve">…then the next tests become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Bridge &amp; defer
(ad just captures + passes the gate; comprehension handed to install/booking)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Test the ad→install handoff and re-anchor strength at the install/landing; gate-pass variants. Measure drop where the expectation breaks.</w:t>
            </w:r>
          </w:p>
        </w:tc>
      </w:tr>
      <w:tr>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pPr>
              <w:spacing w:after="0"/>
            </w:pPr>
            <w:r>
              <w:rPr>
                <w:b/>
                <w:bCs/>
                <w:sz w:val="20"/>
                <w:szCs w:val="20"/>
              </w:rPr>
              <w:t xml:space="preserve">Disambiguate-only
(the ad must break the audience’s wrong model)</w:t>
            </w:r>
          </w:p>
        </w:tc>
        <w:tc>
          <w:tcPr>
            <w:tcW w:type="dxa" w:w="5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pPr>
              <w:spacing w:after="0"/>
            </w:pPr>
            <w:r>
              <w:rPr>
                <w:b w:val="false"/>
                <w:bCs w:val="false"/>
                <w:sz w:val="20"/>
                <w:szCs w:val="20"/>
              </w:rPr>
              <w:t xml:space="preserve">Diagnose first which model they hold; then test gate / negation variants at the ad against which confusion actually falls.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Single-belief convert
(the ad lands flexibility as the value prop)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Test flexibility framings against first-recharge delta, whole-home held constant as a gate; single-variable per the framework.</w:t>
            </w:r>
          </w:p>
        </w:tc>
      </w:tr>
    </w:tbl>
    <w:p>
      <w:pPr>
        <w:spacing w:after="60"/>
      </w:pPr>
    </w:p>
    <w:p>
      <w:pPr>
        <w:spacing w:after="120" w:before="0" w:line="276"/>
      </w:pPr>
      <w:r>
        <w:rPr>
          <w:sz w:val="22"/>
          <w:szCs w:val="22"/>
        </w:rPr>
        <w:t xml:space="preserve">Two classes of test follow from any objective, in order:</w:t>
      </w:r>
    </w:p>
    <w:p>
      <w:pPr>
        <w:pStyle w:val="ListParagraph"/>
        <w:numPr>
          <w:ilvl w:val="0"/>
          <w:numId w:val="4"/>
        </w:numPr>
        <w:spacing w:after="80" w:line="276"/>
      </w:pPr>
      <w:r>
        <w:rPr>
          <w:b/>
          <w:bCs/>
          <w:sz w:val="22"/>
          <w:szCs w:val="22"/>
        </w:rPr>
        <w:t xml:space="preserve">Diagnostic first. </w:t>
      </w:r>
      <w:r>
        <w:rPr>
          <w:sz w:val="22"/>
          <w:szCs w:val="22"/>
        </w:rPr>
        <w:t xml:space="preserve">What schema fragments does our actual perf audience hold, and which wrong destination do they default to? Without this we are guessing the gate.</w:t>
      </w:r>
    </w:p>
    <w:p>
      <w:pPr>
        <w:pStyle w:val="ListParagraph"/>
        <w:numPr>
          <w:ilvl w:val="0"/>
          <w:numId w:val="4"/>
        </w:numPr>
        <w:spacing w:after="80" w:line="276"/>
      </w:pPr>
      <w:r>
        <w:rPr>
          <w:b/>
          <w:bCs/>
          <w:sz w:val="22"/>
          <w:szCs w:val="22"/>
        </w:rPr>
        <w:t xml:space="preserve">Objective tests second. </w:t>
      </w:r>
      <w:r>
        <w:rPr>
          <w:sz w:val="22"/>
          <w:szCs w:val="22"/>
        </w:rPr>
        <w:t xml:space="preserve">Once set, test the belief the objective names, at the stage it names, against the arbiter — first-recharge matched-cohort delta plus the booking-flow comprehension proxy.</w:t>
      </w:r>
    </w:p>
    <w:p>
      <w:pPr>
        <w:pStyle w:val="Heading1"/>
      </w:pPr>
      <w:r>
        <w:t xml:space="preserve">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7EEF5" w:val="clear"/>
            <w:tcMar>
              <w:top w:type="dxa" w:w="80"/>
              <w:left w:type="dxa" w:w="120"/>
              <w:bottom w:type="dxa" w:w="80"/>
              <w:right w:type="dxa" w:w="120"/>
            </w:tcMar>
          </w:tcPr>
          <w:p>
            <w:pPr>
              <w:spacing w:after="0" w:line="276"/>
            </w:pPr>
            <w:r>
              <w:rPr>
                <w:b/>
                <w:bCs/>
                <w:sz w:val="21"/>
                <w:szCs w:val="21"/>
              </w:rPr>
              <w:t xml:space="preserve">NEXT STEP  </w:t>
            </w:r>
            <w:r>
              <w:rPr>
                <w:sz w:val="21"/>
                <w:szCs w:val="21"/>
              </w:rPr>
              <w:t xml:space="preserve">Take the call on the perf objective — the three coupled choices above — informed by a short diagnostic on our perf audience’s schema fragments, BEFORE commissioning round-2 creative or a test plan. The creative and the tests are both undefined until that decision is made.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Wiom · Perf Objective — Next-Step Position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20" w:before="240"/>
      <w:outlineLvl w:val="0"/>
    </w:pPr>
    <w:rPr>
      <w:rFonts w:ascii="Arial" w:cs="Arial" w:eastAsia="Arial" w:hAnsi="Arial"/>
      <w:b/>
      <w:bCs/>
      <w:color w:val="1F3A57"/>
      <w:sz w:val="26"/>
      <w:szCs w:val="26"/>
    </w:rPr>
  </w:style>
  <w:style w:type="paragraph" w:styleId="Heading2">
    <w:name w:val="Heading 2"/>
    <w:basedOn w:val="Normal"/>
    <w:next w:val="Normal"/>
    <w:qFormat/>
    <w:pPr>
      <w:spacing w:after="90" w:before="160"/>
      <w:outlineLvl w:val="1"/>
    </w:pPr>
    <w:rPr>
      <w:rFonts w:ascii="Arial" w:cs="Arial" w:eastAsia="Arial" w:hAnsi="Arial"/>
      <w:b/>
      <w:bCs/>
      <w:color w:val="2E4D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2026-05-28T09:30:27.252Z</dcterms:created>
  <dcterms:modified xsi:type="dcterms:W3CDTF">2026-05-28T09:30:27.252Z</dcterms:modified>
</cp:coreProperties>
</file>

<file path=docProps/custom.xml><?xml version="1.0" encoding="utf-8"?>
<Properties xmlns="http://schemas.openxmlformats.org/officeDocument/2006/custom-properties" xmlns:vt="http://schemas.openxmlformats.org/officeDocument/2006/docPropsVTypes"/>
</file>