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{gt}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inspect internals of gt object you can do:</w:t>
      </w:r>
      <w:r>
        <w:br/>
      </w:r>
      <w:r>
        <w:rPr>
          <w:rStyle w:val="CommentTok"/>
        </w:rPr>
        <w:t xml:space="preserve">#x$`_data`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stat_1,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 not possible yet</w:t>
      </w:r>
      <w:r>
        <w:br/>
      </w:r>
      <w:r>
        <w:rPr>
          <w:rStyle w:val="CommentTok"/>
        </w:rPr>
        <w:t xml:space="preserve"># x %&gt;%</w:t>
      </w:r>
      <w:r>
        <w:br/>
      </w:r>
      <w:r>
        <w:rPr>
          <w:rStyle w:val="CommentTok"/>
        </w:rPr>
        <w:t xml:space="preserve">#   tab_spanner(</w:t>
      </w:r>
      <w:r>
        <w:br/>
      </w:r>
      <w:r>
        <w:rPr>
          <w:rStyle w:val="CommentTok"/>
        </w:rPr>
        <w:t xml:space="preserve">#     label = "performance",</w:t>
      </w:r>
      <w:r>
        <w:br/>
      </w:r>
      <w:r>
        <w:rPr>
          <w:rStyle w:val="CommentTok"/>
        </w:rPr>
        <w:t xml:space="preserve">#     columns = everything()</w:t>
      </w:r>
      <w:r>
        <w:br/>
      </w:r>
      <w:r>
        <w:rPr>
          <w:rStyle w:val="CommentTok"/>
        </w:rPr>
        <w:t xml:space="preserve">#   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</w:p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 Custom Footnote"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island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Custom Footnote"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))</w:t>
      </w:r>
    </w:p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FirstParagraph"/>
      </w:pPr>
      <w:r>
        <w:t xml:space="preserve">Produces either an HTML, PDF, PNG, LaTeX, or RTF file.</w:t>
      </w:r>
    </w:p>
    <w:p>
      <w:pPr>
        <w:pStyle w:val="SourceCode"/>
      </w:pPr>
      <w:r>
        <w:rPr>
          <w:rStyle w:val="FunctionTok"/>
        </w:rPr>
        <w:t xml:space="preserve">gtsave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"gt-quick-table.pdf"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{gt}</dc:title>
  <dc:creator/>
  <cp:keywords/>
  <dcterms:created xsi:type="dcterms:W3CDTF">2021-11-23T14:42:36Z</dcterms:created>
  <dcterms:modified xsi:type="dcterms:W3CDTF">2021-11-23T14:42:36Z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