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CC0" w:rsidRPr="005333B0" w:rsidRDefault="005333B0" w:rsidP="00342CC0">
      <w:pPr>
        <w:pStyle w:val="m-3204913092636764702gmail-msonormal"/>
        <w:shd w:val="clear" w:color="auto" w:fill="FFFFFF"/>
        <w:spacing w:after="0" w:afterAutospacing="0"/>
        <w:rPr>
          <w:color w:val="222222"/>
        </w:rPr>
      </w:pPr>
      <w:bookmarkStart w:id="0" w:name="_GoBack"/>
      <w:bookmarkEnd w:id="0"/>
      <w:r w:rsidRPr="005333B0">
        <w:rPr>
          <w:color w:val="222222"/>
        </w:rPr>
        <w:t>Covariate selection:</w:t>
      </w:r>
    </w:p>
    <w:p w:rsidR="00D4160E" w:rsidRDefault="00D4160E" w:rsidP="005333B0">
      <w:pPr>
        <w:pStyle w:val="m-3204913092636764702gmail-msonormal"/>
        <w:numPr>
          <w:ilvl w:val="0"/>
          <w:numId w:val="1"/>
        </w:numPr>
        <w:shd w:val="clear" w:color="auto" w:fill="FFFFFF"/>
        <w:spacing w:after="0" w:afterAutospacing="0"/>
        <w:rPr>
          <w:color w:val="505050"/>
        </w:rPr>
      </w:pPr>
      <w:r>
        <w:rPr>
          <w:color w:val="505050"/>
        </w:rPr>
        <w:t>Lidar instruments</w:t>
      </w:r>
    </w:p>
    <w:p w:rsidR="00D4160E" w:rsidRPr="0044664C" w:rsidRDefault="00D4160E" w:rsidP="00D4160E">
      <w:pPr>
        <w:pStyle w:val="m-3204913092636764702gmail-msonormal"/>
        <w:numPr>
          <w:ilvl w:val="1"/>
          <w:numId w:val="1"/>
        </w:numPr>
        <w:shd w:val="clear" w:color="auto" w:fill="FFFFFF"/>
        <w:spacing w:after="0" w:afterAutospacing="0"/>
        <w:rPr>
          <w:color w:val="505050"/>
        </w:rPr>
      </w:pPr>
      <w:r>
        <w:t xml:space="preserve">In addition, waveform-recording </w:t>
      </w:r>
      <w:proofErr w:type="spellStart"/>
      <w:r>
        <w:t>lidar</w:t>
      </w:r>
      <w:proofErr w:type="spellEnd"/>
      <w:r>
        <w:t xml:space="preserve"> systems, such as the SLICER (Scanning Lidar Imager of Canopies by Echo Recovery, Blair et al., 1994; Harding et al., 1994, 2001)</w:t>
      </w:r>
      <w:r w:rsidR="00F9684A">
        <w:t xml:space="preserve">. </w:t>
      </w:r>
      <w:proofErr w:type="gramStart"/>
      <w:r w:rsidR="00F9684A">
        <w:t>canopy</w:t>
      </w:r>
      <w:proofErr w:type="gramEnd"/>
      <w:r w:rsidR="00F9684A">
        <w:t xml:space="preserve"> surface height measurements, only uses the instrument's height measuring capability. A second set of measurements was made by transforming the raw waveform data into an estimate of the vertical distribution of the canopy- the canopy height profile (CHP). A third set of measurements described the transmittance of light in the canopy. A fourth was derived from a system for the measurement of canopy structure, the canopy volume method (CVM), which summarizes the total volume and spatial organization of filled and empty space within the canopy. Details of these methods can be found in </w:t>
      </w:r>
      <w:proofErr w:type="spellStart"/>
      <w:r w:rsidR="00F9684A">
        <w:t>Lefsky</w:t>
      </w:r>
      <w:proofErr w:type="spellEnd"/>
      <w:r w:rsidR="00F9684A">
        <w:t xml:space="preserve"> et al. (1999b)</w:t>
      </w:r>
      <w:r w:rsidR="0044664C">
        <w:t>.</w:t>
      </w:r>
    </w:p>
    <w:p w:rsidR="0044664C" w:rsidRDefault="0044664C" w:rsidP="00D4160E">
      <w:pPr>
        <w:pStyle w:val="m-3204913092636764702gmail-msonormal"/>
        <w:numPr>
          <w:ilvl w:val="1"/>
          <w:numId w:val="1"/>
        </w:numPr>
        <w:shd w:val="clear" w:color="auto" w:fill="FFFFFF"/>
        <w:spacing w:after="0" w:afterAutospacing="0"/>
        <w:rPr>
          <w:color w:val="505050"/>
        </w:rPr>
      </w:pPr>
      <w:r>
        <w:t xml:space="preserve">Discrete-return </w:t>
      </w:r>
      <w:proofErr w:type="spellStart"/>
      <w:r>
        <w:t>lidar</w:t>
      </w:r>
      <w:proofErr w:type="spellEnd"/>
      <w:r>
        <w:t xml:space="preserve"> emits a small beam of light (centimeters in diameter), and records the positions from which the returned energy is greater than a certain threshold. Different systems can record from 1 to 5 discrete returns from each laser pulse. These systems are the ones commercially available (</w:t>
      </w:r>
      <w:proofErr w:type="spellStart"/>
      <w:r>
        <w:t>Baltsavias</w:t>
      </w:r>
      <w:proofErr w:type="spellEnd"/>
      <w:r>
        <w:t xml:space="preserve">, 1999b), and are being used routinely to develop digital elevation models (Flood and </w:t>
      </w:r>
      <w:proofErr w:type="spellStart"/>
      <w:r>
        <w:t>Gutelius</w:t>
      </w:r>
      <w:proofErr w:type="spellEnd"/>
      <w:r>
        <w:t xml:space="preserve">, 1997). Both types of </w:t>
      </w:r>
      <w:proofErr w:type="spellStart"/>
      <w:r>
        <w:t>lidar</w:t>
      </w:r>
      <w:proofErr w:type="spellEnd"/>
      <w:r>
        <w:t xml:space="preserve"> have been used successfully to estimate stand structural variables, such as mean height, total aboveground biomass, basal area, stem volume and stand density, in a variety of forest types (</w:t>
      </w:r>
      <w:r w:rsidRPr="0044664C">
        <w:rPr>
          <w:highlight w:val="lightGray"/>
        </w:rPr>
        <w:t xml:space="preserve">Means et al., 1999, 2000; </w:t>
      </w:r>
      <w:proofErr w:type="spellStart"/>
      <w:r w:rsidRPr="0044664C">
        <w:rPr>
          <w:highlight w:val="lightGray"/>
        </w:rPr>
        <w:t>Lefsky</w:t>
      </w:r>
      <w:proofErr w:type="spellEnd"/>
      <w:r w:rsidRPr="0044664C">
        <w:rPr>
          <w:highlight w:val="lightGray"/>
        </w:rPr>
        <w:t xml:space="preserve"> et al., 1999a</w:t>
      </w:r>
      <w:proofErr w:type="gramStart"/>
      <w:r w:rsidRPr="0044664C">
        <w:rPr>
          <w:highlight w:val="lightGray"/>
        </w:rPr>
        <w:t>,b</w:t>
      </w:r>
      <w:proofErr w:type="gramEnd"/>
      <w:r w:rsidRPr="0044664C">
        <w:rPr>
          <w:highlight w:val="lightGray"/>
        </w:rPr>
        <w:t xml:space="preserve">, 2002a; </w:t>
      </w:r>
      <w:proofErr w:type="spellStart"/>
      <w:r w:rsidRPr="0044664C">
        <w:rPr>
          <w:highlight w:val="lightGray"/>
        </w:rPr>
        <w:t>Dubayah</w:t>
      </w:r>
      <w:proofErr w:type="spellEnd"/>
      <w:r w:rsidRPr="0044664C">
        <w:rPr>
          <w:highlight w:val="lightGray"/>
        </w:rPr>
        <w:t xml:space="preserve"> and Drake, 2000; Drake et al., 2002, 2003; </w:t>
      </w:r>
      <w:proofErr w:type="spellStart"/>
      <w:r w:rsidRPr="0044664C">
        <w:rPr>
          <w:highlight w:val="lightGray"/>
        </w:rPr>
        <w:t>Naesset</w:t>
      </w:r>
      <w:proofErr w:type="spellEnd"/>
      <w:r w:rsidRPr="0044664C">
        <w:rPr>
          <w:highlight w:val="lightGray"/>
        </w:rPr>
        <w:t xml:space="preserve"> and </w:t>
      </w:r>
      <w:proofErr w:type="spellStart"/>
      <w:r w:rsidRPr="0044664C">
        <w:rPr>
          <w:highlight w:val="lightGray"/>
        </w:rPr>
        <w:t>Bjerknes</w:t>
      </w:r>
      <w:proofErr w:type="spellEnd"/>
      <w:r w:rsidRPr="0044664C">
        <w:rPr>
          <w:highlight w:val="lightGray"/>
        </w:rPr>
        <w:t xml:space="preserve">, 2001; </w:t>
      </w:r>
      <w:proofErr w:type="spellStart"/>
      <w:r w:rsidRPr="0044664C">
        <w:rPr>
          <w:highlight w:val="lightGray"/>
        </w:rPr>
        <w:t>Naesset</w:t>
      </w:r>
      <w:proofErr w:type="spellEnd"/>
      <w:r w:rsidRPr="0044664C">
        <w:rPr>
          <w:highlight w:val="lightGray"/>
        </w:rPr>
        <w:t xml:space="preserve"> and </w:t>
      </w:r>
      <w:proofErr w:type="spellStart"/>
      <w:r w:rsidRPr="0044664C">
        <w:rPr>
          <w:highlight w:val="lightGray"/>
        </w:rPr>
        <w:t>Økland</w:t>
      </w:r>
      <w:proofErr w:type="spellEnd"/>
      <w:r w:rsidRPr="0044664C">
        <w:rPr>
          <w:highlight w:val="lightGray"/>
        </w:rPr>
        <w:t xml:space="preserve">, 2002; </w:t>
      </w:r>
      <w:proofErr w:type="spellStart"/>
      <w:r w:rsidRPr="0044664C">
        <w:rPr>
          <w:highlight w:val="lightGray"/>
        </w:rPr>
        <w:t>Naesset</w:t>
      </w:r>
      <w:proofErr w:type="spellEnd"/>
      <w:r w:rsidRPr="0044664C">
        <w:rPr>
          <w:highlight w:val="lightGray"/>
        </w:rPr>
        <w:t>, 2002</w:t>
      </w:r>
      <w:r>
        <w:t>). The focus of most of the research has been on overcoming the saturation at high biomass levels that limits the use of passive sensors (Hall 2005)</w:t>
      </w:r>
    </w:p>
    <w:p w:rsidR="00850FA5" w:rsidRDefault="00850FA5" w:rsidP="005333B0">
      <w:pPr>
        <w:pStyle w:val="m-3204913092636764702gmail-msonormal"/>
        <w:numPr>
          <w:ilvl w:val="0"/>
          <w:numId w:val="1"/>
        </w:numPr>
        <w:shd w:val="clear" w:color="auto" w:fill="FFFFFF"/>
        <w:spacing w:after="0" w:afterAutospacing="0"/>
        <w:rPr>
          <w:color w:val="505050"/>
        </w:rPr>
      </w:pPr>
      <w:r>
        <w:rPr>
          <w:color w:val="505050"/>
        </w:rPr>
        <w:t>Variation by forest types:</w:t>
      </w:r>
    </w:p>
    <w:p w:rsidR="005333B0" w:rsidRPr="005333B0" w:rsidRDefault="005333B0" w:rsidP="00850FA5">
      <w:pPr>
        <w:pStyle w:val="m-3204913092636764702gmail-msonormal"/>
        <w:numPr>
          <w:ilvl w:val="1"/>
          <w:numId w:val="1"/>
        </w:numPr>
        <w:shd w:val="clear" w:color="auto" w:fill="FFFFFF"/>
        <w:spacing w:after="0" w:afterAutospacing="0"/>
        <w:rPr>
          <w:color w:val="505050"/>
        </w:rPr>
      </w:pPr>
      <w:proofErr w:type="gramStart"/>
      <w:r w:rsidRPr="005333B0">
        <w:rPr>
          <w:color w:val="505050"/>
        </w:rPr>
        <w:t>different</w:t>
      </w:r>
      <w:proofErr w:type="gramEnd"/>
      <w:r w:rsidRPr="005333B0">
        <w:rPr>
          <w:color w:val="505050"/>
        </w:rPr>
        <w:t xml:space="preserve"> age classes exhibit distinct laser canopy height distribution forms </w:t>
      </w:r>
      <w:bookmarkStart w:id="1" w:name="bBIB15"/>
      <w:r w:rsidRPr="005333B0">
        <w:fldChar w:fldCharType="begin"/>
      </w:r>
      <w:r w:rsidRPr="005333B0">
        <w:instrText xml:space="preserve"> HYPERLINK "http://www.sciencedirect.com/science/article/pii/S0034425701002905" \l "BIB15" </w:instrText>
      </w:r>
      <w:r w:rsidRPr="005333B0">
        <w:fldChar w:fldCharType="separate"/>
      </w:r>
      <w:r w:rsidRPr="005333B0">
        <w:rPr>
          <w:rStyle w:val="Hyperlink"/>
          <w:color w:val="007398"/>
        </w:rPr>
        <w:t>(</w:t>
      </w:r>
      <w:proofErr w:type="spellStart"/>
      <w:r w:rsidRPr="005333B0">
        <w:rPr>
          <w:rStyle w:val="Hyperlink"/>
          <w:color w:val="007398"/>
        </w:rPr>
        <w:t>Lefsky</w:t>
      </w:r>
      <w:proofErr w:type="spellEnd"/>
      <w:r w:rsidRPr="005333B0">
        <w:rPr>
          <w:rStyle w:val="Hyperlink"/>
          <w:color w:val="007398"/>
        </w:rPr>
        <w:t>, Cohen, et al., 1999)</w:t>
      </w:r>
      <w:r w:rsidRPr="005333B0">
        <w:fldChar w:fldCharType="end"/>
      </w:r>
      <w:bookmarkEnd w:id="1"/>
      <w:r w:rsidRPr="005333B0">
        <w:rPr>
          <w:color w:val="505050"/>
        </w:rPr>
        <w:t xml:space="preserve">. </w:t>
      </w:r>
    </w:p>
    <w:p w:rsidR="005333B0" w:rsidRPr="005333B0" w:rsidRDefault="005333B0" w:rsidP="00850FA5">
      <w:pPr>
        <w:pStyle w:val="m-3204913092636764702gmail-msonormal"/>
        <w:numPr>
          <w:ilvl w:val="1"/>
          <w:numId w:val="1"/>
        </w:numPr>
        <w:shd w:val="clear" w:color="auto" w:fill="FFFFFF"/>
        <w:spacing w:after="0" w:afterAutospacing="0"/>
      </w:pPr>
      <w:r w:rsidRPr="005333B0">
        <w:rPr>
          <w:color w:val="505050"/>
        </w:rPr>
        <w:t xml:space="preserve">Relationships of stand characteristics to </w:t>
      </w:r>
      <w:proofErr w:type="spellStart"/>
      <w:r w:rsidRPr="005333B0">
        <w:rPr>
          <w:color w:val="505050"/>
        </w:rPr>
        <w:t>lidar</w:t>
      </w:r>
      <w:proofErr w:type="spellEnd"/>
      <w:r w:rsidRPr="005333B0">
        <w:rPr>
          <w:color w:val="505050"/>
        </w:rPr>
        <w:t xml:space="preserve"> metrics vary between tree species </w:t>
      </w:r>
      <w:bookmarkStart w:id="2" w:name="bBIB23"/>
      <w:r w:rsidRPr="005333B0">
        <w:fldChar w:fldCharType="begin"/>
      </w:r>
      <w:r w:rsidRPr="005333B0">
        <w:instrText xml:space="preserve"> HYPERLINK "http://www.sciencedirect.com/science/article/pii/S0034425701002905" \l "BIB23" </w:instrText>
      </w:r>
      <w:r w:rsidRPr="005333B0">
        <w:fldChar w:fldCharType="separate"/>
      </w:r>
      <w:r w:rsidRPr="005333B0">
        <w:rPr>
          <w:rStyle w:val="Hyperlink"/>
          <w:color w:val="007398"/>
        </w:rPr>
        <w:t>(</w:t>
      </w:r>
      <w:proofErr w:type="spellStart"/>
      <w:r w:rsidRPr="005333B0">
        <w:rPr>
          <w:rStyle w:val="Hyperlink"/>
          <w:color w:val="007398"/>
        </w:rPr>
        <w:t>Næsset</w:t>
      </w:r>
      <w:proofErr w:type="spellEnd"/>
      <w:r w:rsidRPr="005333B0">
        <w:rPr>
          <w:rStyle w:val="Hyperlink"/>
          <w:color w:val="007398"/>
        </w:rPr>
        <w:t xml:space="preserve">, 1997a; Nelson, </w:t>
      </w:r>
      <w:proofErr w:type="spellStart"/>
      <w:r w:rsidRPr="005333B0">
        <w:rPr>
          <w:rStyle w:val="Hyperlink"/>
          <w:color w:val="007398"/>
        </w:rPr>
        <w:t>Oderwald</w:t>
      </w:r>
      <w:proofErr w:type="spellEnd"/>
      <w:r w:rsidRPr="005333B0">
        <w:rPr>
          <w:rStyle w:val="Hyperlink"/>
          <w:color w:val="007398"/>
        </w:rPr>
        <w:t xml:space="preserve">, &amp; </w:t>
      </w:r>
      <w:proofErr w:type="spellStart"/>
      <w:r w:rsidRPr="005333B0">
        <w:rPr>
          <w:rStyle w:val="Hyperlink"/>
          <w:color w:val="007398"/>
        </w:rPr>
        <w:t>Gregoire</w:t>
      </w:r>
      <w:proofErr w:type="spellEnd"/>
      <w:r w:rsidRPr="005333B0">
        <w:rPr>
          <w:rStyle w:val="Hyperlink"/>
          <w:color w:val="007398"/>
        </w:rPr>
        <w:t>, 1997)</w:t>
      </w:r>
      <w:r w:rsidRPr="005333B0">
        <w:fldChar w:fldCharType="end"/>
      </w:r>
      <w:bookmarkEnd w:id="2"/>
    </w:p>
    <w:p w:rsidR="005333B0" w:rsidRDefault="005333B0" w:rsidP="005333B0">
      <w:pPr>
        <w:pStyle w:val="m-3204913092636764702gmail-msonormal"/>
        <w:numPr>
          <w:ilvl w:val="1"/>
          <w:numId w:val="1"/>
        </w:numPr>
        <w:shd w:val="clear" w:color="auto" w:fill="FFFFFF"/>
        <w:spacing w:after="0" w:afterAutospacing="0"/>
        <w:rPr>
          <w:color w:val="505050"/>
        </w:rPr>
      </w:pPr>
      <w:proofErr w:type="gramStart"/>
      <w:r w:rsidRPr="005333B0">
        <w:rPr>
          <w:color w:val="505050"/>
        </w:rPr>
        <w:t>crown</w:t>
      </w:r>
      <w:proofErr w:type="gramEnd"/>
      <w:r w:rsidRPr="005333B0">
        <w:rPr>
          <w:color w:val="505050"/>
        </w:rPr>
        <w:t xml:space="preserve"> shape differs between species</w:t>
      </w:r>
      <w:bookmarkStart w:id="3" w:name="bBIB28"/>
      <w:r w:rsidRPr="005333B0">
        <w:t xml:space="preserve"> and translates to differences in </w:t>
      </w:r>
      <w:proofErr w:type="spellStart"/>
      <w:r w:rsidRPr="005333B0">
        <w:t>lidar</w:t>
      </w:r>
      <w:proofErr w:type="spellEnd"/>
      <w:r w:rsidRPr="005333B0">
        <w:t xml:space="preserve"> metrics </w:t>
      </w:r>
      <w:hyperlink r:id="rId5" w:anchor="BIB28" w:history="1">
        <w:r w:rsidRPr="005333B0">
          <w:rPr>
            <w:rStyle w:val="Hyperlink"/>
            <w:color w:val="007398"/>
          </w:rPr>
          <w:t>(Nelson, 1997)</w:t>
        </w:r>
      </w:hyperlink>
      <w:bookmarkEnd w:id="3"/>
      <w:r w:rsidRPr="005333B0">
        <w:rPr>
          <w:color w:val="505050"/>
        </w:rPr>
        <w:t xml:space="preserve">. </w:t>
      </w:r>
    </w:p>
    <w:p w:rsidR="003B0048" w:rsidRPr="00B617E4" w:rsidRDefault="00F808F5" w:rsidP="005333B0">
      <w:pPr>
        <w:pStyle w:val="m-3204913092636764702gmail-msonormal"/>
        <w:numPr>
          <w:ilvl w:val="1"/>
          <w:numId w:val="1"/>
        </w:numPr>
        <w:shd w:val="clear" w:color="auto" w:fill="FFFFFF"/>
        <w:spacing w:after="0" w:afterAutospacing="0"/>
        <w:rPr>
          <w:color w:val="505050"/>
        </w:rPr>
      </w:pPr>
      <w:r>
        <w:rPr>
          <w:rFonts w:ascii="Arial" w:hAnsi="Arial" w:cs="Arial"/>
          <w:color w:val="333333"/>
          <w:sz w:val="22"/>
          <w:szCs w:val="22"/>
          <w:shd w:val="clear" w:color="auto" w:fill="FFFFFF"/>
        </w:rPr>
        <w:t>T</w:t>
      </w:r>
      <w:r w:rsidR="003B0048">
        <w:rPr>
          <w:rFonts w:ascii="Arial" w:hAnsi="Arial" w:cs="Arial"/>
          <w:color w:val="333333"/>
          <w:sz w:val="22"/>
          <w:szCs w:val="22"/>
          <w:shd w:val="clear" w:color="auto" w:fill="FFFFFF"/>
        </w:rPr>
        <w:t xml:space="preserve">here were few patterns in the correlations that were consistent between all three biomes. </w:t>
      </w:r>
      <w:r>
        <w:rPr>
          <w:rFonts w:ascii="Arial" w:hAnsi="Arial" w:cs="Arial"/>
          <w:color w:val="333333"/>
          <w:sz w:val="22"/>
          <w:szCs w:val="22"/>
          <w:shd w:val="clear" w:color="auto" w:fill="FFFFFF"/>
        </w:rPr>
        <w:t xml:space="preserve">This is due probably to the narrow range of canopy cover conditions observed in those plots. </w:t>
      </w:r>
      <w:r w:rsidR="003B0048">
        <w:rPr>
          <w:rFonts w:ascii="Arial" w:hAnsi="Arial" w:cs="Arial"/>
          <w:color w:val="333333"/>
          <w:sz w:val="22"/>
          <w:szCs w:val="22"/>
          <w:shd w:val="clear" w:color="auto" w:fill="FFFFFF"/>
        </w:rPr>
        <w:t>For the boreal coniferous site, the product of cover and several of the height indices performed better than the height indices alone. At the temperate deciduous site, the reverse was true, again due probably to the low range of canopy cover, and the resulting non-significant correlation between cover and biomass. At the temperate coniferous site there is no clear difference between the two sets of variables (heights alone and the products of height indices and cover indices). When all sites are considered together, mean height squared is the best overall predictor of above-ground biomass. (</w:t>
      </w:r>
      <w:proofErr w:type="spellStart"/>
      <w:r w:rsidR="003B0048">
        <w:rPr>
          <w:rFonts w:ascii="Arial" w:hAnsi="Arial" w:cs="Arial"/>
          <w:color w:val="333333"/>
          <w:sz w:val="22"/>
          <w:szCs w:val="22"/>
          <w:shd w:val="clear" w:color="auto" w:fill="FFFFFF"/>
        </w:rPr>
        <w:t>Lefsky</w:t>
      </w:r>
      <w:proofErr w:type="spellEnd"/>
      <w:r w:rsidR="003B0048">
        <w:rPr>
          <w:rFonts w:ascii="Arial" w:hAnsi="Arial" w:cs="Arial"/>
          <w:color w:val="333333"/>
          <w:sz w:val="22"/>
          <w:szCs w:val="22"/>
          <w:shd w:val="clear" w:color="auto" w:fill="FFFFFF"/>
        </w:rPr>
        <w:t xml:space="preserve"> et al 2002)</w:t>
      </w:r>
    </w:p>
    <w:p w:rsidR="00B617E4" w:rsidRDefault="00B617E4" w:rsidP="00B617E4">
      <w:pPr>
        <w:pStyle w:val="ListParagraph"/>
        <w:numPr>
          <w:ilvl w:val="1"/>
          <w:numId w:val="1"/>
        </w:numPr>
      </w:pPr>
      <w:r>
        <w:t xml:space="preserve">The equation for deciduous basal area failed at H.J. Andrews and </w:t>
      </w:r>
      <w:proofErr w:type="spellStart"/>
      <w:r>
        <w:t>Metolius</w:t>
      </w:r>
      <w:proofErr w:type="spellEnd"/>
      <w:r>
        <w:t xml:space="preserve">, two sites with deciduous basal area less than 1.0 m2 ha-1. It is possible that a more successful method for estimating deciduous basal area could be created using a combination of conventional optical remote sensing to detect the presence of deciduous trees (e.g. </w:t>
      </w:r>
      <w:proofErr w:type="spellStart"/>
      <w:r>
        <w:t>Maiersperger</w:t>
      </w:r>
      <w:proofErr w:type="spellEnd"/>
      <w:r>
        <w:t xml:space="preserve"> et al., 2001), and </w:t>
      </w:r>
      <w:proofErr w:type="spellStart"/>
      <w:r>
        <w:t>lidar</w:t>
      </w:r>
      <w:proofErr w:type="spellEnd"/>
      <w:r>
        <w:t xml:space="preserve"> to estimate their basal area (</w:t>
      </w:r>
      <w:proofErr w:type="spellStart"/>
      <w:r>
        <w:t>Lefsky</w:t>
      </w:r>
      <w:proofErr w:type="spellEnd"/>
      <w:r>
        <w:t xml:space="preserve"> et al 2005</w:t>
      </w:r>
      <w:r w:rsidR="00D4160E">
        <w:t xml:space="preserve"> A</w:t>
      </w:r>
      <w:r>
        <w:t>)</w:t>
      </w:r>
    </w:p>
    <w:p w:rsidR="00290927" w:rsidRPr="00B617E4" w:rsidRDefault="00290927" w:rsidP="00B617E4">
      <w:pPr>
        <w:pStyle w:val="ListParagraph"/>
        <w:numPr>
          <w:ilvl w:val="1"/>
          <w:numId w:val="1"/>
        </w:numPr>
      </w:pPr>
      <w:r>
        <w:t xml:space="preserve">discrete-return </w:t>
      </w:r>
      <w:proofErr w:type="spellStart"/>
      <w:r>
        <w:t>lidar</w:t>
      </w:r>
      <w:proofErr w:type="spellEnd"/>
      <w:r>
        <w:t xml:space="preserve"> has been used in regression analysis to estimate forest biomass levels across a range of forest types including temperate mixed deciduous coniferous forests (</w:t>
      </w:r>
      <w:proofErr w:type="spellStart"/>
      <w:r>
        <w:t>Popescu</w:t>
      </w:r>
      <w:proofErr w:type="spellEnd"/>
      <w:r>
        <w:t xml:space="preserve"> et al. 2003; Lim and </w:t>
      </w:r>
      <w:proofErr w:type="spellStart"/>
      <w:r>
        <w:t>Treitz</w:t>
      </w:r>
      <w:proofErr w:type="spellEnd"/>
      <w:r>
        <w:t xml:space="preserve"> 2004), temperate deciduous (</w:t>
      </w:r>
      <w:proofErr w:type="spellStart"/>
      <w:r>
        <w:t>Patenaude</w:t>
      </w:r>
      <w:proofErr w:type="spellEnd"/>
      <w:r>
        <w:t xml:space="preserve"> et al. 2004), temperate coniferous forests (Hall et al. 2005; Hyde et al. 2007), and boreal </w:t>
      </w:r>
      <w:proofErr w:type="spellStart"/>
      <w:r>
        <w:t>mixedwood</w:t>
      </w:r>
      <w:proofErr w:type="spellEnd"/>
      <w:r>
        <w:t xml:space="preserve"> forests (Thomas et al. 2006)</w:t>
      </w:r>
      <w:r w:rsidR="00966D0B">
        <w:t xml:space="preserve">, temperate subalpine (Sherrill et al 2008) </w:t>
      </w:r>
    </w:p>
    <w:p w:rsidR="00862835" w:rsidRPr="00D3718B" w:rsidRDefault="00862835" w:rsidP="00862835">
      <w:pPr>
        <w:pStyle w:val="m-3204913092636764702gmail-msonormal"/>
        <w:numPr>
          <w:ilvl w:val="0"/>
          <w:numId w:val="1"/>
        </w:numPr>
        <w:shd w:val="clear" w:color="auto" w:fill="FFFFFF"/>
        <w:spacing w:after="0" w:afterAutospacing="0"/>
        <w:rPr>
          <w:color w:val="222222"/>
        </w:rPr>
      </w:pPr>
      <w:r w:rsidRPr="005333B0">
        <w:rPr>
          <w:color w:val="505050"/>
        </w:rPr>
        <w:t xml:space="preserve">Stratified sample </w:t>
      </w:r>
      <w:r>
        <w:rPr>
          <w:color w:val="505050"/>
        </w:rPr>
        <w:t>–</w:t>
      </w:r>
      <w:r w:rsidRPr="005333B0">
        <w:rPr>
          <w:color w:val="505050"/>
        </w:rPr>
        <w:t xml:space="preserve"> </w:t>
      </w:r>
    </w:p>
    <w:p w:rsidR="00862835" w:rsidRPr="00D3718B" w:rsidRDefault="00862835" w:rsidP="00862835">
      <w:pPr>
        <w:pStyle w:val="m-3204913092636764702gmail-msonormal"/>
        <w:numPr>
          <w:ilvl w:val="1"/>
          <w:numId w:val="1"/>
        </w:numPr>
        <w:shd w:val="clear" w:color="auto" w:fill="FFFFFF"/>
        <w:spacing w:after="0" w:afterAutospacing="0"/>
        <w:rPr>
          <w:color w:val="222222"/>
        </w:rPr>
      </w:pPr>
      <w:r w:rsidRPr="005333B0">
        <w:rPr>
          <w:color w:val="505050"/>
        </w:rPr>
        <w:t xml:space="preserve">Commonly used stratification criteria such as age class and site quality, which is correlated with at least the dominant conifer tree species in Norway, may therefore be useful for an efficient stratification of inventories. In the present study, stratification according to age class and site quality </w:t>
      </w:r>
      <w:r>
        <w:rPr>
          <w:color w:val="505050"/>
        </w:rPr>
        <w:t>was</w:t>
      </w:r>
      <w:r>
        <w:rPr>
          <w:rFonts w:ascii="Arial" w:hAnsi="Arial" w:cs="Arial"/>
          <w:color w:val="505050"/>
          <w:sz w:val="27"/>
          <w:szCs w:val="27"/>
        </w:rPr>
        <w:t xml:space="preserve"> efficient to represent distinct forest types in practical inventories</w:t>
      </w:r>
      <w:r>
        <w:rPr>
          <w:color w:val="505050"/>
        </w:rPr>
        <w:t xml:space="preserve"> (</w:t>
      </w:r>
      <w:proofErr w:type="spellStart"/>
      <w:r>
        <w:rPr>
          <w:color w:val="505050"/>
        </w:rPr>
        <w:t>Naesset</w:t>
      </w:r>
      <w:proofErr w:type="spellEnd"/>
      <w:r>
        <w:rPr>
          <w:color w:val="505050"/>
        </w:rPr>
        <w:t xml:space="preserve"> 2002)</w:t>
      </w:r>
      <w:r w:rsidRPr="005333B0">
        <w:rPr>
          <w:color w:val="505050"/>
        </w:rPr>
        <w:t>.</w:t>
      </w:r>
      <w:r w:rsidRPr="00CE72DC">
        <w:rPr>
          <w:rFonts w:ascii="Arial" w:hAnsi="Arial" w:cs="Arial"/>
          <w:color w:val="505050"/>
          <w:sz w:val="27"/>
          <w:szCs w:val="27"/>
        </w:rPr>
        <w:t xml:space="preserve"> </w:t>
      </w:r>
    </w:p>
    <w:p w:rsidR="00862835" w:rsidRPr="00862835" w:rsidRDefault="00862835" w:rsidP="005333B0">
      <w:pPr>
        <w:pStyle w:val="m-3204913092636764702gmail-msonormal"/>
        <w:numPr>
          <w:ilvl w:val="0"/>
          <w:numId w:val="1"/>
        </w:numPr>
        <w:shd w:val="clear" w:color="auto" w:fill="FFFFFF"/>
        <w:spacing w:after="0" w:afterAutospacing="0"/>
        <w:rPr>
          <w:color w:val="222222"/>
        </w:rPr>
      </w:pPr>
      <w:r>
        <w:rPr>
          <w:color w:val="505050"/>
        </w:rPr>
        <w:t>Statistical approach</w:t>
      </w:r>
    </w:p>
    <w:p w:rsidR="00862835" w:rsidRPr="00862835" w:rsidRDefault="00862835" w:rsidP="00862835">
      <w:pPr>
        <w:pStyle w:val="m-3204913092636764702gmail-msonormal"/>
        <w:numPr>
          <w:ilvl w:val="1"/>
          <w:numId w:val="1"/>
        </w:numPr>
        <w:shd w:val="clear" w:color="auto" w:fill="FFFFFF"/>
        <w:spacing w:after="0" w:afterAutospacing="0"/>
        <w:rPr>
          <w:color w:val="222222"/>
        </w:rPr>
      </w:pPr>
      <w:r>
        <w:t xml:space="preserve">Issues influenced the analysis of this data set: 1) the potential for multicollinearity when a large number of independent variables are involved; 2) the choice of variables for, and the comprehensibility of, regression equations. </w:t>
      </w:r>
    </w:p>
    <w:p w:rsidR="00D3718B" w:rsidRPr="00CC02CB" w:rsidRDefault="00D3718B" w:rsidP="005333B0">
      <w:pPr>
        <w:pStyle w:val="m-3204913092636764702gmail-msonormal"/>
        <w:numPr>
          <w:ilvl w:val="0"/>
          <w:numId w:val="1"/>
        </w:numPr>
        <w:shd w:val="clear" w:color="auto" w:fill="FFFFFF"/>
        <w:spacing w:after="0" w:afterAutospacing="0"/>
        <w:rPr>
          <w:color w:val="222222"/>
        </w:rPr>
      </w:pPr>
      <w:r>
        <w:rPr>
          <w:color w:val="222222"/>
        </w:rPr>
        <w:t>Co</w:t>
      </w:r>
      <w:r w:rsidR="00CC02CB">
        <w:rPr>
          <w:color w:val="222222"/>
        </w:rPr>
        <w:t>l</w:t>
      </w:r>
      <w:r>
        <w:rPr>
          <w:color w:val="222222"/>
        </w:rPr>
        <w:t>linearity</w:t>
      </w:r>
    </w:p>
    <w:p w:rsidR="00862835" w:rsidRPr="00862835" w:rsidRDefault="00862835" w:rsidP="00862835">
      <w:pPr>
        <w:pStyle w:val="m-3204913092636764702gmail-msonormal"/>
        <w:numPr>
          <w:ilvl w:val="1"/>
          <w:numId w:val="1"/>
        </w:numPr>
        <w:shd w:val="clear" w:color="auto" w:fill="FFFFFF"/>
        <w:spacing w:after="0" w:afterAutospacing="0"/>
        <w:rPr>
          <w:color w:val="222222"/>
        </w:rPr>
      </w:pPr>
      <w:r>
        <w:t xml:space="preserve">To address multicollinearity, principle components analysis (PCA) was used to select a reduced set of explanatory variables for both </w:t>
      </w:r>
      <w:proofErr w:type="spellStart"/>
      <w:r>
        <w:t>dependant</w:t>
      </w:r>
      <w:proofErr w:type="spellEnd"/>
      <w:r>
        <w:t xml:space="preserve"> (field) and independent (</w:t>
      </w:r>
      <w:proofErr w:type="spellStart"/>
      <w:r>
        <w:t>lidar</w:t>
      </w:r>
      <w:proofErr w:type="spellEnd"/>
      <w:r>
        <w:t xml:space="preserve">) data sets. Using the criteria of </w:t>
      </w:r>
      <w:proofErr w:type="spellStart"/>
      <w:r>
        <w:t>Isebrands</w:t>
      </w:r>
      <w:proofErr w:type="spellEnd"/>
      <w:r>
        <w:t xml:space="preserve"> and Crow (1975), all principle components with eigenvalues greater than 1.0 and the first component with an eigenvalue less than 1.0 were considered significant and retained. The field or </w:t>
      </w:r>
      <w:proofErr w:type="spellStart"/>
      <w:r>
        <w:t>lidar</w:t>
      </w:r>
      <w:proofErr w:type="spellEnd"/>
      <w:r>
        <w:t xml:space="preserve"> variables with the highest correlation with each significant component were identified and composed the reduced set of variables. Although they didn’t meet the criteria, mean tree height and mean tree age were included as part of the reduced field data set because they are the most commonly used indicators of stand structure development. CCA was used to further reduce data redundancy. The output from CCA is two (or more) sets of canonical variables with one set calculated from each of the multivariate data sets, in this case the </w:t>
      </w:r>
      <w:proofErr w:type="spellStart"/>
      <w:r>
        <w:t>lidar</w:t>
      </w:r>
      <w:proofErr w:type="spellEnd"/>
      <w:r>
        <w:t xml:space="preserve"> and field data sets. CCA maximizes correlations between each set of canonical variables, which is used to reveal the common structure between two (or more) multivariate data sets (</w:t>
      </w:r>
      <w:proofErr w:type="spellStart"/>
      <w:r>
        <w:t>McGarigal</w:t>
      </w:r>
      <w:proofErr w:type="spellEnd"/>
      <w:r>
        <w:t xml:space="preserve"> et al. 2000). Each set of canonical variables identifies general trends in a suite of variables rather than selecting specific independent variables, which often have correlations with more than one general trend in forest stand structure. Previous results (</w:t>
      </w:r>
      <w:proofErr w:type="spellStart"/>
      <w:r>
        <w:t>Lefsky</w:t>
      </w:r>
      <w:proofErr w:type="spellEnd"/>
      <w:r>
        <w:t xml:space="preserve"> et al. 2005a, 2005b) have indicated that using CCA components as independent variables results in more interpretable and parsimonious regression models. Sherrill et al 2008</w:t>
      </w:r>
    </w:p>
    <w:p w:rsidR="00D3718B" w:rsidRPr="00CC02CB" w:rsidRDefault="00D3718B" w:rsidP="00D3718B">
      <w:pPr>
        <w:pStyle w:val="m-3204913092636764702gmail-msonormal"/>
        <w:numPr>
          <w:ilvl w:val="1"/>
          <w:numId w:val="1"/>
        </w:numPr>
        <w:shd w:val="clear" w:color="auto" w:fill="FFFFFF"/>
        <w:spacing w:after="0" w:afterAutospacing="0"/>
        <w:rPr>
          <w:color w:val="222222"/>
        </w:rPr>
      </w:pPr>
      <w:r w:rsidRPr="00CC02CB">
        <w:rPr>
          <w:color w:val="505050"/>
        </w:rPr>
        <w:t>Principal component analysis based on the correlation matrix was used to assess the presence of collinearity in the regression analysis. The square root of the largest eigenvalue divided by the smallest eigenvalue (condition number, </w:t>
      </w:r>
      <w:r w:rsidRPr="00CC02CB">
        <w:rPr>
          <w:rStyle w:val="Emphasis"/>
          <w:color w:val="505050"/>
        </w:rPr>
        <w:t>κ</w:t>
      </w:r>
      <w:r w:rsidRPr="00CC02CB">
        <w:rPr>
          <w:color w:val="505050"/>
        </w:rPr>
        <w:t xml:space="preserve">) was used as a means for suggesting collinearity. A condition number larger than 30 has been proposed to indicate </w:t>
      </w:r>
      <w:proofErr w:type="spellStart"/>
      <w:r w:rsidRPr="00CC02CB">
        <w:rPr>
          <w:color w:val="505050"/>
        </w:rPr>
        <w:t>collinearity</w:t>
      </w:r>
      <w:proofErr w:type="spellEnd"/>
      <w:r w:rsidRPr="00CC02CB">
        <w:rPr>
          <w:color w:val="505050"/>
        </w:rPr>
        <w:t> </w:t>
      </w:r>
      <w:bookmarkStart w:id="4" w:name="bBIB34"/>
      <w:r w:rsidRPr="00CC02CB">
        <w:fldChar w:fldCharType="begin"/>
      </w:r>
      <w:r w:rsidRPr="00CC02CB">
        <w:instrText xml:space="preserve"> HYPERLINK "http://www.sciencedirect.com/science/article/pii/S0034425701002905" \l "BIB34" </w:instrText>
      </w:r>
      <w:r w:rsidRPr="00CC02CB">
        <w:fldChar w:fldCharType="separate"/>
      </w:r>
      <w:r w:rsidRPr="00CC02CB">
        <w:rPr>
          <w:rStyle w:val="Hyperlink"/>
          <w:color w:val="007398"/>
          <w:u w:val="none"/>
        </w:rPr>
        <w:t>(Weisberg, 1985)</w:t>
      </w:r>
      <w:r w:rsidRPr="00CC02CB">
        <w:fldChar w:fldCharType="end"/>
      </w:r>
      <w:bookmarkEnd w:id="4"/>
      <w:r w:rsidRPr="00CC02CB">
        <w:rPr>
          <w:color w:val="505050"/>
        </w:rPr>
        <w:t>. Some of the models initially suggested by the stepwise selection procedure were subject to serious collinearity. The models selected for further analysis were therefore those indicated by the stepwise procedure that fulfilled the requirement of </w:t>
      </w:r>
      <w:r w:rsidRPr="00CC02CB">
        <w:rPr>
          <w:rStyle w:val="Emphasis"/>
          <w:color w:val="505050"/>
        </w:rPr>
        <w:t>κ</w:t>
      </w:r>
      <w:r w:rsidRPr="00CC02CB">
        <w:rPr>
          <w:color w:val="505050"/>
        </w:rPr>
        <w:t>&lt;30. The maximum condition number of the selected models was 11.7 </w:t>
      </w:r>
      <w:bookmarkStart w:id="5" w:name="bTBL6"/>
      <w:r w:rsidRPr="00CC02CB">
        <w:fldChar w:fldCharType="begin"/>
      </w:r>
      <w:r w:rsidRPr="00CC02CB">
        <w:instrText xml:space="preserve"> HYPERLINK "http://www.sciencedirect.com/science/article/pii/S0034425701002905" \l "TBL6" </w:instrText>
      </w:r>
      <w:r w:rsidRPr="00CC02CB">
        <w:fldChar w:fldCharType="separate"/>
      </w:r>
      <w:r w:rsidRPr="00CC02CB">
        <w:rPr>
          <w:rStyle w:val="Hyperlink"/>
          <w:color w:val="007398"/>
          <w:u w:val="none"/>
        </w:rPr>
        <w:t>(Table 6)</w:t>
      </w:r>
      <w:r w:rsidRPr="00CC02CB">
        <w:fldChar w:fldCharType="end"/>
      </w:r>
      <w:bookmarkEnd w:id="5"/>
      <w:r w:rsidRPr="00CC02CB">
        <w:rPr>
          <w:color w:val="505050"/>
        </w:rPr>
        <w:t>, which indicated no serious collinearity problems of the final models.</w:t>
      </w:r>
      <w:r w:rsidR="00CC02CB" w:rsidRPr="00CC02CB">
        <w:rPr>
          <w:color w:val="505050"/>
        </w:rPr>
        <w:t xml:space="preserve"> (</w:t>
      </w:r>
      <w:proofErr w:type="spellStart"/>
      <w:r w:rsidR="00CC02CB" w:rsidRPr="00CC02CB">
        <w:rPr>
          <w:color w:val="505050"/>
        </w:rPr>
        <w:t>Naesset</w:t>
      </w:r>
      <w:proofErr w:type="spellEnd"/>
      <w:r w:rsidR="00CC02CB" w:rsidRPr="00CC02CB">
        <w:rPr>
          <w:color w:val="505050"/>
        </w:rPr>
        <w:t xml:space="preserve"> 2002)</w:t>
      </w:r>
    </w:p>
    <w:p w:rsidR="00B617E4" w:rsidRDefault="00B617E4" w:rsidP="00CC02CB">
      <w:pPr>
        <w:pStyle w:val="m-3204913092636764702gmail-msonormal"/>
        <w:numPr>
          <w:ilvl w:val="0"/>
          <w:numId w:val="1"/>
        </w:numPr>
        <w:shd w:val="clear" w:color="auto" w:fill="FFFFFF"/>
        <w:spacing w:after="0" w:afterAutospacing="0"/>
        <w:rPr>
          <w:color w:val="222222"/>
        </w:rPr>
      </w:pPr>
      <w:r>
        <w:rPr>
          <w:color w:val="222222"/>
        </w:rPr>
        <w:t>Lidar covariates:</w:t>
      </w:r>
    </w:p>
    <w:p w:rsidR="00B617E4" w:rsidRDefault="00B617E4" w:rsidP="00B617E4">
      <w:pPr>
        <w:pStyle w:val="m-3204913092636764702gmail-msonormal"/>
        <w:numPr>
          <w:ilvl w:val="1"/>
          <w:numId w:val="1"/>
        </w:numPr>
        <w:shd w:val="clear" w:color="auto" w:fill="FFFFFF"/>
        <w:spacing w:after="0" w:afterAutospacing="0"/>
        <w:rPr>
          <w:color w:val="222222"/>
        </w:rPr>
      </w:pPr>
      <w:r>
        <w:t xml:space="preserve">In this work, canonical correlation analysis of coincident </w:t>
      </w:r>
      <w:proofErr w:type="spellStart"/>
      <w:r>
        <w:t>lidar</w:t>
      </w:r>
      <w:proofErr w:type="spellEnd"/>
      <w:r>
        <w:t xml:space="preserve"> and field datasets in western Oregon and Washington is used to define seven statistically significant pairs of canonical variables, each defining an axis of variation that stand and canopy structure have in common. The first major axis relates mean stand height, and related variables, to aboveground biomass. The second relates canopy cover and volume to leaf area index and stem density. The third relates canopy height variability to mean stem diameter and the basal area of deciduous species. Of the four remaining axes, three are related to contrasts between mature and old-growth stands. Canonical correlation analysis provides a method for ranking the importance of these effects, and for placing both canopy and stand structure indices within the overall covariance structure of the two datasets. In this sense, and for the study area involved, the first three factors (mean height, cover or leaf index area, height variability) represent the same kind of enhancement of </w:t>
      </w:r>
      <w:proofErr w:type="spellStart"/>
      <w:r>
        <w:t>lidar</w:t>
      </w:r>
      <w:proofErr w:type="spellEnd"/>
      <w:r>
        <w:t xml:space="preserve"> data that the tasseled cap indices [Crist, C.P., R.C. </w:t>
      </w:r>
      <w:proofErr w:type="spellStart"/>
      <w:r>
        <w:t>Cicone</w:t>
      </w:r>
      <w:proofErr w:type="spellEnd"/>
      <w:r>
        <w:t xml:space="preserve">, f 984. A physically-based transformation of thematic mapper data-the TM tasseled cap. </w:t>
      </w:r>
      <w:proofErr w:type="spellStart"/>
      <w:r>
        <w:t>Lefksy</w:t>
      </w:r>
      <w:proofErr w:type="spellEnd"/>
      <w:r>
        <w:t xml:space="preserve"> et al 2005</w:t>
      </w:r>
      <w:r w:rsidR="00D4160E">
        <w:t xml:space="preserve"> B</w:t>
      </w:r>
      <w:r w:rsidR="00F9684A">
        <w:t xml:space="preserve">. </w:t>
      </w:r>
    </w:p>
    <w:p w:rsidR="00687812" w:rsidRDefault="00687812" w:rsidP="00CC02CB">
      <w:pPr>
        <w:pStyle w:val="m-3204913092636764702gmail-msonormal"/>
        <w:numPr>
          <w:ilvl w:val="0"/>
          <w:numId w:val="1"/>
        </w:numPr>
        <w:shd w:val="clear" w:color="auto" w:fill="FFFFFF"/>
        <w:spacing w:after="0" w:afterAutospacing="0"/>
        <w:rPr>
          <w:color w:val="222222"/>
        </w:rPr>
      </w:pPr>
      <w:r>
        <w:rPr>
          <w:color w:val="222222"/>
        </w:rPr>
        <w:t>Environmental covariates:</w:t>
      </w:r>
    </w:p>
    <w:p w:rsidR="00687812" w:rsidRDefault="00687812" w:rsidP="00687812">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 xml:space="preserve">Three sets of statistical analyses were performed. The first set of analyses compared three methods for relating </w:t>
      </w:r>
      <w:proofErr w:type="spellStart"/>
      <w:r>
        <w:rPr>
          <w:rFonts w:ascii="Arial" w:hAnsi="Arial" w:cs="Arial"/>
          <w:color w:val="505050"/>
          <w:sz w:val="27"/>
          <w:szCs w:val="27"/>
        </w:rPr>
        <w:t>lidar</w:t>
      </w:r>
      <w:proofErr w:type="spellEnd"/>
      <w:r>
        <w:rPr>
          <w:rFonts w:ascii="Arial" w:hAnsi="Arial" w:cs="Arial"/>
          <w:color w:val="505050"/>
          <w:sz w:val="27"/>
          <w:szCs w:val="27"/>
        </w:rPr>
        <w:t xml:space="preserve">-measured canopy structure and field-measured stand structure. The second set of analyses tested the ability of environmental (topographic, climate and edaphic) indices to explain the residuals from the first set of regression analyses. The second analysis involved a second round of CCA to relate residuals from each of the three regression analyses to topography, climate and soils. The use of CCA in this context avoided the inflation of variance explained by the environmental variables that would have occurred if all the environmental variables had been included in the first set of regressions. Moreover, the subsequent CCA allowed us to define important environmental factors that influence the stand structure variables of interest. Finally, the environmental canonical variables and the </w:t>
      </w:r>
      <w:proofErr w:type="spellStart"/>
      <w:r>
        <w:rPr>
          <w:rFonts w:ascii="Arial" w:hAnsi="Arial" w:cs="Arial"/>
          <w:color w:val="505050"/>
          <w:sz w:val="27"/>
          <w:szCs w:val="27"/>
        </w:rPr>
        <w:t>lidar</w:t>
      </w:r>
      <w:proofErr w:type="spellEnd"/>
      <w:r>
        <w:rPr>
          <w:rFonts w:ascii="Arial" w:hAnsi="Arial" w:cs="Arial"/>
          <w:color w:val="505050"/>
          <w:sz w:val="27"/>
          <w:szCs w:val="27"/>
        </w:rPr>
        <w:t xml:space="preserve"> estimates of canopy structure were then used together to estimate stand structure.</w:t>
      </w:r>
      <w:r>
        <w:rPr>
          <w:color w:val="222222"/>
        </w:rPr>
        <w:t xml:space="preserve"> </w:t>
      </w:r>
      <w:r w:rsidR="002557A2">
        <w:rPr>
          <w:rFonts w:ascii="Arial" w:hAnsi="Arial" w:cs="Arial"/>
          <w:color w:val="505050"/>
          <w:sz w:val="27"/>
          <w:szCs w:val="27"/>
        </w:rPr>
        <w:t>(</w:t>
      </w:r>
      <w:proofErr w:type="spellStart"/>
      <w:r w:rsidR="002557A2">
        <w:rPr>
          <w:rFonts w:ascii="Arial" w:hAnsi="Arial" w:cs="Arial"/>
          <w:color w:val="505050"/>
          <w:sz w:val="27"/>
          <w:szCs w:val="27"/>
        </w:rPr>
        <w:t>Lefsky</w:t>
      </w:r>
      <w:proofErr w:type="spellEnd"/>
      <w:r w:rsidR="002557A2">
        <w:rPr>
          <w:rFonts w:ascii="Arial" w:hAnsi="Arial" w:cs="Arial"/>
          <w:color w:val="505050"/>
          <w:sz w:val="27"/>
          <w:szCs w:val="27"/>
        </w:rPr>
        <w:t xml:space="preserve"> et al 2005 A)</w:t>
      </w:r>
      <w:r>
        <w:rPr>
          <w:rFonts w:ascii="Arial" w:hAnsi="Arial" w:cs="Arial"/>
          <w:color w:val="505050"/>
          <w:sz w:val="27"/>
          <w:szCs w:val="27"/>
        </w:rPr>
        <w:t>.</w:t>
      </w:r>
    </w:p>
    <w:p w:rsidR="00687812" w:rsidRDefault="00687812" w:rsidP="00CC02CB">
      <w:pPr>
        <w:pStyle w:val="m-3204913092636764702gmail-msonormal"/>
        <w:numPr>
          <w:ilvl w:val="0"/>
          <w:numId w:val="1"/>
        </w:numPr>
        <w:shd w:val="clear" w:color="auto" w:fill="FFFFFF"/>
        <w:spacing w:after="0" w:afterAutospacing="0"/>
        <w:rPr>
          <w:color w:val="222222"/>
        </w:rPr>
      </w:pPr>
      <w:r>
        <w:rPr>
          <w:color w:val="222222"/>
        </w:rPr>
        <w:t>Model Selection:</w:t>
      </w:r>
    </w:p>
    <w:p w:rsidR="00687812" w:rsidRPr="00D4160E" w:rsidRDefault="00687812" w:rsidP="00687812">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The regression methods used were 1) direct stepwise multiple regression with canopy structure variables (e.g. direct stepwise) which was used as a reference, 2) direct CCA with canopy structure variables (e.g. direct CCA) and 3) stepwise multiple regression with canonical </w:t>
      </w:r>
      <w:r>
        <w:rPr>
          <w:rStyle w:val="Emphasis"/>
          <w:rFonts w:ascii="Arial" w:hAnsi="Arial" w:cs="Arial"/>
          <w:color w:val="505050"/>
          <w:sz w:val="27"/>
          <w:szCs w:val="27"/>
        </w:rPr>
        <w:t>v</w:t>
      </w:r>
      <w:r>
        <w:rPr>
          <w:rFonts w:ascii="Arial" w:hAnsi="Arial" w:cs="Arial"/>
          <w:color w:val="505050"/>
          <w:sz w:val="27"/>
          <w:szCs w:val="27"/>
        </w:rPr>
        <w:t>ariables (referred to here as SCV). </w:t>
      </w:r>
      <w:r w:rsidR="002557A2">
        <w:rPr>
          <w:rFonts w:ascii="Arial" w:hAnsi="Arial" w:cs="Arial"/>
          <w:color w:val="505050"/>
          <w:sz w:val="27"/>
          <w:szCs w:val="27"/>
        </w:rPr>
        <w:t>(</w:t>
      </w:r>
      <w:proofErr w:type="spellStart"/>
      <w:r w:rsidR="002557A2">
        <w:rPr>
          <w:rFonts w:ascii="Arial" w:hAnsi="Arial" w:cs="Arial"/>
          <w:color w:val="505050"/>
          <w:sz w:val="27"/>
          <w:szCs w:val="27"/>
        </w:rPr>
        <w:t>Lefsky</w:t>
      </w:r>
      <w:proofErr w:type="spellEnd"/>
      <w:r w:rsidR="002557A2">
        <w:rPr>
          <w:rFonts w:ascii="Arial" w:hAnsi="Arial" w:cs="Arial"/>
          <w:color w:val="505050"/>
          <w:sz w:val="27"/>
          <w:szCs w:val="27"/>
        </w:rPr>
        <w:t xml:space="preserve"> et al 2005 A)</w:t>
      </w:r>
    </w:p>
    <w:p w:rsidR="00D4160E" w:rsidRDefault="00D4160E" w:rsidP="00687812">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 xml:space="preserve">Canonical correlation analysis: </w:t>
      </w:r>
      <w:proofErr w:type="spellStart"/>
      <w:r>
        <w:t>Lefsky</w:t>
      </w:r>
      <w:proofErr w:type="spellEnd"/>
      <w:r>
        <w:t xml:space="preserve"> et al 2005 B </w:t>
      </w:r>
      <w:r w:rsidR="002615BF">
        <w:t xml:space="preserve">use canonical correlation analysis to define pairs of canonical variables, each defining an axis of variation common to the canopy and stand structure datasets. In this way, the ranking of various effects can be understood as they relate to the explanation of variance in each dataset, and axes of variation that connect forest canopy and stand structure can be rigorously defined. Their </w:t>
      </w:r>
      <w:r>
        <w:t>goals are a better understanding of what each variable represents in the context of a suite of variables that define an axis of variation, and an understanding of what each axis of variation represents within the context of numerous axes of variation. In this way, we hope to avoid placing too much importance on any particular</w:t>
      </w:r>
    </w:p>
    <w:p w:rsidR="00CE72DC" w:rsidRDefault="00CE72DC" w:rsidP="00CC02CB">
      <w:pPr>
        <w:pStyle w:val="m-3204913092636764702gmail-msonormal"/>
        <w:numPr>
          <w:ilvl w:val="0"/>
          <w:numId w:val="1"/>
        </w:numPr>
        <w:shd w:val="clear" w:color="auto" w:fill="FFFFFF"/>
        <w:spacing w:after="0" w:afterAutospacing="0"/>
        <w:rPr>
          <w:color w:val="222222"/>
        </w:rPr>
      </w:pPr>
      <w:r>
        <w:rPr>
          <w:color w:val="222222"/>
        </w:rPr>
        <w:t>Models:</w:t>
      </w:r>
    </w:p>
    <w:p w:rsidR="00CE72DC" w:rsidRDefault="00CE72DC" w:rsidP="00CE72DC">
      <w:pPr>
        <w:pStyle w:val="m-3204913092636764702gmail-msonormal"/>
        <w:numPr>
          <w:ilvl w:val="1"/>
          <w:numId w:val="1"/>
        </w:numPr>
        <w:shd w:val="clear" w:color="auto" w:fill="FFFFFF"/>
        <w:spacing w:after="0" w:afterAutospacing="0"/>
        <w:rPr>
          <w:color w:val="222222"/>
        </w:rPr>
      </w:pPr>
      <w:proofErr w:type="spellStart"/>
      <w:r>
        <w:rPr>
          <w:color w:val="222222"/>
        </w:rPr>
        <w:t>Naesset</w:t>
      </w:r>
      <w:proofErr w:type="spellEnd"/>
      <w:r>
        <w:rPr>
          <w:color w:val="222222"/>
        </w:rPr>
        <w:t xml:space="preserve"> 2002</w:t>
      </w:r>
    </w:p>
    <w:p w:rsidR="00CE72DC" w:rsidRDefault="00CE72DC" w:rsidP="00CE72DC">
      <w:pPr>
        <w:pStyle w:val="m-3204913092636764702gmail-msonormal"/>
        <w:numPr>
          <w:ilvl w:val="2"/>
          <w:numId w:val="1"/>
        </w:numPr>
        <w:shd w:val="clear" w:color="auto" w:fill="FFFFFF"/>
        <w:spacing w:after="0" w:afterAutospacing="0"/>
        <w:rPr>
          <w:color w:val="222222"/>
        </w:rPr>
      </w:pPr>
      <w:r>
        <w:rPr>
          <w:color w:val="222222"/>
        </w:rPr>
        <w:t>Young stands: mean height of last returns, proportion last returns &gt; median/all</w:t>
      </w:r>
    </w:p>
    <w:p w:rsidR="00CE72DC" w:rsidRPr="008103E0" w:rsidRDefault="00CE72DC" w:rsidP="008103E0">
      <w:pPr>
        <w:pStyle w:val="m-3204913092636764702gmail-msonormal"/>
        <w:numPr>
          <w:ilvl w:val="2"/>
          <w:numId w:val="1"/>
        </w:numPr>
        <w:shd w:val="clear" w:color="auto" w:fill="FFFFFF"/>
        <w:spacing w:after="0" w:afterAutospacing="0"/>
        <w:rPr>
          <w:color w:val="222222"/>
        </w:rPr>
      </w:pPr>
      <w:r>
        <w:rPr>
          <w:color w:val="222222"/>
        </w:rPr>
        <w:t xml:space="preserve">Mature, poor quality: </w:t>
      </w:r>
      <w:r w:rsidR="008103E0">
        <w:rPr>
          <w:color w:val="222222"/>
        </w:rPr>
        <w:t>30</w:t>
      </w:r>
      <w:r w:rsidR="008103E0" w:rsidRPr="008103E0">
        <w:rPr>
          <w:color w:val="222222"/>
          <w:vertAlign w:val="superscript"/>
        </w:rPr>
        <w:t>th</w:t>
      </w:r>
      <w:r w:rsidR="008103E0">
        <w:rPr>
          <w:color w:val="222222"/>
        </w:rPr>
        <w:t xml:space="preserve"> percentile of first</w:t>
      </w:r>
      <w:r>
        <w:rPr>
          <w:color w:val="222222"/>
        </w:rPr>
        <w:t>; 50</w:t>
      </w:r>
      <w:r w:rsidRPr="00CE72DC">
        <w:rPr>
          <w:color w:val="222222"/>
          <w:vertAlign w:val="superscript"/>
        </w:rPr>
        <w:t>th</w:t>
      </w:r>
      <w:r>
        <w:rPr>
          <w:color w:val="222222"/>
        </w:rPr>
        <w:t xml:space="preserve"> percentile of first; proportion first returns &gt; 60</w:t>
      </w:r>
      <w:r w:rsidRPr="00CE72DC">
        <w:rPr>
          <w:color w:val="222222"/>
          <w:vertAlign w:val="superscript"/>
        </w:rPr>
        <w:t>th</w:t>
      </w:r>
      <w:r>
        <w:rPr>
          <w:color w:val="222222"/>
        </w:rPr>
        <w:t xml:space="preserve"> percentile/all; proportion first returns &gt; 90</w:t>
      </w:r>
      <w:r w:rsidRPr="00CE72DC">
        <w:rPr>
          <w:color w:val="222222"/>
          <w:vertAlign w:val="superscript"/>
        </w:rPr>
        <w:t>th</w:t>
      </w:r>
      <w:r>
        <w:rPr>
          <w:color w:val="222222"/>
        </w:rPr>
        <w:t xml:space="preserve"> percentile /all</w:t>
      </w:r>
    </w:p>
    <w:p w:rsidR="008103E0" w:rsidRDefault="008103E0" w:rsidP="008103E0">
      <w:pPr>
        <w:pStyle w:val="m-3204913092636764702gmail-msonormal"/>
        <w:numPr>
          <w:ilvl w:val="2"/>
          <w:numId w:val="1"/>
        </w:numPr>
        <w:shd w:val="clear" w:color="auto" w:fill="FFFFFF"/>
        <w:spacing w:after="0" w:afterAutospacing="0"/>
        <w:rPr>
          <w:color w:val="222222"/>
        </w:rPr>
      </w:pPr>
      <w:r>
        <w:rPr>
          <w:color w:val="222222"/>
        </w:rPr>
        <w:t>Mature, good quality: 80</w:t>
      </w:r>
      <w:r w:rsidRPr="008103E0">
        <w:rPr>
          <w:color w:val="222222"/>
          <w:vertAlign w:val="superscript"/>
        </w:rPr>
        <w:t>th</w:t>
      </w:r>
      <w:r>
        <w:rPr>
          <w:color w:val="222222"/>
        </w:rPr>
        <w:t xml:space="preserve"> percentile of last; max first; proportion first returns &gt; 60</w:t>
      </w:r>
      <w:r w:rsidRPr="00CE72DC">
        <w:rPr>
          <w:color w:val="222222"/>
          <w:vertAlign w:val="superscript"/>
        </w:rPr>
        <w:t>th</w:t>
      </w:r>
      <w:r>
        <w:rPr>
          <w:color w:val="222222"/>
        </w:rPr>
        <w:t xml:space="preserve"> percentile/all; proportion first returns &gt; 90</w:t>
      </w:r>
      <w:r w:rsidRPr="00CE72DC">
        <w:rPr>
          <w:color w:val="222222"/>
          <w:vertAlign w:val="superscript"/>
        </w:rPr>
        <w:t>th</w:t>
      </w:r>
      <w:r>
        <w:rPr>
          <w:color w:val="222222"/>
        </w:rPr>
        <w:t xml:space="preserve"> percentile /all; proportion first returns &gt; 50</w:t>
      </w:r>
      <w:r w:rsidRPr="00CE72DC">
        <w:rPr>
          <w:color w:val="222222"/>
          <w:vertAlign w:val="superscript"/>
        </w:rPr>
        <w:t>th</w:t>
      </w:r>
      <w:r>
        <w:rPr>
          <w:color w:val="222222"/>
        </w:rPr>
        <w:t xml:space="preserve"> percentile /all</w:t>
      </w:r>
    </w:p>
    <w:p w:rsidR="00CE72DC" w:rsidRPr="00CE72DC" w:rsidRDefault="00CE72DC" w:rsidP="00CE72DC">
      <w:pPr>
        <w:pStyle w:val="m-3204913092636764702gmail-msonormal"/>
        <w:numPr>
          <w:ilvl w:val="2"/>
          <w:numId w:val="1"/>
        </w:numPr>
        <w:shd w:val="clear" w:color="auto" w:fill="FFFFFF"/>
        <w:spacing w:after="0" w:afterAutospacing="0"/>
        <w:rPr>
          <w:color w:val="222222"/>
        </w:rPr>
      </w:pPr>
    </w:p>
    <w:p w:rsidR="00CC02CB" w:rsidRPr="00CC02CB" w:rsidRDefault="00CC02CB" w:rsidP="00CC02CB">
      <w:pPr>
        <w:pStyle w:val="m-3204913092636764702gmail-msonormal"/>
        <w:numPr>
          <w:ilvl w:val="0"/>
          <w:numId w:val="1"/>
        </w:numPr>
        <w:shd w:val="clear" w:color="auto" w:fill="FFFFFF"/>
        <w:spacing w:after="0" w:afterAutospacing="0"/>
        <w:rPr>
          <w:color w:val="222222"/>
        </w:rPr>
      </w:pPr>
      <w:r>
        <w:rPr>
          <w:color w:val="505050"/>
        </w:rPr>
        <w:t>Plot size</w:t>
      </w:r>
    </w:p>
    <w:p w:rsidR="00CC02CB" w:rsidRPr="00CE4479" w:rsidRDefault="00CC02CB" w:rsidP="00CC02CB">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The standard deviations between predicted and ground-truth values of the plots revealed by cross-validation were up to 160% larger than the corresponding standard deviations obtained for entire stands. The relationship between precision on small plots and entire stands illustrates two important aspects. First, small areas are subject to substantial inherent variation around canopy height quantiles leading to highly variable predictions (cf. </w:t>
      </w:r>
      <w:bookmarkStart w:id="6" w:name="bBIB17"/>
      <w:proofErr w:type="spellStart"/>
      <w:r>
        <w:fldChar w:fldCharType="begin"/>
      </w:r>
      <w:r>
        <w:instrText xml:space="preserve"> HYPERLINK "http://www.sciencedirect.com/science/article/pii/S0034425701002905" \l "BIB17" </w:instrText>
      </w:r>
      <w:r>
        <w:fldChar w:fldCharType="separate"/>
      </w:r>
      <w:r>
        <w:rPr>
          <w:rStyle w:val="Hyperlink"/>
          <w:rFonts w:ascii="Arial" w:hAnsi="Arial" w:cs="Arial"/>
          <w:color w:val="007398"/>
          <w:sz w:val="27"/>
          <w:szCs w:val="27"/>
        </w:rPr>
        <w:t>Magnussen</w:t>
      </w:r>
      <w:proofErr w:type="spellEnd"/>
      <w:r>
        <w:rPr>
          <w:rStyle w:val="Hyperlink"/>
          <w:rFonts w:ascii="Arial" w:hAnsi="Arial" w:cs="Arial"/>
          <w:color w:val="007398"/>
          <w:sz w:val="27"/>
          <w:szCs w:val="27"/>
        </w:rPr>
        <w:t xml:space="preserve"> &amp; </w:t>
      </w:r>
      <w:proofErr w:type="spellStart"/>
      <w:r>
        <w:rPr>
          <w:rStyle w:val="Hyperlink"/>
          <w:rFonts w:ascii="Arial" w:hAnsi="Arial" w:cs="Arial"/>
          <w:color w:val="007398"/>
          <w:sz w:val="27"/>
          <w:szCs w:val="27"/>
        </w:rPr>
        <w:t>Boudewyn</w:t>
      </w:r>
      <w:proofErr w:type="spellEnd"/>
      <w:r>
        <w:rPr>
          <w:rStyle w:val="Hyperlink"/>
          <w:rFonts w:ascii="Arial" w:hAnsi="Arial" w:cs="Arial"/>
          <w:color w:val="007398"/>
          <w:sz w:val="27"/>
          <w:szCs w:val="27"/>
        </w:rPr>
        <w:t>, 1998</w:t>
      </w:r>
      <w:r>
        <w:fldChar w:fldCharType="end"/>
      </w:r>
      <w:bookmarkEnd w:id="6"/>
      <w:r>
        <w:rPr>
          <w:rFonts w:ascii="Arial" w:hAnsi="Arial" w:cs="Arial"/>
          <w:color w:val="505050"/>
          <w:sz w:val="27"/>
          <w:szCs w:val="27"/>
        </w:rPr>
        <w:t>). The size of the sample plots and stand grid cells should therefore not be too small. On the other hand, extended plot size will increase the inventory costs. Thus, traditional cost/benefit analysis could be used to balance precision and costs.</w:t>
      </w:r>
      <w:r w:rsidRPr="00CC02CB">
        <w:rPr>
          <w:color w:val="505050"/>
        </w:rPr>
        <w:t xml:space="preserve"> (</w:t>
      </w:r>
      <w:proofErr w:type="spellStart"/>
      <w:r w:rsidRPr="00CC02CB">
        <w:rPr>
          <w:color w:val="505050"/>
        </w:rPr>
        <w:t>Naesset</w:t>
      </w:r>
      <w:proofErr w:type="spellEnd"/>
      <w:r w:rsidRPr="00CC02CB">
        <w:rPr>
          <w:color w:val="505050"/>
        </w:rPr>
        <w:t xml:space="preserve"> 2002)</w:t>
      </w:r>
    </w:p>
    <w:p w:rsidR="00CE4479" w:rsidRPr="00CE4479" w:rsidRDefault="00CE4479" w:rsidP="00CC02CB">
      <w:pPr>
        <w:pStyle w:val="m-3204913092636764702gmail-msonormal"/>
        <w:numPr>
          <w:ilvl w:val="1"/>
          <w:numId w:val="1"/>
        </w:numPr>
        <w:shd w:val="clear" w:color="auto" w:fill="FFFFFF"/>
        <w:spacing w:after="0" w:afterAutospacing="0"/>
        <w:rPr>
          <w:color w:val="222222"/>
        </w:rPr>
      </w:pPr>
      <w:r>
        <w:rPr>
          <w:rFonts w:ascii="Georgia" w:hAnsi="Georgia"/>
          <w:color w:val="333333"/>
          <w:spacing w:val="2"/>
          <w:sz w:val="26"/>
          <w:szCs w:val="26"/>
          <w:shd w:val="clear" w:color="auto" w:fill="FCFCFC"/>
        </w:rPr>
        <w:t>Plot size has a strong influence on the model error (RMSE), with larger plots typically resulting in lower errors, although above 0.1 ha there is little influence on model coefficients (</w:t>
      </w:r>
      <w:proofErr w:type="spellStart"/>
      <w:r>
        <w:rPr>
          <w:rFonts w:ascii="Georgia" w:hAnsi="Georgia"/>
          <w:color w:val="333333"/>
          <w:spacing w:val="2"/>
          <w:sz w:val="26"/>
          <w:szCs w:val="26"/>
          <w:shd w:val="clear" w:color="auto" w:fill="FCFCFC"/>
        </w:rPr>
        <w:t>Mascaro</w:t>
      </w:r>
      <w:proofErr w:type="spellEnd"/>
      <w:r>
        <w:rPr>
          <w:rFonts w:ascii="Georgia" w:hAnsi="Georgia"/>
          <w:color w:val="333333"/>
          <w:spacing w:val="2"/>
          <w:sz w:val="26"/>
          <w:szCs w:val="26"/>
          <w:shd w:val="clear" w:color="auto" w:fill="FCFCFC"/>
        </w:rPr>
        <w:t xml:space="preserve"> et al. </w:t>
      </w:r>
      <w:hyperlink r:id="rId6" w:anchor="CR40" w:tooltip="View reference" w:history="1">
        <w:r>
          <w:rPr>
            <w:rStyle w:val="Hyperlink"/>
            <w:rFonts w:ascii="Helvetica" w:hAnsi="Helvetica"/>
            <w:color w:val="8E2555"/>
            <w:spacing w:val="2"/>
            <w:sz w:val="26"/>
            <w:szCs w:val="26"/>
          </w:rPr>
          <w:t>2011b</w:t>
        </w:r>
      </w:hyperlink>
      <w:r>
        <w:rPr>
          <w:rFonts w:ascii="Georgia" w:hAnsi="Georgia"/>
          <w:color w:val="333333"/>
          <w:spacing w:val="2"/>
          <w:sz w:val="26"/>
          <w:szCs w:val="26"/>
          <w:shd w:val="clear" w:color="auto" w:fill="FCFCFC"/>
        </w:rPr>
        <w:t>).</w:t>
      </w:r>
    </w:p>
    <w:p w:rsidR="00CE4479" w:rsidRPr="00CE72DC" w:rsidRDefault="00CE4479" w:rsidP="00CC02CB">
      <w:pPr>
        <w:pStyle w:val="m-3204913092636764702gmail-msonormal"/>
        <w:numPr>
          <w:ilvl w:val="1"/>
          <w:numId w:val="1"/>
        </w:numPr>
        <w:shd w:val="clear" w:color="auto" w:fill="FFFFFF"/>
        <w:spacing w:after="0" w:afterAutospacing="0"/>
        <w:rPr>
          <w:color w:val="222222"/>
        </w:rPr>
      </w:pPr>
      <w:r>
        <w:rPr>
          <w:rFonts w:ascii="Georgia" w:hAnsi="Georgia"/>
          <w:color w:val="333333"/>
          <w:spacing w:val="2"/>
          <w:sz w:val="26"/>
          <w:szCs w:val="26"/>
          <w:shd w:val="clear" w:color="auto" w:fill="FCFCFC"/>
        </w:rPr>
        <w:t xml:space="preserve">See also </w:t>
      </w:r>
      <w:proofErr w:type="spellStart"/>
      <w:r>
        <w:rPr>
          <w:rFonts w:ascii="Georgia" w:hAnsi="Georgia"/>
          <w:color w:val="333333"/>
          <w:spacing w:val="2"/>
          <w:sz w:val="26"/>
          <w:szCs w:val="26"/>
          <w:shd w:val="clear" w:color="auto" w:fill="FCFCFC"/>
        </w:rPr>
        <w:t>Zolkos</w:t>
      </w:r>
      <w:proofErr w:type="spellEnd"/>
    </w:p>
    <w:p w:rsidR="0011131E" w:rsidRDefault="0011131E" w:rsidP="00CE72DC">
      <w:pPr>
        <w:pStyle w:val="m-3204913092636764702gmail-msonormal"/>
        <w:numPr>
          <w:ilvl w:val="0"/>
          <w:numId w:val="1"/>
        </w:numPr>
        <w:shd w:val="clear" w:color="auto" w:fill="FFFFFF"/>
        <w:spacing w:after="0" w:afterAutospacing="0"/>
        <w:rPr>
          <w:color w:val="222222"/>
        </w:rPr>
      </w:pPr>
      <w:r>
        <w:rPr>
          <w:color w:val="222222"/>
        </w:rPr>
        <w:t xml:space="preserve">Plots with small biomass, tree </w:t>
      </w:r>
      <w:proofErr w:type="spellStart"/>
      <w:r>
        <w:rPr>
          <w:color w:val="222222"/>
        </w:rPr>
        <w:t>dbh</w:t>
      </w:r>
      <w:proofErr w:type="spellEnd"/>
      <w:r>
        <w:rPr>
          <w:color w:val="222222"/>
        </w:rPr>
        <w:t xml:space="preserve"> threshold</w:t>
      </w:r>
    </w:p>
    <w:p w:rsidR="0011131E" w:rsidRDefault="0011131E" w:rsidP="0011131E">
      <w:pPr>
        <w:pStyle w:val="m-3204913092636764702gmail-msonormal"/>
        <w:numPr>
          <w:ilvl w:val="1"/>
          <w:numId w:val="1"/>
        </w:numPr>
        <w:shd w:val="clear" w:color="auto" w:fill="FFFFFF"/>
        <w:spacing w:after="0" w:afterAutospacing="0"/>
        <w:rPr>
          <w:color w:val="222222"/>
        </w:rPr>
      </w:pPr>
      <w:r>
        <w:t xml:space="preserve">The consequence of excluding trees with a small </w:t>
      </w:r>
      <w:proofErr w:type="spellStart"/>
      <w:r>
        <w:t>dbh</w:t>
      </w:r>
      <w:proofErr w:type="spellEnd"/>
      <w:r>
        <w:t xml:space="preserve"> from plots is that the biomass estimate may not be representative of the distributions of laser canopy heights, especially those with few trees.</w:t>
      </w:r>
    </w:p>
    <w:p w:rsidR="00CE72DC" w:rsidRDefault="00CE72DC" w:rsidP="00CE72DC">
      <w:pPr>
        <w:pStyle w:val="m-3204913092636764702gmail-msonormal"/>
        <w:numPr>
          <w:ilvl w:val="0"/>
          <w:numId w:val="1"/>
        </w:numPr>
        <w:shd w:val="clear" w:color="auto" w:fill="FFFFFF"/>
        <w:spacing w:after="0" w:afterAutospacing="0"/>
        <w:rPr>
          <w:color w:val="222222"/>
        </w:rPr>
      </w:pPr>
      <w:r>
        <w:rPr>
          <w:color w:val="222222"/>
        </w:rPr>
        <w:t>Coefficient of determination:</w:t>
      </w:r>
    </w:p>
    <w:bookmarkStart w:id="7" w:name="bBIB19"/>
    <w:p w:rsidR="00CE72DC" w:rsidRPr="00CE72DC" w:rsidRDefault="00CE72DC" w:rsidP="00CE72DC">
      <w:pPr>
        <w:pStyle w:val="m-3204913092636764702gmail-msonormal"/>
        <w:numPr>
          <w:ilvl w:val="1"/>
          <w:numId w:val="1"/>
        </w:numPr>
        <w:shd w:val="clear" w:color="auto" w:fill="FFFFFF"/>
        <w:spacing w:after="0" w:afterAutospacing="0"/>
        <w:rPr>
          <w:color w:val="222222"/>
        </w:rPr>
      </w:pPr>
      <w:r>
        <w:fldChar w:fldCharType="begin"/>
      </w:r>
      <w:r>
        <w:instrText xml:space="preserve"> HYPERLINK "http://www.sciencedirect.com/science/article/pii/S0034425701002905" \l "BIB19" </w:instrText>
      </w:r>
      <w:r>
        <w:fldChar w:fldCharType="separate"/>
      </w:r>
      <w:r>
        <w:rPr>
          <w:rStyle w:val="Hyperlink"/>
          <w:rFonts w:ascii="Arial" w:hAnsi="Arial" w:cs="Arial"/>
          <w:color w:val="007398"/>
          <w:sz w:val="27"/>
          <w:szCs w:val="27"/>
        </w:rPr>
        <w:t>Means et al. (2000)</w:t>
      </w:r>
      <w:r>
        <w:fldChar w:fldCharType="end"/>
      </w:r>
      <w:bookmarkEnd w:id="7"/>
      <w:r>
        <w:rPr>
          <w:rFonts w:ascii="Arial" w:hAnsi="Arial" w:cs="Arial"/>
          <w:color w:val="505050"/>
          <w:sz w:val="27"/>
          <w:szCs w:val="27"/>
        </w:rPr>
        <w:t>reported </w:t>
      </w:r>
      <w:r>
        <w:rPr>
          <w:rStyle w:val="Emphasis"/>
          <w:rFonts w:ascii="Arial" w:hAnsi="Arial" w:cs="Arial"/>
          <w:color w:val="505050"/>
          <w:sz w:val="27"/>
          <w:szCs w:val="27"/>
        </w:rPr>
        <w:t>R</w:t>
      </w:r>
      <w:r>
        <w:rPr>
          <w:rFonts w:ascii="Arial" w:hAnsi="Arial" w:cs="Arial"/>
          <w:color w:val="505050"/>
          <w:vertAlign w:val="superscript"/>
        </w:rPr>
        <w:t>2</w:t>
      </w:r>
      <w:r>
        <w:rPr>
          <w:rFonts w:ascii="Arial" w:hAnsi="Arial" w:cs="Arial"/>
          <w:color w:val="505050"/>
          <w:sz w:val="27"/>
          <w:szCs w:val="27"/>
        </w:rPr>
        <w:t> values for volume at .95–.97 for 2500 m</w:t>
      </w:r>
      <w:r>
        <w:rPr>
          <w:rFonts w:ascii="Arial" w:hAnsi="Arial" w:cs="Arial"/>
          <w:color w:val="505050"/>
          <w:vertAlign w:val="superscript"/>
        </w:rPr>
        <w:t>2</w:t>
      </w:r>
      <w:r>
        <w:rPr>
          <w:rFonts w:ascii="Arial" w:hAnsi="Arial" w:cs="Arial"/>
          <w:color w:val="505050"/>
          <w:sz w:val="27"/>
          <w:szCs w:val="27"/>
        </w:rPr>
        <w:t xml:space="preserve"> plots: </w:t>
      </w:r>
    </w:p>
    <w:p w:rsidR="00CE72DC" w:rsidRPr="00CE72DC" w:rsidRDefault="00CE72DC" w:rsidP="00CE72DC">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0.80–.93 200 m</w:t>
      </w:r>
      <w:r w:rsidRPr="00CE72DC">
        <w:rPr>
          <w:rFonts w:ascii="Arial" w:hAnsi="Arial" w:cs="Arial"/>
          <w:color w:val="505050"/>
          <w:sz w:val="27"/>
          <w:szCs w:val="27"/>
          <w:vertAlign w:val="superscript"/>
        </w:rPr>
        <w:t>2</w:t>
      </w:r>
      <w:r>
        <w:rPr>
          <w:rFonts w:ascii="Arial" w:hAnsi="Arial" w:cs="Arial"/>
          <w:color w:val="505050"/>
          <w:sz w:val="27"/>
          <w:szCs w:val="27"/>
        </w:rPr>
        <w:t xml:space="preserve"> plots</w:t>
      </w:r>
      <w:r w:rsidR="008103E0">
        <w:rPr>
          <w:rFonts w:ascii="Arial" w:hAnsi="Arial" w:cs="Arial"/>
          <w:color w:val="505050"/>
          <w:sz w:val="27"/>
          <w:szCs w:val="27"/>
        </w:rPr>
        <w:t xml:space="preserve"> </w:t>
      </w:r>
      <w:r>
        <w:rPr>
          <w:rFonts w:ascii="Arial" w:hAnsi="Arial" w:cs="Arial"/>
          <w:color w:val="505050"/>
          <w:sz w:val="27"/>
          <w:szCs w:val="27"/>
        </w:rPr>
        <w:t>(</w:t>
      </w:r>
      <w:proofErr w:type="spellStart"/>
      <w:r>
        <w:rPr>
          <w:rFonts w:ascii="Arial" w:hAnsi="Arial" w:cs="Arial"/>
          <w:color w:val="505050"/>
          <w:sz w:val="27"/>
          <w:szCs w:val="27"/>
        </w:rPr>
        <w:t>Naesset</w:t>
      </w:r>
      <w:proofErr w:type="spellEnd"/>
      <w:r>
        <w:rPr>
          <w:rFonts w:ascii="Arial" w:hAnsi="Arial" w:cs="Arial"/>
          <w:color w:val="505050"/>
          <w:sz w:val="27"/>
          <w:szCs w:val="27"/>
        </w:rPr>
        <w:t xml:space="preserve"> 2002). </w:t>
      </w:r>
    </w:p>
    <w:p w:rsidR="00CE72DC" w:rsidRPr="005333B0" w:rsidRDefault="00CE72DC" w:rsidP="00CE72DC">
      <w:pPr>
        <w:pStyle w:val="m-3204913092636764702gmail-msonormal"/>
        <w:numPr>
          <w:ilvl w:val="1"/>
          <w:numId w:val="1"/>
        </w:numPr>
        <w:shd w:val="clear" w:color="auto" w:fill="FFFFFF"/>
        <w:spacing w:after="0" w:afterAutospacing="0"/>
        <w:rPr>
          <w:color w:val="222222"/>
        </w:rPr>
      </w:pPr>
      <w:proofErr w:type="gramStart"/>
      <w:r>
        <w:rPr>
          <w:rFonts w:ascii="Arial" w:hAnsi="Arial" w:cs="Arial"/>
          <w:color w:val="505050"/>
          <w:sz w:val="27"/>
          <w:szCs w:val="27"/>
        </w:rPr>
        <w:t>estimation</w:t>
      </w:r>
      <w:proofErr w:type="gramEnd"/>
      <w:r>
        <w:rPr>
          <w:rFonts w:ascii="Arial" w:hAnsi="Arial" w:cs="Arial"/>
          <w:color w:val="505050"/>
          <w:sz w:val="27"/>
          <w:szCs w:val="27"/>
        </w:rPr>
        <w:t xml:space="preserve"> of volume in stands with an average area of 1.5 ha </w:t>
      </w:r>
      <w:bookmarkStart w:id="8" w:name="bBIB24"/>
      <w:r>
        <w:fldChar w:fldCharType="begin"/>
      </w:r>
      <w:r>
        <w:instrText xml:space="preserve"> HYPERLINK "http://www.sciencedirect.com/science/article/pii/S0034425701002905" \l "BIB24" </w:instrText>
      </w:r>
      <w:r>
        <w:fldChar w:fldCharType="separate"/>
      </w:r>
      <w:r>
        <w:rPr>
          <w:rStyle w:val="Hyperlink"/>
          <w:rFonts w:ascii="Arial" w:hAnsi="Arial" w:cs="Arial"/>
          <w:color w:val="007398"/>
          <w:sz w:val="27"/>
          <w:szCs w:val="27"/>
        </w:rPr>
        <w:t>(</w:t>
      </w:r>
      <w:proofErr w:type="spellStart"/>
      <w:r>
        <w:rPr>
          <w:rStyle w:val="Hyperlink"/>
          <w:rFonts w:ascii="Arial" w:hAnsi="Arial" w:cs="Arial"/>
          <w:color w:val="007398"/>
          <w:sz w:val="27"/>
          <w:szCs w:val="27"/>
        </w:rPr>
        <w:t>Næsset</w:t>
      </w:r>
      <w:proofErr w:type="spellEnd"/>
      <w:r>
        <w:rPr>
          <w:rStyle w:val="Hyperlink"/>
          <w:rFonts w:ascii="Arial" w:hAnsi="Arial" w:cs="Arial"/>
          <w:color w:val="007398"/>
          <w:sz w:val="27"/>
          <w:szCs w:val="27"/>
        </w:rPr>
        <w:t>, 1997b)</w:t>
      </w:r>
      <w:r>
        <w:fldChar w:fldCharType="end"/>
      </w:r>
      <w:bookmarkEnd w:id="8"/>
      <w:r>
        <w:rPr>
          <w:rFonts w:ascii="Arial" w:hAnsi="Arial" w:cs="Arial"/>
          <w:color w:val="505050"/>
          <w:sz w:val="27"/>
          <w:szCs w:val="27"/>
        </w:rPr>
        <w:t> indicated smaller proportions of explained variation (46–89%) than the current trial.</w:t>
      </w:r>
    </w:p>
    <w:p w:rsidR="00CE72DC" w:rsidRDefault="008F4302" w:rsidP="008F4302">
      <w:pPr>
        <w:pStyle w:val="m-3204913092636764702gmail-msonormal"/>
        <w:numPr>
          <w:ilvl w:val="0"/>
          <w:numId w:val="1"/>
        </w:numPr>
        <w:shd w:val="clear" w:color="auto" w:fill="FFFFFF"/>
        <w:spacing w:after="0" w:afterAutospacing="0"/>
        <w:rPr>
          <w:color w:val="222222"/>
        </w:rPr>
      </w:pPr>
      <w:r>
        <w:rPr>
          <w:color w:val="222222"/>
        </w:rPr>
        <w:t>Discussion of Regional Models</w:t>
      </w:r>
    </w:p>
    <w:p w:rsidR="008F4302" w:rsidRPr="00CC02CB" w:rsidRDefault="008F4302" w:rsidP="008F4302">
      <w:pPr>
        <w:pStyle w:val="m-3204913092636764702gmail-msonormal"/>
        <w:numPr>
          <w:ilvl w:val="1"/>
          <w:numId w:val="1"/>
        </w:numPr>
        <w:shd w:val="clear" w:color="auto" w:fill="FFFFFF"/>
        <w:spacing w:after="0" w:afterAutospacing="0"/>
        <w:rPr>
          <w:color w:val="222222"/>
        </w:rPr>
      </w:pPr>
      <w:r>
        <w:rPr>
          <w:color w:val="222222"/>
        </w:rPr>
        <w:t xml:space="preserve">See </w:t>
      </w:r>
      <w:proofErr w:type="spellStart"/>
      <w:r>
        <w:rPr>
          <w:color w:val="222222"/>
        </w:rPr>
        <w:t>Lefsky</w:t>
      </w:r>
      <w:proofErr w:type="spellEnd"/>
      <w:r>
        <w:rPr>
          <w:color w:val="222222"/>
        </w:rPr>
        <w:t xml:space="preserve"> et al 2005, </w:t>
      </w:r>
      <w:proofErr w:type="spellStart"/>
      <w:r>
        <w:rPr>
          <w:color w:val="222222"/>
        </w:rPr>
        <w:t>Lefsky</w:t>
      </w:r>
      <w:proofErr w:type="spellEnd"/>
      <w:r>
        <w:rPr>
          <w:color w:val="222222"/>
        </w:rPr>
        <w:t xml:space="preserve"> et al 2002</w:t>
      </w:r>
    </w:p>
    <w:p w:rsidR="00B617E4" w:rsidRDefault="008F4302">
      <w:r>
        <w:t xml:space="preserve">Previous work tested the generality of </w:t>
      </w:r>
      <w:proofErr w:type="spellStart"/>
      <w:r>
        <w:t>lidar</w:t>
      </w:r>
      <w:proofErr w:type="spellEnd"/>
      <w:r>
        <w:t xml:space="preserve"> relationships over multiple sites (PNW </w:t>
      </w:r>
      <w:proofErr w:type="spellStart"/>
      <w:r>
        <w:t>Lefsky</w:t>
      </w:r>
      <w:proofErr w:type="spellEnd"/>
      <w:r>
        <w:t xml:space="preserve"> et al., 2005</w:t>
      </w:r>
      <w:r w:rsidR="00D4160E">
        <w:t xml:space="preserve"> A</w:t>
      </w:r>
      <w:r>
        <w:t xml:space="preserve">), and multiple forest cover types (high biomass forests </w:t>
      </w:r>
      <w:proofErr w:type="spellStart"/>
      <w:r>
        <w:t>Lefsky</w:t>
      </w:r>
      <w:proofErr w:type="spellEnd"/>
      <w:r>
        <w:t xml:space="preserve"> et al., 2002). </w:t>
      </w:r>
      <w:proofErr w:type="spellStart"/>
      <w:r>
        <w:t>Lefsky</w:t>
      </w:r>
      <w:proofErr w:type="spellEnd"/>
      <w:r>
        <w:t xml:space="preserve"> et al. (2002) were successful at developing a unified equation for predicting aboveground biomass in multiple biomes (Temperate Deciduous Broadleaf, Temperate Coniferous </w:t>
      </w:r>
      <w:proofErr w:type="spellStart"/>
      <w:r>
        <w:t>Needleleaf</w:t>
      </w:r>
      <w:proofErr w:type="spellEnd"/>
      <w:r>
        <w:t xml:space="preserve">, Boreal Coniferous </w:t>
      </w:r>
      <w:proofErr w:type="spellStart"/>
      <w:r>
        <w:t>Needleleaf</w:t>
      </w:r>
      <w:proofErr w:type="spellEnd"/>
      <w:r>
        <w:t xml:space="preserve">), there was no replication in each biome. </w:t>
      </w:r>
      <w:proofErr w:type="spellStart"/>
      <w:r>
        <w:t>Lefsky</w:t>
      </w:r>
      <w:proofErr w:type="spellEnd"/>
      <w:r>
        <w:t xml:space="preserve"> et al 2005 </w:t>
      </w:r>
      <w:r w:rsidR="00D4160E">
        <w:t xml:space="preserve">A </w:t>
      </w:r>
      <w:r>
        <w:t xml:space="preserve">we were able to look at 5 sites within the Temperate Coniferous </w:t>
      </w:r>
      <w:proofErr w:type="spellStart"/>
      <w:r>
        <w:t>Needleleaf</w:t>
      </w:r>
      <w:proofErr w:type="spellEnd"/>
      <w:r>
        <w:t xml:space="preserve"> biome, using sites with varying environment and composition. They created equations that predicted stand structure variables (e.g. aboveground biomass and LAI) across an environmental and compositional gradient</w:t>
      </w:r>
      <w:r w:rsidR="00B617E4">
        <w:t>.</w:t>
      </w:r>
    </w:p>
    <w:p w:rsidR="00B617E4" w:rsidRDefault="00B617E4"/>
    <w:p w:rsidR="00B617E4" w:rsidRDefault="00B617E4">
      <w:r>
        <w:t xml:space="preserve">Aboveground biomass were consistently predictable along a productivity and species composition gradient from the true fir forests of Mt. Rainier to Ponderosa pine forests at </w:t>
      </w:r>
      <w:proofErr w:type="spellStart"/>
      <w:r>
        <w:t>Metolius</w:t>
      </w:r>
      <w:proofErr w:type="spellEnd"/>
      <w:r>
        <w:t>, and at the high productivity forests of Cascade Head, the coast range, and H.J. Andrews (</w:t>
      </w:r>
      <w:proofErr w:type="spellStart"/>
      <w:r>
        <w:t>Lefsky</w:t>
      </w:r>
      <w:proofErr w:type="spellEnd"/>
      <w:r>
        <w:t xml:space="preserve"> et al 2005</w:t>
      </w:r>
      <w:r w:rsidR="00D4160E">
        <w:t xml:space="preserve"> A</w:t>
      </w:r>
      <w:r>
        <w:t>). (</w:t>
      </w:r>
      <w:proofErr w:type="spellStart"/>
      <w:r>
        <w:t>Lefsky</w:t>
      </w:r>
      <w:proofErr w:type="spellEnd"/>
      <w:r>
        <w:t xml:space="preserve"> et al 2005 </w:t>
      </w:r>
      <w:r w:rsidR="00D4160E">
        <w:t xml:space="preserve">A </w:t>
      </w:r>
      <w:r>
        <w:t xml:space="preserve">and 2002) offer a regional confirmation of the continental-scale hypothesis offered in </w:t>
      </w:r>
      <w:proofErr w:type="spellStart"/>
      <w:r>
        <w:t>Lefsky</w:t>
      </w:r>
      <w:proofErr w:type="spellEnd"/>
      <w:r>
        <w:t xml:space="preserve"> et al. (2002), in which the geographic generality of an equation predicting aboveground biomass was demonstrated. </w:t>
      </w:r>
      <w:proofErr w:type="spellStart"/>
      <w:r>
        <w:t>Lefsky</w:t>
      </w:r>
      <w:proofErr w:type="spellEnd"/>
      <w:r>
        <w:t xml:space="preserve"> et al 2005 </w:t>
      </w:r>
      <w:r w:rsidR="00D4160E">
        <w:t xml:space="preserve">A </w:t>
      </w:r>
      <w:r>
        <w:t xml:space="preserve">found broad consistency in </w:t>
      </w:r>
      <w:proofErr w:type="spellStart"/>
      <w:r>
        <w:t>lidar</w:t>
      </w:r>
      <w:proofErr w:type="spellEnd"/>
      <w:r>
        <w:t>-stand structure relationship over this region, and a relative lack of importance of environmental conditions (</w:t>
      </w:r>
      <w:proofErr w:type="spellStart"/>
      <w:r>
        <w:t>Lefsky</w:t>
      </w:r>
      <w:proofErr w:type="spellEnd"/>
      <w:r>
        <w:t xml:space="preserve"> et al 2005</w:t>
      </w:r>
      <w:r w:rsidR="00D4160E">
        <w:t xml:space="preserve"> A</w:t>
      </w:r>
      <w:r>
        <w:t xml:space="preserve">). While the range of environmental conditions and composition examined in this paper is narrower than in </w:t>
      </w:r>
      <w:proofErr w:type="spellStart"/>
      <w:r>
        <w:t>Lefsky</w:t>
      </w:r>
      <w:proofErr w:type="spellEnd"/>
      <w:r>
        <w:t xml:space="preserve"> et al. (2002), the number of site locations examined is larger, and thus confirms the result for the Pacific Northwest region of the USA (</w:t>
      </w:r>
      <w:proofErr w:type="spellStart"/>
      <w:r>
        <w:t>Lefsky</w:t>
      </w:r>
      <w:proofErr w:type="spellEnd"/>
      <w:r>
        <w:t xml:space="preserve"> et al 2005</w:t>
      </w:r>
      <w:r w:rsidR="00D4160E">
        <w:t xml:space="preserve"> A</w:t>
      </w:r>
      <w:r>
        <w:t xml:space="preserve">). </w:t>
      </w:r>
    </w:p>
    <w:p w:rsidR="008103E0" w:rsidRDefault="008F4302">
      <w:r>
        <w:t xml:space="preserve">Given this wide range of conditions, and the earlier results of </w:t>
      </w:r>
      <w:proofErr w:type="spellStart"/>
      <w:r>
        <w:t>Lefsky</w:t>
      </w:r>
      <w:proofErr w:type="spellEnd"/>
      <w:r>
        <w:t xml:space="preserve"> et al. (2002 and 2005</w:t>
      </w:r>
      <w:r w:rsidR="00D4160E">
        <w:t xml:space="preserve"> A</w:t>
      </w:r>
      <w:r>
        <w:t xml:space="preserve">), it is reasonable to ask if, in forests dominated by coniferous species, tree architecture is constrained to the point where a unified relationship between </w:t>
      </w:r>
      <w:proofErr w:type="spellStart"/>
      <w:r>
        <w:t>lidar</w:t>
      </w:r>
      <w:proofErr w:type="spellEnd"/>
      <w:r>
        <w:t xml:space="preserve"> measurements and stand structure might exist for these forests generally. In existing studies of this type (</w:t>
      </w:r>
      <w:proofErr w:type="spellStart"/>
      <w:r>
        <w:t>Lefsky</w:t>
      </w:r>
      <w:proofErr w:type="spellEnd"/>
      <w:r>
        <w:t xml:space="preserve"> et al. 2002 and 2005</w:t>
      </w:r>
      <w:r w:rsidR="00D4160E">
        <w:t xml:space="preserve"> A</w:t>
      </w:r>
      <w:r>
        <w:t xml:space="preserve">) there has been an attempt to have a structural or temporal sequence of stands at one or more study locations. </w:t>
      </w:r>
    </w:p>
    <w:p w:rsidR="002615BF" w:rsidRDefault="002615BF">
      <w:r>
        <w:t>Diagram:</w:t>
      </w:r>
    </w:p>
    <w:p w:rsidR="00D4160E" w:rsidRDefault="002615BF">
      <w:r>
        <w:rPr>
          <w:noProof/>
        </w:rPr>
        <w:drawing>
          <wp:inline distT="0" distB="0" distL="0" distR="0" wp14:anchorId="43214A39" wp14:editId="041C8A7E">
            <wp:extent cx="459105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4524375"/>
                    </a:xfrm>
                    <a:prstGeom prst="rect">
                      <a:avLst/>
                    </a:prstGeom>
                  </pic:spPr>
                </pic:pic>
              </a:graphicData>
            </a:graphic>
          </wp:inline>
        </w:drawing>
      </w:r>
      <w:proofErr w:type="spellStart"/>
      <w:r>
        <w:t>Lefsky</w:t>
      </w:r>
      <w:proofErr w:type="spellEnd"/>
      <w:r>
        <w:t xml:space="preserve"> et al 2005 B </w:t>
      </w:r>
      <w:r w:rsidR="00D4160E">
        <w:br w:type="page"/>
      </w:r>
    </w:p>
    <w:p w:rsidR="008415E7" w:rsidRPr="008415E7" w:rsidRDefault="008415E7" w:rsidP="008415E7">
      <w:pPr>
        <w:rPr>
          <w:u w:val="single"/>
        </w:rPr>
      </w:pPr>
      <w:r w:rsidRPr="008415E7">
        <w:rPr>
          <w:u w:val="single"/>
        </w:rPr>
        <w:t>Lidar biomass estimation reviews:</w:t>
      </w:r>
    </w:p>
    <w:p w:rsidR="008415E7" w:rsidRDefault="008415E7" w:rsidP="008415E7">
      <w:proofErr w:type="spellStart"/>
      <w:r>
        <w:t>Zolkos</w:t>
      </w:r>
      <w:proofErr w:type="spellEnd"/>
      <w:r>
        <w:t xml:space="preserve"> et al 2013</w:t>
      </w:r>
    </w:p>
    <w:p w:rsidR="008415E7" w:rsidRDefault="008415E7" w:rsidP="008415E7">
      <w:r>
        <w:t xml:space="preserve">S.J. Goetz, R.O. </w:t>
      </w:r>
      <w:proofErr w:type="spellStart"/>
      <w:r>
        <w:t>Dubayah</w:t>
      </w:r>
      <w:proofErr w:type="spellEnd"/>
      <w:r>
        <w:t>. Advances in remote sensing technology and implications for measuring and monitoring forest carbon stocks and change Carbon Management, 2 (3) (2011), pp. 231-244.</w:t>
      </w:r>
    </w:p>
    <w:p w:rsidR="00D26F42" w:rsidRDefault="00D26F42" w:rsidP="008415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Petrokofsky</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Kanamaru</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Achard</w:t>
      </w:r>
      <w:proofErr w:type="spellEnd"/>
      <w:r>
        <w:rPr>
          <w:rFonts w:ascii="Arial" w:hAnsi="Arial" w:cs="Arial"/>
          <w:color w:val="222222"/>
          <w:sz w:val="20"/>
          <w:szCs w:val="20"/>
          <w:shd w:val="clear" w:color="auto" w:fill="FFFFFF"/>
        </w:rPr>
        <w:t xml:space="preserve">, F., Goetz, S. J., </w:t>
      </w:r>
      <w:proofErr w:type="spellStart"/>
      <w:r>
        <w:rPr>
          <w:rFonts w:ascii="Arial" w:hAnsi="Arial" w:cs="Arial"/>
          <w:color w:val="222222"/>
          <w:sz w:val="20"/>
          <w:szCs w:val="20"/>
          <w:shd w:val="clear" w:color="auto" w:fill="FFFFFF"/>
        </w:rPr>
        <w:t>Joosten</w:t>
      </w:r>
      <w:proofErr w:type="spellEnd"/>
      <w:r>
        <w:rPr>
          <w:rFonts w:ascii="Arial" w:hAnsi="Arial" w:cs="Arial"/>
          <w:color w:val="222222"/>
          <w:sz w:val="20"/>
          <w:szCs w:val="20"/>
          <w:shd w:val="clear" w:color="auto" w:fill="FFFFFF"/>
        </w:rPr>
        <w:t>, H., Holmgren, P</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w:t>
      </w:r>
      <w:proofErr w:type="spellStart"/>
      <w:r>
        <w:rPr>
          <w:rFonts w:ascii="Arial" w:hAnsi="Arial" w:cs="Arial"/>
          <w:color w:val="222222"/>
          <w:sz w:val="20"/>
          <w:szCs w:val="20"/>
          <w:shd w:val="clear" w:color="auto" w:fill="FFFFFF"/>
        </w:rPr>
        <w:t>Wattenbach</w:t>
      </w:r>
      <w:proofErr w:type="spellEnd"/>
      <w:r>
        <w:rPr>
          <w:rFonts w:ascii="Arial" w:hAnsi="Arial" w:cs="Arial"/>
          <w:color w:val="222222"/>
          <w:sz w:val="20"/>
          <w:szCs w:val="20"/>
          <w:shd w:val="clear" w:color="auto" w:fill="FFFFFF"/>
        </w:rPr>
        <w:t>, M. (2012). Comparison of methods for measuring and assessing carbon stocks and carbon stock changes in terrestrial carbon pools. How do the accuracy and precision of current methods compare? A systematic review protocol. </w:t>
      </w:r>
      <w:r>
        <w:rPr>
          <w:rFonts w:ascii="Arial" w:hAnsi="Arial" w:cs="Arial"/>
          <w:i/>
          <w:iCs/>
          <w:color w:val="222222"/>
          <w:sz w:val="20"/>
          <w:szCs w:val="20"/>
          <w:shd w:val="clear" w:color="auto" w:fill="FFFFFF"/>
        </w:rPr>
        <w:t>Environmental Evidence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6.</w:t>
      </w:r>
    </w:p>
    <w:p w:rsidR="008415E7" w:rsidRDefault="008415E7" w:rsidP="008415E7">
      <w:r>
        <w:t>Rosette, J. Suárez, R. Nelson, S. Los, B. Cook, P. North Lidar remote sensing for biomass assessment Remote Sensing of Biomass — Principles and Applications (2012), p. 24</w:t>
      </w:r>
    </w:p>
    <w:p w:rsidR="008415E7" w:rsidRDefault="008415E7" w:rsidP="008415E7">
      <w:r>
        <w:t xml:space="preserve">M.A. </w:t>
      </w:r>
      <w:proofErr w:type="spellStart"/>
      <w:r>
        <w:t>Wulder</w:t>
      </w:r>
      <w:proofErr w:type="spellEnd"/>
      <w:r>
        <w:t xml:space="preserve">, J.C. White, R.F. Nelson, E. </w:t>
      </w:r>
      <w:proofErr w:type="spellStart"/>
      <w:r>
        <w:t>Næsset</w:t>
      </w:r>
      <w:proofErr w:type="spellEnd"/>
      <w:r>
        <w:t xml:space="preserve">, H.O. </w:t>
      </w:r>
      <w:proofErr w:type="spellStart"/>
      <w:r>
        <w:t>Ørka</w:t>
      </w:r>
      <w:proofErr w:type="spellEnd"/>
      <w:r>
        <w:t>, N.C. Coops, et al. Lidar sampling for large-area forest characterization: A review Remote Sensing of Environment, 121 (2012), pp. 196-209</w:t>
      </w:r>
    </w:p>
    <w:p w:rsidR="008415E7" w:rsidRPr="008415E7" w:rsidRDefault="008415E7" w:rsidP="008415E7">
      <w:pPr>
        <w:rPr>
          <w:u w:val="single"/>
        </w:rPr>
      </w:pPr>
      <w:proofErr w:type="gramStart"/>
      <w:r w:rsidRPr="008415E7">
        <w:rPr>
          <w:u w:val="single"/>
        </w:rPr>
        <w:t>forest</w:t>
      </w:r>
      <w:proofErr w:type="gramEnd"/>
      <w:r w:rsidRPr="008415E7">
        <w:rPr>
          <w:u w:val="single"/>
        </w:rPr>
        <w:t xml:space="preserve"> and </w:t>
      </w:r>
      <w:proofErr w:type="spellStart"/>
      <w:r w:rsidRPr="008415E7">
        <w:rPr>
          <w:u w:val="single"/>
        </w:rPr>
        <w:t>lidar</w:t>
      </w:r>
      <w:proofErr w:type="spellEnd"/>
      <w:r w:rsidRPr="008415E7">
        <w:rPr>
          <w:u w:val="single"/>
        </w:rPr>
        <w:t xml:space="preserve"> over view:</w:t>
      </w:r>
    </w:p>
    <w:p w:rsidR="008415E7" w:rsidRDefault="008415E7" w:rsidP="008415E7">
      <w:r>
        <w:t xml:space="preserve">R. </w:t>
      </w:r>
      <w:proofErr w:type="spellStart"/>
      <w:r>
        <w:t>Dubayah</w:t>
      </w:r>
      <w:proofErr w:type="spellEnd"/>
      <w:r>
        <w:t xml:space="preserve">, J.B. Drake </w:t>
      </w:r>
      <w:proofErr w:type="spellStart"/>
      <w:r>
        <w:t>Lidar</w:t>
      </w:r>
      <w:proofErr w:type="spellEnd"/>
      <w:r>
        <w:t xml:space="preserve"> remote sensing for forestry Journal of Forestry, 98 (2000), pp. 44-46 </w:t>
      </w:r>
    </w:p>
    <w:p w:rsidR="008415E7" w:rsidRPr="008415E7" w:rsidRDefault="008415E7" w:rsidP="008415E7">
      <w:pPr>
        <w:rPr>
          <w:u w:val="single"/>
        </w:rPr>
      </w:pPr>
      <w:r w:rsidRPr="008415E7">
        <w:rPr>
          <w:u w:val="single"/>
        </w:rPr>
        <w:t>Other</w:t>
      </w:r>
      <w:r>
        <w:rPr>
          <w:u w:val="single"/>
        </w:rPr>
        <w:t>:</w:t>
      </w:r>
    </w:p>
    <w:p w:rsidR="008F4302" w:rsidRDefault="00D4160E" w:rsidP="008415E7">
      <w:r>
        <w:t xml:space="preserve">Blair, J. B., Coyle, D. B., </w:t>
      </w:r>
      <w:proofErr w:type="spellStart"/>
      <w:r>
        <w:t>Bufton</w:t>
      </w:r>
      <w:proofErr w:type="spellEnd"/>
      <w:r>
        <w:t>, J. L., &amp; Harding, D. J. (1994). Optimization of an airborne laser altimeter for remote sensing of vegetation and tree canopies. Proceedings of the International Geosciences Remote Sensing Symposium (pp. 939-941). Pasadena, CA: California Institute of Technology.</w:t>
      </w:r>
    </w:p>
    <w:p w:rsidR="00B603FB" w:rsidRDefault="00B603FB" w:rsidP="00B603FB">
      <w:pPr>
        <w:spacing w:after="240" w:line="240" w:lineRule="auto"/>
      </w:pPr>
      <w:r w:rsidRPr="00B603FB">
        <w:t xml:space="preserve">Brown, P.M., D’Amico, D.R., Carpenter, A.T., Andrews, D., 2001. </w:t>
      </w:r>
      <w:r>
        <w:t>Restoration of montane ponderosa pine forests in the Colorado Front Range. Ecol. Restoration 19, 19–26.</w:t>
      </w:r>
    </w:p>
    <w:p w:rsidR="0044664C" w:rsidRDefault="0044664C" w:rsidP="0044664C">
      <w:pPr>
        <w:spacing w:after="240" w:line="240" w:lineRule="auto"/>
      </w:pPr>
      <w:r>
        <w:t>Flannigan, M.D., Van Wagner, C.E., 1991. Climate change and wildfire in Canada. Can. J. Forest Res. 21, 66–72.</w:t>
      </w:r>
    </w:p>
    <w:p w:rsidR="0044664C" w:rsidRDefault="0044664C" w:rsidP="0044664C">
      <w:pPr>
        <w:spacing w:after="240" w:line="240" w:lineRule="auto"/>
      </w:pPr>
      <w:proofErr w:type="spellStart"/>
      <w:r>
        <w:t>Fule</w:t>
      </w:r>
      <w:proofErr w:type="spellEnd"/>
      <w:r>
        <w:t>´, P.Z., Waltz, A.E.M., Covington, W.W., Heinlein, T.A., 2001. Measuring forest restoration effectiveness in reducing hazardous fuels. J. Forestry 99, 24–29.</w:t>
      </w:r>
    </w:p>
    <w:p w:rsidR="00D4160E" w:rsidRDefault="00D4160E" w:rsidP="0044664C">
      <w:pPr>
        <w:spacing w:after="240" w:line="240" w:lineRule="auto"/>
      </w:pPr>
      <w:r>
        <w:t xml:space="preserve">Harding, D. J., Blair, J. </w:t>
      </w:r>
      <w:proofErr w:type="gramStart"/>
      <w:r>
        <w:t>B..</w:t>
      </w:r>
      <w:proofErr w:type="gramEnd"/>
      <w:r>
        <w:t xml:space="preserve"> Garvin, J. B., &amp; Lawrence, W. T. (1994). Laser altimetry waveform measurement of vegetation canopy structure. Proceedings of the International Remote Sensing Symposium (pp. 1251 -1253). Pasadena, CA: California Institute of Technology. </w:t>
      </w:r>
    </w:p>
    <w:p w:rsidR="00D4160E" w:rsidRDefault="00D4160E" w:rsidP="008103E0">
      <w:pPr>
        <w:spacing w:after="240" w:line="240" w:lineRule="auto"/>
        <w:rPr>
          <w:rFonts w:ascii="Arial" w:eastAsia="Times New Roman" w:hAnsi="Arial" w:cs="Arial"/>
          <w:color w:val="505050"/>
          <w:sz w:val="20"/>
          <w:szCs w:val="20"/>
        </w:rPr>
      </w:pPr>
      <w:r>
        <w:t xml:space="preserve">Harding, D. </w:t>
      </w:r>
      <w:proofErr w:type="gramStart"/>
      <w:r>
        <w:t>J..</w:t>
      </w:r>
      <w:proofErr w:type="gramEnd"/>
      <w:r>
        <w:t xml:space="preserve"> </w:t>
      </w:r>
      <w:proofErr w:type="spellStart"/>
      <w:r>
        <w:t>Lefsky</w:t>
      </w:r>
      <w:proofErr w:type="spellEnd"/>
      <w:r>
        <w:t xml:space="preserve">, M. A., &amp; Parker, G. G. (2001). Lidar altimeter measurements of canopy structure: Methods and validation for </w:t>
      </w:r>
      <w:proofErr w:type="spellStart"/>
      <w:r>
        <w:t>closedcanopy</w:t>
      </w:r>
      <w:proofErr w:type="spellEnd"/>
      <w:r>
        <w:t xml:space="preserve"> </w:t>
      </w:r>
      <w:proofErr w:type="spellStart"/>
      <w:r>
        <w:t>br</w:t>
      </w:r>
      <w:proofErr w:type="spellEnd"/>
      <w:r w:rsidRPr="008103E0">
        <w:rPr>
          <w:rFonts w:ascii="Arial" w:eastAsia="Times New Roman" w:hAnsi="Arial" w:cs="Arial"/>
          <w:color w:val="505050"/>
          <w:sz w:val="20"/>
          <w:szCs w:val="20"/>
        </w:rPr>
        <w:t xml:space="preserve"> </w:t>
      </w:r>
    </w:p>
    <w:p w:rsidR="0044664C" w:rsidRPr="0044664C" w:rsidRDefault="0044664C" w:rsidP="0044664C">
      <w:pPr>
        <w:spacing w:after="24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Houghton, R.A., Hackler, J.L., Lawrence, K.T., 2000. Changes in</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terrestrial carbon storage in the Uni</w:t>
      </w:r>
      <w:r>
        <w:rPr>
          <w:rFonts w:ascii="Arial" w:eastAsia="Times New Roman" w:hAnsi="Arial" w:cs="Arial"/>
          <w:color w:val="505050"/>
          <w:sz w:val="20"/>
          <w:szCs w:val="20"/>
        </w:rPr>
        <w:t xml:space="preserve">ted States. 2. The role of fire </w:t>
      </w:r>
      <w:r w:rsidRPr="0044664C">
        <w:rPr>
          <w:rFonts w:ascii="Arial" w:eastAsia="Times New Roman" w:hAnsi="Arial" w:cs="Arial"/>
          <w:color w:val="505050"/>
          <w:sz w:val="20"/>
          <w:szCs w:val="20"/>
        </w:rPr>
        <w:t xml:space="preserve">and fire management. Global Ecol. </w:t>
      </w:r>
      <w:proofErr w:type="spellStart"/>
      <w:r w:rsidRPr="0044664C">
        <w:rPr>
          <w:rFonts w:ascii="Arial" w:eastAsia="Times New Roman" w:hAnsi="Arial" w:cs="Arial"/>
          <w:color w:val="505050"/>
          <w:sz w:val="20"/>
          <w:szCs w:val="20"/>
        </w:rPr>
        <w:t>Biogeogr</w:t>
      </w:r>
      <w:proofErr w:type="spellEnd"/>
      <w:r w:rsidRPr="0044664C">
        <w:rPr>
          <w:rFonts w:ascii="Arial" w:eastAsia="Times New Roman" w:hAnsi="Arial" w:cs="Arial"/>
          <w:color w:val="505050"/>
          <w:sz w:val="20"/>
          <w:szCs w:val="20"/>
        </w:rPr>
        <w:t>. 9, 145–170</w:t>
      </w:r>
    </w:p>
    <w:p w:rsidR="008103E0" w:rsidRPr="0044664C" w:rsidRDefault="0044664C" w:rsidP="0044664C">
      <w:pPr>
        <w:spacing w:after="24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Kaufmann, M.R., Regan, C.M., Brown, P.M., 2000. Heterogeneity</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in ponderosa pine/Douglas fir forests: age and size structure in</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unlogged and logged landscap</w:t>
      </w:r>
      <w:r>
        <w:rPr>
          <w:rFonts w:ascii="Arial" w:eastAsia="Times New Roman" w:hAnsi="Arial" w:cs="Arial"/>
          <w:color w:val="505050"/>
          <w:sz w:val="20"/>
          <w:szCs w:val="20"/>
        </w:rPr>
        <w:t xml:space="preserve">es of central Colorado. Can. J. </w:t>
      </w:r>
      <w:r w:rsidRPr="0044664C">
        <w:rPr>
          <w:rFonts w:ascii="Arial" w:eastAsia="Times New Roman" w:hAnsi="Arial" w:cs="Arial"/>
          <w:color w:val="505050"/>
          <w:sz w:val="20"/>
          <w:szCs w:val="20"/>
        </w:rPr>
        <w:t>Forest Res. 30, 698–711.</w:t>
      </w:r>
      <w:r w:rsidRPr="0044664C">
        <w:rPr>
          <w:rFonts w:ascii="Arial" w:eastAsia="Times New Roman" w:hAnsi="Arial" w:cs="Arial"/>
          <w:color w:val="505050"/>
          <w:sz w:val="20"/>
          <w:szCs w:val="20"/>
        </w:rPr>
        <w:cr/>
      </w:r>
      <w:r w:rsidR="008103E0" w:rsidRPr="008103E0">
        <w:rPr>
          <w:rFonts w:ascii="Arial" w:eastAsia="Times New Roman" w:hAnsi="Arial" w:cs="Arial"/>
          <w:color w:val="505050"/>
          <w:sz w:val="20"/>
          <w:szCs w:val="20"/>
        </w:rPr>
        <w:t>M.A. Lefsky, D. Harding, W.B. Cohen, G. Parker, H.H. </w:t>
      </w:r>
      <w:proofErr w:type="spellStart"/>
      <w:r w:rsidR="008103E0" w:rsidRPr="008103E0">
        <w:rPr>
          <w:rFonts w:ascii="Arial" w:eastAsia="Times New Roman" w:hAnsi="Arial" w:cs="Arial"/>
          <w:color w:val="505050"/>
          <w:sz w:val="20"/>
          <w:szCs w:val="20"/>
        </w:rPr>
        <w:t>Shugart</w:t>
      </w:r>
      <w:r w:rsidR="008103E0" w:rsidRPr="008103E0">
        <w:rPr>
          <w:rFonts w:ascii="Arial" w:eastAsia="Times New Roman" w:hAnsi="Arial" w:cs="Arial"/>
          <w:b/>
          <w:bCs/>
          <w:color w:val="505050"/>
          <w:sz w:val="20"/>
          <w:szCs w:val="20"/>
        </w:rPr>
        <w:t>Surface</w:t>
      </w:r>
      <w:proofErr w:type="spellEnd"/>
      <w:r w:rsidR="008103E0" w:rsidRPr="008103E0">
        <w:rPr>
          <w:rFonts w:ascii="Arial" w:eastAsia="Times New Roman" w:hAnsi="Arial" w:cs="Arial"/>
          <w:b/>
          <w:bCs/>
          <w:color w:val="505050"/>
          <w:sz w:val="20"/>
          <w:szCs w:val="20"/>
        </w:rPr>
        <w:t xml:space="preserve"> </w:t>
      </w:r>
      <w:proofErr w:type="spellStart"/>
      <w:r w:rsidR="008103E0" w:rsidRPr="008103E0">
        <w:rPr>
          <w:rFonts w:ascii="Arial" w:eastAsia="Times New Roman" w:hAnsi="Arial" w:cs="Arial"/>
          <w:b/>
          <w:bCs/>
          <w:color w:val="505050"/>
          <w:sz w:val="20"/>
          <w:szCs w:val="20"/>
        </w:rPr>
        <w:t>lidar</w:t>
      </w:r>
      <w:proofErr w:type="spellEnd"/>
      <w:r w:rsidR="008103E0" w:rsidRPr="008103E0">
        <w:rPr>
          <w:rFonts w:ascii="Arial" w:eastAsia="Times New Roman" w:hAnsi="Arial" w:cs="Arial"/>
          <w:b/>
          <w:bCs/>
          <w:color w:val="505050"/>
          <w:sz w:val="20"/>
          <w:szCs w:val="20"/>
        </w:rPr>
        <w:t xml:space="preserve"> remote sensing of basal area and biomass in deciduous forests of eastern Maryland, USA</w:t>
      </w:r>
      <w:r w:rsidR="008103E0">
        <w:rPr>
          <w:rFonts w:ascii="Arial" w:eastAsia="Times New Roman" w:hAnsi="Arial" w:cs="Arial"/>
          <w:b/>
          <w:bCs/>
          <w:color w:val="505050"/>
          <w:sz w:val="20"/>
          <w:szCs w:val="20"/>
        </w:rPr>
        <w:t xml:space="preserve">. </w:t>
      </w:r>
      <w:r w:rsidR="008103E0" w:rsidRPr="008103E0">
        <w:rPr>
          <w:rFonts w:ascii="Arial" w:eastAsia="Times New Roman" w:hAnsi="Arial" w:cs="Arial"/>
          <w:color w:val="737373"/>
          <w:sz w:val="20"/>
          <w:szCs w:val="20"/>
        </w:rPr>
        <w:t>Remote Sensing of Environment, 67 (1999</w:t>
      </w:r>
      <w:r w:rsidR="00F9684A">
        <w:rPr>
          <w:rFonts w:ascii="Arial" w:eastAsia="Times New Roman" w:hAnsi="Arial" w:cs="Arial"/>
          <w:color w:val="737373"/>
          <w:sz w:val="20"/>
          <w:szCs w:val="20"/>
        </w:rPr>
        <w:t xml:space="preserve"> A</w:t>
      </w:r>
      <w:r w:rsidR="008103E0" w:rsidRPr="008103E0">
        <w:rPr>
          <w:rFonts w:ascii="Arial" w:eastAsia="Times New Roman" w:hAnsi="Arial" w:cs="Arial"/>
          <w:color w:val="737373"/>
          <w:sz w:val="20"/>
          <w:szCs w:val="20"/>
        </w:rPr>
        <w:t>), pp. 83-98</w:t>
      </w:r>
    </w:p>
    <w:p w:rsidR="00F9684A" w:rsidRPr="008103E0" w:rsidRDefault="00F9684A" w:rsidP="00F9684A">
      <w:pPr>
        <w:spacing w:after="240" w:line="240" w:lineRule="auto"/>
        <w:rPr>
          <w:rFonts w:ascii="Arial" w:eastAsia="Times New Roman" w:hAnsi="Arial" w:cs="Arial"/>
          <w:color w:val="505050"/>
          <w:sz w:val="20"/>
          <w:szCs w:val="20"/>
        </w:rPr>
      </w:pPr>
      <w:r w:rsidRPr="008103E0">
        <w:rPr>
          <w:rFonts w:ascii="Arial" w:eastAsia="Times New Roman" w:hAnsi="Arial" w:cs="Arial"/>
          <w:color w:val="505050"/>
          <w:sz w:val="20"/>
          <w:szCs w:val="20"/>
        </w:rPr>
        <w:t>M.A. Lefsky, W.B. Cohen, S.A. Acker, G.G. Parker, T.A. Spies, D. Harding</w:t>
      </w:r>
      <w:r w:rsidRPr="008103E0">
        <w:rPr>
          <w:rFonts w:ascii="Arial" w:eastAsia="Times New Roman" w:hAnsi="Arial" w:cs="Arial"/>
          <w:b/>
          <w:bCs/>
          <w:color w:val="505050"/>
          <w:sz w:val="20"/>
          <w:szCs w:val="20"/>
        </w:rPr>
        <w:t>Lidar remote sensing of the canopy structure and biophysical properties of Douglas-fir western hemlock forests</w:t>
      </w:r>
      <w:r>
        <w:rPr>
          <w:rFonts w:ascii="Arial" w:eastAsia="Times New Roman" w:hAnsi="Arial" w:cs="Arial"/>
          <w:color w:val="505050"/>
          <w:sz w:val="20"/>
          <w:szCs w:val="20"/>
        </w:rPr>
        <w:t xml:space="preserve">. </w:t>
      </w:r>
      <w:r w:rsidRPr="008103E0">
        <w:rPr>
          <w:rFonts w:ascii="Arial" w:eastAsia="Times New Roman" w:hAnsi="Arial" w:cs="Arial"/>
          <w:color w:val="737373"/>
          <w:sz w:val="20"/>
          <w:szCs w:val="20"/>
        </w:rPr>
        <w:t>Remote Sensing of Environment, 70 (1999</w:t>
      </w:r>
      <w:r>
        <w:rPr>
          <w:rFonts w:ascii="Arial" w:eastAsia="Times New Roman" w:hAnsi="Arial" w:cs="Arial"/>
          <w:color w:val="737373"/>
          <w:sz w:val="20"/>
          <w:szCs w:val="20"/>
        </w:rPr>
        <w:t xml:space="preserve"> B</w:t>
      </w:r>
      <w:r w:rsidRPr="008103E0">
        <w:rPr>
          <w:rFonts w:ascii="Arial" w:eastAsia="Times New Roman" w:hAnsi="Arial" w:cs="Arial"/>
          <w:color w:val="737373"/>
          <w:sz w:val="20"/>
          <w:szCs w:val="20"/>
        </w:rPr>
        <w:t>), pp. 339-361</w:t>
      </w:r>
    </w:p>
    <w:p w:rsidR="008103E0" w:rsidRDefault="008103E0" w:rsidP="008103E0">
      <w:pPr>
        <w:spacing w:after="0" w:line="240" w:lineRule="auto"/>
        <w:rPr>
          <w:rFonts w:ascii="Arial" w:eastAsia="Times New Roman" w:hAnsi="Arial" w:cs="Arial"/>
          <w:color w:val="737373"/>
          <w:sz w:val="20"/>
          <w:szCs w:val="20"/>
        </w:rPr>
      </w:pPr>
      <w:r w:rsidRPr="008103E0">
        <w:rPr>
          <w:rFonts w:ascii="Arial" w:eastAsia="Times New Roman" w:hAnsi="Arial" w:cs="Arial"/>
          <w:color w:val="505050"/>
          <w:sz w:val="20"/>
          <w:szCs w:val="20"/>
        </w:rPr>
        <w:t>S. Magnussen, P. </w:t>
      </w:r>
      <w:proofErr w:type="spellStart"/>
      <w:r w:rsidRPr="008103E0">
        <w:rPr>
          <w:rFonts w:ascii="Arial" w:eastAsia="Times New Roman" w:hAnsi="Arial" w:cs="Arial"/>
          <w:color w:val="505050"/>
          <w:sz w:val="20"/>
          <w:szCs w:val="20"/>
        </w:rPr>
        <w:t>Boudewyn</w:t>
      </w:r>
      <w:r w:rsidRPr="008103E0">
        <w:rPr>
          <w:rFonts w:ascii="Arial" w:eastAsia="Times New Roman" w:hAnsi="Arial" w:cs="Arial"/>
          <w:b/>
          <w:bCs/>
          <w:color w:val="505050"/>
          <w:sz w:val="20"/>
          <w:szCs w:val="20"/>
        </w:rPr>
        <w:t>Derivations</w:t>
      </w:r>
      <w:proofErr w:type="spellEnd"/>
      <w:r w:rsidRPr="008103E0">
        <w:rPr>
          <w:rFonts w:ascii="Arial" w:eastAsia="Times New Roman" w:hAnsi="Arial" w:cs="Arial"/>
          <w:b/>
          <w:bCs/>
          <w:color w:val="505050"/>
          <w:sz w:val="20"/>
          <w:szCs w:val="20"/>
        </w:rPr>
        <w:t xml:space="preserve"> of stand heights from airborne laser scanner data with canopy-based quantile estimators</w:t>
      </w:r>
      <w:r>
        <w:rPr>
          <w:rFonts w:ascii="Arial" w:eastAsia="Times New Roman" w:hAnsi="Arial" w:cs="Arial"/>
          <w:b/>
          <w:bCs/>
          <w:color w:val="505050"/>
          <w:sz w:val="20"/>
          <w:szCs w:val="20"/>
        </w:rPr>
        <w:t xml:space="preserve">. </w:t>
      </w:r>
      <w:r w:rsidRPr="008103E0">
        <w:rPr>
          <w:rFonts w:ascii="Arial" w:eastAsia="Times New Roman" w:hAnsi="Arial" w:cs="Arial"/>
          <w:color w:val="737373"/>
          <w:sz w:val="20"/>
          <w:szCs w:val="20"/>
        </w:rPr>
        <w:t>Canadian Journal of Forest Research, 28 (1998), pp. 1016-1031</w:t>
      </w:r>
    </w:p>
    <w:p w:rsidR="008103E0" w:rsidRDefault="008103E0" w:rsidP="008103E0">
      <w:pPr>
        <w:spacing w:after="0" w:line="240" w:lineRule="auto"/>
        <w:rPr>
          <w:rFonts w:ascii="Arial" w:eastAsia="Times New Roman" w:hAnsi="Arial" w:cs="Arial"/>
          <w:color w:val="737373"/>
          <w:sz w:val="20"/>
          <w:szCs w:val="20"/>
        </w:rPr>
      </w:pPr>
    </w:p>
    <w:p w:rsidR="008103E0" w:rsidRPr="008103E0" w:rsidRDefault="008103E0" w:rsidP="008103E0">
      <w:pPr>
        <w:spacing w:after="240"/>
        <w:rPr>
          <w:rFonts w:ascii="Arial" w:hAnsi="Arial" w:cs="Arial"/>
          <w:color w:val="505050"/>
          <w:sz w:val="20"/>
          <w:szCs w:val="20"/>
        </w:rPr>
      </w:pPr>
      <w:r>
        <w:rPr>
          <w:rFonts w:ascii="Arial" w:hAnsi="Arial" w:cs="Arial"/>
          <w:color w:val="505050"/>
          <w:sz w:val="20"/>
          <w:szCs w:val="20"/>
        </w:rPr>
        <w:t>J.E. Means, S.A. Acker, J.F. Brandon, M. Renslow, L. Emerson, C.J. Hendrix</w:t>
      </w:r>
      <w:r>
        <w:rPr>
          <w:rStyle w:val="Strong"/>
          <w:rFonts w:ascii="Arial" w:hAnsi="Arial" w:cs="Arial"/>
          <w:color w:val="505050"/>
          <w:sz w:val="20"/>
          <w:szCs w:val="20"/>
        </w:rPr>
        <w:t xml:space="preserve">Predicting forest stand characteristics with airborne scanning </w:t>
      </w:r>
      <w:proofErr w:type="spellStart"/>
      <w:r>
        <w:rPr>
          <w:rStyle w:val="Strong"/>
          <w:rFonts w:ascii="Arial" w:hAnsi="Arial" w:cs="Arial"/>
          <w:color w:val="505050"/>
          <w:sz w:val="20"/>
          <w:szCs w:val="20"/>
        </w:rPr>
        <w:t>lidar</w:t>
      </w:r>
      <w:proofErr w:type="spellEnd"/>
      <w:r>
        <w:rPr>
          <w:rFonts w:ascii="Arial" w:hAnsi="Arial" w:cs="Arial"/>
          <w:color w:val="505050"/>
          <w:sz w:val="20"/>
          <w:szCs w:val="20"/>
        </w:rPr>
        <w:t xml:space="preserve">. </w:t>
      </w:r>
      <w:r>
        <w:rPr>
          <w:rFonts w:ascii="Arial" w:hAnsi="Arial" w:cs="Arial"/>
          <w:color w:val="737373"/>
          <w:sz w:val="20"/>
          <w:szCs w:val="20"/>
        </w:rPr>
        <w:t>Photogrammetric Engineering and Remote Sensing, 66 (2000), pp. 1367-1371</w:t>
      </w:r>
    </w:p>
    <w:p w:rsidR="0044664C" w:rsidRDefault="0044664C" w:rsidP="0044664C">
      <w:pPr>
        <w:spacing w:after="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 xml:space="preserve">Moore, M.M., Covington, W.W., </w:t>
      </w:r>
      <w:proofErr w:type="spellStart"/>
      <w:r w:rsidRPr="0044664C">
        <w:rPr>
          <w:rFonts w:ascii="Arial" w:eastAsia="Times New Roman" w:hAnsi="Arial" w:cs="Arial"/>
          <w:color w:val="505050"/>
          <w:sz w:val="20"/>
          <w:szCs w:val="20"/>
        </w:rPr>
        <w:t>Fule</w:t>
      </w:r>
      <w:proofErr w:type="spellEnd"/>
      <w:r w:rsidRPr="0044664C">
        <w:rPr>
          <w:rFonts w:ascii="Arial" w:eastAsia="Times New Roman" w:hAnsi="Arial" w:cs="Arial"/>
          <w:color w:val="505050"/>
          <w:sz w:val="20"/>
          <w:szCs w:val="20"/>
        </w:rPr>
        <w:t>´, P.Z., 1999. Reference conditions</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and ecological restor</w:t>
      </w:r>
      <w:r>
        <w:rPr>
          <w:rFonts w:ascii="Arial" w:eastAsia="Times New Roman" w:hAnsi="Arial" w:cs="Arial"/>
          <w:color w:val="505050"/>
          <w:sz w:val="20"/>
          <w:szCs w:val="20"/>
        </w:rPr>
        <w:t xml:space="preserve">ation: a southwestern ponderosa </w:t>
      </w:r>
      <w:r w:rsidRPr="0044664C">
        <w:rPr>
          <w:rFonts w:ascii="Arial" w:eastAsia="Times New Roman" w:hAnsi="Arial" w:cs="Arial"/>
          <w:color w:val="505050"/>
          <w:sz w:val="20"/>
          <w:szCs w:val="20"/>
        </w:rPr>
        <w:t>pine perspective. Ecol. Appl. 9, 1266–1277.</w:t>
      </w:r>
    </w:p>
    <w:p w:rsidR="008103E0" w:rsidRPr="008103E0" w:rsidRDefault="008103E0" w:rsidP="0044664C">
      <w:pPr>
        <w:spacing w:after="0" w:line="240" w:lineRule="auto"/>
        <w:rPr>
          <w:rFonts w:ascii="Arial" w:eastAsia="Times New Roman" w:hAnsi="Arial" w:cs="Arial"/>
          <w:color w:val="737373"/>
          <w:sz w:val="20"/>
          <w:szCs w:val="20"/>
        </w:rPr>
      </w:pPr>
      <w:r w:rsidRPr="008103E0">
        <w:rPr>
          <w:rFonts w:ascii="Arial" w:eastAsia="Times New Roman" w:hAnsi="Arial" w:cs="Arial"/>
          <w:color w:val="505050"/>
          <w:sz w:val="20"/>
          <w:szCs w:val="20"/>
        </w:rPr>
        <w:t>R. Nelson</w:t>
      </w:r>
      <w:r>
        <w:rPr>
          <w:rFonts w:ascii="Arial" w:eastAsia="Times New Roman" w:hAnsi="Arial" w:cs="Arial"/>
          <w:color w:val="505050"/>
          <w:sz w:val="20"/>
          <w:szCs w:val="20"/>
        </w:rPr>
        <w:t xml:space="preserve"> </w:t>
      </w:r>
      <w:r w:rsidRPr="008103E0">
        <w:rPr>
          <w:rFonts w:ascii="Arial" w:eastAsia="Times New Roman" w:hAnsi="Arial" w:cs="Arial"/>
          <w:b/>
          <w:bCs/>
          <w:color w:val="505050"/>
          <w:sz w:val="20"/>
          <w:szCs w:val="20"/>
        </w:rPr>
        <w:t>Modeling forest canopy heights: the effects of canopy shape</w:t>
      </w:r>
    </w:p>
    <w:p w:rsidR="008103E0" w:rsidRPr="008103E0" w:rsidRDefault="008103E0" w:rsidP="008103E0">
      <w:pPr>
        <w:spacing w:after="0" w:line="240" w:lineRule="auto"/>
        <w:rPr>
          <w:rFonts w:ascii="Arial" w:eastAsia="Times New Roman" w:hAnsi="Arial" w:cs="Arial"/>
          <w:color w:val="737373"/>
          <w:sz w:val="20"/>
          <w:szCs w:val="20"/>
        </w:rPr>
      </w:pPr>
      <w:r w:rsidRPr="008103E0">
        <w:rPr>
          <w:rFonts w:ascii="Arial" w:eastAsia="Times New Roman" w:hAnsi="Arial" w:cs="Arial"/>
          <w:color w:val="737373"/>
          <w:sz w:val="20"/>
          <w:szCs w:val="20"/>
        </w:rPr>
        <w:t>Remote Sensing of Environment, 60 (1997), pp. 327-334</w:t>
      </w:r>
    </w:p>
    <w:p w:rsidR="008103E0" w:rsidRPr="008103E0" w:rsidRDefault="008103E0" w:rsidP="008103E0">
      <w:pPr>
        <w:spacing w:after="0" w:line="240" w:lineRule="auto"/>
        <w:rPr>
          <w:rFonts w:ascii="Arial" w:eastAsia="Times New Roman" w:hAnsi="Arial" w:cs="Arial"/>
          <w:color w:val="505050"/>
          <w:sz w:val="20"/>
          <w:szCs w:val="20"/>
        </w:rPr>
      </w:pPr>
      <w:r w:rsidRPr="008103E0">
        <w:rPr>
          <w:rFonts w:ascii="Arial" w:eastAsia="Times New Roman" w:hAnsi="Arial" w:cs="Arial"/>
          <w:color w:val="505050"/>
          <w:sz w:val="20"/>
          <w:szCs w:val="20"/>
        </w:rPr>
        <w:br/>
        <w:t>R. Nelson, R. </w:t>
      </w:r>
      <w:proofErr w:type="spellStart"/>
      <w:r w:rsidRPr="008103E0">
        <w:rPr>
          <w:rFonts w:ascii="Arial" w:eastAsia="Times New Roman" w:hAnsi="Arial" w:cs="Arial"/>
          <w:color w:val="505050"/>
          <w:sz w:val="20"/>
          <w:szCs w:val="20"/>
        </w:rPr>
        <w:t>Oderwald</w:t>
      </w:r>
      <w:proofErr w:type="spellEnd"/>
      <w:r w:rsidRPr="008103E0">
        <w:rPr>
          <w:rFonts w:ascii="Arial" w:eastAsia="Times New Roman" w:hAnsi="Arial" w:cs="Arial"/>
          <w:color w:val="505050"/>
          <w:sz w:val="20"/>
          <w:szCs w:val="20"/>
        </w:rPr>
        <w:t>, G. </w:t>
      </w:r>
      <w:proofErr w:type="spellStart"/>
      <w:r w:rsidRPr="008103E0">
        <w:rPr>
          <w:rFonts w:ascii="Arial" w:eastAsia="Times New Roman" w:hAnsi="Arial" w:cs="Arial"/>
          <w:color w:val="505050"/>
          <w:sz w:val="20"/>
          <w:szCs w:val="20"/>
        </w:rPr>
        <w:t>Gregoire</w:t>
      </w:r>
      <w:r w:rsidRPr="008103E0">
        <w:rPr>
          <w:rFonts w:ascii="Arial" w:eastAsia="Times New Roman" w:hAnsi="Arial" w:cs="Arial"/>
          <w:b/>
          <w:bCs/>
          <w:color w:val="505050"/>
          <w:sz w:val="20"/>
          <w:szCs w:val="20"/>
        </w:rPr>
        <w:t>Separating</w:t>
      </w:r>
      <w:proofErr w:type="spellEnd"/>
      <w:r w:rsidRPr="008103E0">
        <w:rPr>
          <w:rFonts w:ascii="Arial" w:eastAsia="Times New Roman" w:hAnsi="Arial" w:cs="Arial"/>
          <w:b/>
          <w:bCs/>
          <w:color w:val="505050"/>
          <w:sz w:val="20"/>
          <w:szCs w:val="20"/>
        </w:rPr>
        <w:t xml:space="preserve"> the ground and airborne laser sampling phases to estimate tropical forest basal area, volume, and biomass</w:t>
      </w:r>
    </w:p>
    <w:p w:rsidR="008103E0" w:rsidRPr="008103E0" w:rsidRDefault="008103E0" w:rsidP="008103E0">
      <w:pPr>
        <w:spacing w:after="0" w:line="240" w:lineRule="auto"/>
        <w:rPr>
          <w:rFonts w:ascii="Arial" w:eastAsia="Times New Roman" w:hAnsi="Arial" w:cs="Arial"/>
          <w:color w:val="737373"/>
          <w:sz w:val="20"/>
          <w:szCs w:val="20"/>
        </w:rPr>
      </w:pPr>
      <w:r w:rsidRPr="008103E0">
        <w:rPr>
          <w:rFonts w:ascii="Arial" w:eastAsia="Times New Roman" w:hAnsi="Arial" w:cs="Arial"/>
          <w:color w:val="737373"/>
          <w:sz w:val="20"/>
          <w:szCs w:val="20"/>
        </w:rPr>
        <w:t>Remote Sensing of Environment, 60 (1997), pp. 311-326</w:t>
      </w:r>
    </w:p>
    <w:p w:rsidR="008103E0" w:rsidRDefault="0044664C" w:rsidP="0044664C">
      <w:proofErr w:type="spellStart"/>
      <w:r>
        <w:t>Overpeck</w:t>
      </w:r>
      <w:proofErr w:type="spellEnd"/>
      <w:r>
        <w:t>, J.T., Rind, D., Goldberg, R., 1990. Climate-induced changes in forest disturbance and vegetation. Nature 343, 51–53.</w:t>
      </w:r>
    </w:p>
    <w:p w:rsidR="0044664C" w:rsidRPr="0044664C" w:rsidRDefault="0044664C" w:rsidP="0044664C">
      <w:pPr>
        <w:spacing w:after="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Perry, G.L.W., 1998. Current approaches to modelling the spread of</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 xml:space="preserve">wildland fire: a review. </w:t>
      </w:r>
      <w:proofErr w:type="spellStart"/>
      <w:r w:rsidRPr="0044664C">
        <w:rPr>
          <w:rFonts w:ascii="Arial" w:eastAsia="Times New Roman" w:hAnsi="Arial" w:cs="Arial"/>
          <w:color w:val="505050"/>
          <w:sz w:val="20"/>
          <w:szCs w:val="20"/>
        </w:rPr>
        <w:t>Prog</w:t>
      </w:r>
      <w:proofErr w:type="spellEnd"/>
      <w:r w:rsidRPr="0044664C">
        <w:rPr>
          <w:rFonts w:ascii="Arial" w:eastAsia="Times New Roman" w:hAnsi="Arial" w:cs="Arial"/>
          <w:color w:val="505050"/>
          <w:sz w:val="20"/>
          <w:szCs w:val="20"/>
        </w:rPr>
        <w:t xml:space="preserve">. Phys. </w:t>
      </w:r>
      <w:proofErr w:type="spellStart"/>
      <w:r w:rsidRPr="0044664C">
        <w:rPr>
          <w:rFonts w:ascii="Arial" w:eastAsia="Times New Roman" w:hAnsi="Arial" w:cs="Arial"/>
          <w:color w:val="505050"/>
          <w:sz w:val="20"/>
          <w:szCs w:val="20"/>
        </w:rPr>
        <w:t>Geogr</w:t>
      </w:r>
      <w:proofErr w:type="spellEnd"/>
      <w:r w:rsidRPr="0044664C">
        <w:rPr>
          <w:rFonts w:ascii="Arial" w:eastAsia="Times New Roman" w:hAnsi="Arial" w:cs="Arial"/>
          <w:color w:val="505050"/>
          <w:sz w:val="20"/>
          <w:szCs w:val="20"/>
        </w:rPr>
        <w:t>. 22, 222–245.</w:t>
      </w:r>
    </w:p>
    <w:p w:rsidR="0044664C" w:rsidRDefault="0044664C" w:rsidP="0044664C">
      <w:pPr>
        <w:spacing w:after="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 xml:space="preserve">Weaver, H., 1959. Ecological changes in the ponderosa pine forest </w:t>
      </w:r>
      <w:r>
        <w:rPr>
          <w:rFonts w:ascii="Arial" w:eastAsia="Times New Roman" w:hAnsi="Arial" w:cs="Arial"/>
          <w:color w:val="505050"/>
          <w:sz w:val="20"/>
          <w:szCs w:val="20"/>
        </w:rPr>
        <w:t xml:space="preserve">of </w:t>
      </w:r>
      <w:r w:rsidRPr="0044664C">
        <w:rPr>
          <w:rFonts w:ascii="Arial" w:eastAsia="Times New Roman" w:hAnsi="Arial" w:cs="Arial"/>
          <w:color w:val="505050"/>
          <w:sz w:val="20"/>
          <w:szCs w:val="20"/>
        </w:rPr>
        <w:t>the Warm Springs Indian Reservation on Oregon. J. Forestry 57,</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 xml:space="preserve">15–20. </w:t>
      </w:r>
    </w:p>
    <w:p w:rsidR="008103E0" w:rsidRPr="008103E0" w:rsidRDefault="008103E0" w:rsidP="0044664C">
      <w:pPr>
        <w:spacing w:after="0" w:line="240" w:lineRule="auto"/>
        <w:rPr>
          <w:rFonts w:ascii="Arial" w:eastAsia="Times New Roman" w:hAnsi="Arial" w:cs="Arial"/>
          <w:color w:val="737373"/>
          <w:sz w:val="20"/>
          <w:szCs w:val="20"/>
        </w:rPr>
      </w:pPr>
      <w:r w:rsidRPr="008103E0">
        <w:rPr>
          <w:rFonts w:ascii="Arial" w:eastAsia="Times New Roman" w:hAnsi="Arial" w:cs="Arial"/>
          <w:color w:val="505050"/>
          <w:sz w:val="20"/>
          <w:szCs w:val="20"/>
        </w:rPr>
        <w:t>S. Weisberg</w:t>
      </w:r>
      <w:r w:rsidR="0044664C">
        <w:rPr>
          <w:rFonts w:ascii="Arial" w:eastAsia="Times New Roman" w:hAnsi="Arial" w:cs="Arial"/>
          <w:color w:val="505050"/>
          <w:sz w:val="20"/>
          <w:szCs w:val="20"/>
        </w:rPr>
        <w:t xml:space="preserve"> </w:t>
      </w:r>
      <w:r w:rsidRPr="008103E0">
        <w:rPr>
          <w:rFonts w:ascii="Arial" w:eastAsia="Times New Roman" w:hAnsi="Arial" w:cs="Arial"/>
          <w:color w:val="737373"/>
          <w:sz w:val="20"/>
          <w:szCs w:val="20"/>
        </w:rPr>
        <w:t>Applied linear regression (2nd ed.), Wiley, New York (1985)</w:t>
      </w:r>
      <w:r w:rsidR="0044664C">
        <w:rPr>
          <w:rFonts w:ascii="Arial" w:eastAsia="Times New Roman" w:hAnsi="Arial" w:cs="Arial"/>
          <w:color w:val="737373"/>
          <w:sz w:val="20"/>
          <w:szCs w:val="20"/>
        </w:rPr>
        <w:t xml:space="preserve"> </w:t>
      </w:r>
      <w:r w:rsidRPr="008103E0">
        <w:rPr>
          <w:rFonts w:ascii="Arial" w:eastAsia="Times New Roman" w:hAnsi="Arial" w:cs="Arial"/>
          <w:color w:val="737373"/>
          <w:sz w:val="20"/>
          <w:szCs w:val="20"/>
        </w:rPr>
        <w:t>324 pp.</w:t>
      </w:r>
    </w:p>
    <w:p w:rsidR="008103E0" w:rsidRDefault="008103E0"/>
    <w:p w:rsidR="00862835" w:rsidRDefault="00862835">
      <w:r>
        <w:rPr>
          <w:rFonts w:ascii="Arial" w:hAnsi="Arial" w:cs="Arial"/>
          <w:color w:val="222222"/>
          <w:sz w:val="20"/>
          <w:szCs w:val="20"/>
          <w:shd w:val="clear" w:color="auto" w:fill="FFFFFF"/>
        </w:rPr>
        <w:t xml:space="preserve">Beers, T. W., Dress, P. E., &amp; </w:t>
      </w:r>
      <w:proofErr w:type="spellStart"/>
      <w:r>
        <w:rPr>
          <w:rFonts w:ascii="Arial" w:hAnsi="Arial" w:cs="Arial"/>
          <w:color w:val="222222"/>
          <w:sz w:val="20"/>
          <w:szCs w:val="20"/>
          <w:shd w:val="clear" w:color="auto" w:fill="FFFFFF"/>
        </w:rPr>
        <w:t>Wensel</w:t>
      </w:r>
      <w:proofErr w:type="spellEnd"/>
      <w:r>
        <w:rPr>
          <w:rFonts w:ascii="Arial" w:hAnsi="Arial" w:cs="Arial"/>
          <w:color w:val="222222"/>
          <w:sz w:val="20"/>
          <w:szCs w:val="20"/>
          <w:shd w:val="clear" w:color="auto" w:fill="FFFFFF"/>
        </w:rPr>
        <w:t>, L. C. (1966). Notes and observations: aspect transformation in site productivity research. </w:t>
      </w:r>
      <w:r>
        <w:rPr>
          <w:rFonts w:ascii="Arial" w:hAnsi="Arial" w:cs="Arial"/>
          <w:i/>
          <w:iCs/>
          <w:color w:val="222222"/>
          <w:sz w:val="20"/>
          <w:szCs w:val="20"/>
          <w:shd w:val="clear" w:color="auto" w:fill="FFFFFF"/>
        </w:rPr>
        <w:t>Journal of Forestry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(10), 691-692.</w:t>
      </w:r>
    </w:p>
    <w:sectPr w:rsidR="0086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60A6"/>
    <w:multiLevelType w:val="hybridMultilevel"/>
    <w:tmpl w:val="16FA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B6107"/>
    <w:multiLevelType w:val="hybridMultilevel"/>
    <w:tmpl w:val="EAD45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91B8A"/>
    <w:multiLevelType w:val="hybridMultilevel"/>
    <w:tmpl w:val="640C90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C0"/>
    <w:rsid w:val="00091E92"/>
    <w:rsid w:val="0011131E"/>
    <w:rsid w:val="001C1C6B"/>
    <w:rsid w:val="001C64F9"/>
    <w:rsid w:val="001E05E1"/>
    <w:rsid w:val="002057C4"/>
    <w:rsid w:val="002557A2"/>
    <w:rsid w:val="002615BF"/>
    <w:rsid w:val="00290927"/>
    <w:rsid w:val="00342CC0"/>
    <w:rsid w:val="003B0048"/>
    <w:rsid w:val="003B1724"/>
    <w:rsid w:val="0044664C"/>
    <w:rsid w:val="005333B0"/>
    <w:rsid w:val="00543F51"/>
    <w:rsid w:val="005B1D69"/>
    <w:rsid w:val="006634BF"/>
    <w:rsid w:val="00687812"/>
    <w:rsid w:val="0071119B"/>
    <w:rsid w:val="008103E0"/>
    <w:rsid w:val="008255CC"/>
    <w:rsid w:val="008415E7"/>
    <w:rsid w:val="00850FA5"/>
    <w:rsid w:val="00862835"/>
    <w:rsid w:val="008F4302"/>
    <w:rsid w:val="00966D0B"/>
    <w:rsid w:val="009B18E1"/>
    <w:rsid w:val="00B157DB"/>
    <w:rsid w:val="00B603FB"/>
    <w:rsid w:val="00B617E4"/>
    <w:rsid w:val="00CC02CB"/>
    <w:rsid w:val="00CE4479"/>
    <w:rsid w:val="00CE72DC"/>
    <w:rsid w:val="00D26F42"/>
    <w:rsid w:val="00D3718B"/>
    <w:rsid w:val="00D4160E"/>
    <w:rsid w:val="00DA72E6"/>
    <w:rsid w:val="00DE7239"/>
    <w:rsid w:val="00E0753F"/>
    <w:rsid w:val="00F2225E"/>
    <w:rsid w:val="00F808F5"/>
    <w:rsid w:val="00F83D26"/>
    <w:rsid w:val="00F9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69E25-27FA-4FA9-BE3C-67185BA4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342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3B0"/>
    <w:rPr>
      <w:color w:val="0000FF"/>
      <w:u w:val="single"/>
    </w:rPr>
  </w:style>
  <w:style w:type="character" w:styleId="Emphasis">
    <w:name w:val="Emphasis"/>
    <w:basedOn w:val="DefaultParagraphFont"/>
    <w:uiPriority w:val="20"/>
    <w:qFormat/>
    <w:rsid w:val="00D3718B"/>
    <w:rPr>
      <w:i/>
      <w:iCs/>
    </w:rPr>
  </w:style>
  <w:style w:type="character" w:styleId="Strong">
    <w:name w:val="Strong"/>
    <w:basedOn w:val="DefaultParagraphFont"/>
    <w:uiPriority w:val="22"/>
    <w:qFormat/>
    <w:rsid w:val="008103E0"/>
    <w:rPr>
      <w:b/>
      <w:bCs/>
    </w:rPr>
  </w:style>
  <w:style w:type="paragraph" w:styleId="NormalWeb">
    <w:name w:val="Normal (Web)"/>
    <w:basedOn w:val="Normal"/>
    <w:uiPriority w:val="99"/>
    <w:semiHidden/>
    <w:unhideWhenUsed/>
    <w:rsid w:val="00B157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57DB"/>
    <w:pPr>
      <w:ind w:left="720"/>
      <w:contextualSpacing/>
    </w:pPr>
  </w:style>
  <w:style w:type="character" w:customStyle="1" w:styleId="citationref">
    <w:name w:val="citationref"/>
    <w:basedOn w:val="DefaultParagraphFont"/>
    <w:rsid w:val="00CE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5626">
      <w:bodyDiv w:val="1"/>
      <w:marLeft w:val="0"/>
      <w:marRight w:val="0"/>
      <w:marTop w:val="0"/>
      <w:marBottom w:val="0"/>
      <w:divBdr>
        <w:top w:val="none" w:sz="0" w:space="0" w:color="auto"/>
        <w:left w:val="none" w:sz="0" w:space="0" w:color="auto"/>
        <w:bottom w:val="none" w:sz="0" w:space="0" w:color="auto"/>
        <w:right w:val="none" w:sz="0" w:space="0" w:color="auto"/>
      </w:divBdr>
    </w:div>
    <w:div w:id="452603723">
      <w:bodyDiv w:val="1"/>
      <w:marLeft w:val="0"/>
      <w:marRight w:val="0"/>
      <w:marTop w:val="0"/>
      <w:marBottom w:val="0"/>
      <w:divBdr>
        <w:top w:val="none" w:sz="0" w:space="0" w:color="auto"/>
        <w:left w:val="none" w:sz="0" w:space="0" w:color="auto"/>
        <w:bottom w:val="none" w:sz="0" w:space="0" w:color="auto"/>
        <w:right w:val="none" w:sz="0" w:space="0" w:color="auto"/>
      </w:divBdr>
      <w:divsChild>
        <w:div w:id="1318730983">
          <w:marLeft w:val="0"/>
          <w:marRight w:val="0"/>
          <w:marTop w:val="0"/>
          <w:marBottom w:val="0"/>
          <w:divBdr>
            <w:top w:val="none" w:sz="0" w:space="0" w:color="auto"/>
            <w:left w:val="none" w:sz="0" w:space="0" w:color="auto"/>
            <w:bottom w:val="none" w:sz="0" w:space="0" w:color="auto"/>
            <w:right w:val="none" w:sz="0" w:space="0" w:color="auto"/>
          </w:divBdr>
        </w:div>
        <w:div w:id="1982542083">
          <w:marLeft w:val="0"/>
          <w:marRight w:val="0"/>
          <w:marTop w:val="0"/>
          <w:marBottom w:val="0"/>
          <w:divBdr>
            <w:top w:val="none" w:sz="0" w:space="0" w:color="auto"/>
            <w:left w:val="none" w:sz="0" w:space="0" w:color="auto"/>
            <w:bottom w:val="none" w:sz="0" w:space="0" w:color="auto"/>
            <w:right w:val="none" w:sz="0" w:space="0" w:color="auto"/>
          </w:divBdr>
        </w:div>
        <w:div w:id="1445005329">
          <w:marLeft w:val="0"/>
          <w:marRight w:val="0"/>
          <w:marTop w:val="0"/>
          <w:marBottom w:val="0"/>
          <w:divBdr>
            <w:top w:val="none" w:sz="0" w:space="0" w:color="auto"/>
            <w:left w:val="none" w:sz="0" w:space="0" w:color="auto"/>
            <w:bottom w:val="none" w:sz="0" w:space="0" w:color="auto"/>
            <w:right w:val="none" w:sz="0" w:space="0" w:color="auto"/>
          </w:divBdr>
        </w:div>
        <w:div w:id="2125683376">
          <w:marLeft w:val="0"/>
          <w:marRight w:val="0"/>
          <w:marTop w:val="0"/>
          <w:marBottom w:val="0"/>
          <w:divBdr>
            <w:top w:val="none" w:sz="0" w:space="0" w:color="auto"/>
            <w:left w:val="none" w:sz="0" w:space="0" w:color="auto"/>
            <w:bottom w:val="none" w:sz="0" w:space="0" w:color="auto"/>
            <w:right w:val="none" w:sz="0" w:space="0" w:color="auto"/>
          </w:divBdr>
        </w:div>
        <w:div w:id="1116437994">
          <w:marLeft w:val="0"/>
          <w:marRight w:val="0"/>
          <w:marTop w:val="0"/>
          <w:marBottom w:val="0"/>
          <w:divBdr>
            <w:top w:val="none" w:sz="0" w:space="0" w:color="auto"/>
            <w:left w:val="none" w:sz="0" w:space="0" w:color="auto"/>
            <w:bottom w:val="none" w:sz="0" w:space="0" w:color="auto"/>
            <w:right w:val="none" w:sz="0" w:space="0" w:color="auto"/>
          </w:divBdr>
        </w:div>
      </w:divsChild>
    </w:div>
    <w:div w:id="629433368">
      <w:bodyDiv w:val="1"/>
      <w:marLeft w:val="0"/>
      <w:marRight w:val="0"/>
      <w:marTop w:val="0"/>
      <w:marBottom w:val="0"/>
      <w:divBdr>
        <w:top w:val="none" w:sz="0" w:space="0" w:color="auto"/>
        <w:left w:val="none" w:sz="0" w:space="0" w:color="auto"/>
        <w:bottom w:val="none" w:sz="0" w:space="0" w:color="auto"/>
        <w:right w:val="none" w:sz="0" w:space="0" w:color="auto"/>
      </w:divBdr>
      <w:divsChild>
        <w:div w:id="434248932">
          <w:marLeft w:val="0"/>
          <w:marRight w:val="0"/>
          <w:marTop w:val="0"/>
          <w:marBottom w:val="0"/>
          <w:divBdr>
            <w:top w:val="none" w:sz="0" w:space="0" w:color="auto"/>
            <w:left w:val="none" w:sz="0" w:space="0" w:color="auto"/>
            <w:bottom w:val="none" w:sz="0" w:space="0" w:color="auto"/>
            <w:right w:val="none" w:sz="0" w:space="0" w:color="auto"/>
          </w:divBdr>
        </w:div>
        <w:div w:id="1579054960">
          <w:marLeft w:val="0"/>
          <w:marRight w:val="0"/>
          <w:marTop w:val="0"/>
          <w:marBottom w:val="0"/>
          <w:divBdr>
            <w:top w:val="none" w:sz="0" w:space="0" w:color="auto"/>
            <w:left w:val="none" w:sz="0" w:space="0" w:color="auto"/>
            <w:bottom w:val="none" w:sz="0" w:space="0" w:color="auto"/>
            <w:right w:val="none" w:sz="0" w:space="0" w:color="auto"/>
          </w:divBdr>
        </w:div>
      </w:divsChild>
    </w:div>
    <w:div w:id="847984278">
      <w:bodyDiv w:val="1"/>
      <w:marLeft w:val="0"/>
      <w:marRight w:val="0"/>
      <w:marTop w:val="0"/>
      <w:marBottom w:val="0"/>
      <w:divBdr>
        <w:top w:val="none" w:sz="0" w:space="0" w:color="auto"/>
        <w:left w:val="none" w:sz="0" w:space="0" w:color="auto"/>
        <w:bottom w:val="none" w:sz="0" w:space="0" w:color="auto"/>
        <w:right w:val="none" w:sz="0" w:space="0" w:color="auto"/>
      </w:divBdr>
      <w:divsChild>
        <w:div w:id="1346905251">
          <w:marLeft w:val="0"/>
          <w:marRight w:val="0"/>
          <w:marTop w:val="0"/>
          <w:marBottom w:val="0"/>
          <w:divBdr>
            <w:top w:val="none" w:sz="0" w:space="0" w:color="auto"/>
            <w:left w:val="none" w:sz="0" w:space="0" w:color="auto"/>
            <w:bottom w:val="none" w:sz="0" w:space="0" w:color="auto"/>
            <w:right w:val="none" w:sz="0" w:space="0" w:color="auto"/>
          </w:divBdr>
        </w:div>
        <w:div w:id="374040673">
          <w:marLeft w:val="0"/>
          <w:marRight w:val="0"/>
          <w:marTop w:val="0"/>
          <w:marBottom w:val="0"/>
          <w:divBdr>
            <w:top w:val="none" w:sz="0" w:space="0" w:color="auto"/>
            <w:left w:val="none" w:sz="0" w:space="0" w:color="auto"/>
            <w:bottom w:val="none" w:sz="0" w:space="0" w:color="auto"/>
            <w:right w:val="none" w:sz="0" w:space="0" w:color="auto"/>
          </w:divBdr>
        </w:div>
        <w:div w:id="52968734">
          <w:marLeft w:val="0"/>
          <w:marRight w:val="0"/>
          <w:marTop w:val="0"/>
          <w:marBottom w:val="0"/>
          <w:divBdr>
            <w:top w:val="none" w:sz="0" w:space="0" w:color="auto"/>
            <w:left w:val="none" w:sz="0" w:space="0" w:color="auto"/>
            <w:bottom w:val="none" w:sz="0" w:space="0" w:color="auto"/>
            <w:right w:val="none" w:sz="0" w:space="0" w:color="auto"/>
          </w:divBdr>
        </w:div>
      </w:divsChild>
    </w:div>
    <w:div w:id="1108820142">
      <w:bodyDiv w:val="1"/>
      <w:marLeft w:val="0"/>
      <w:marRight w:val="0"/>
      <w:marTop w:val="0"/>
      <w:marBottom w:val="0"/>
      <w:divBdr>
        <w:top w:val="none" w:sz="0" w:space="0" w:color="auto"/>
        <w:left w:val="none" w:sz="0" w:space="0" w:color="auto"/>
        <w:bottom w:val="none" w:sz="0" w:space="0" w:color="auto"/>
        <w:right w:val="none" w:sz="0" w:space="0" w:color="auto"/>
      </w:divBdr>
    </w:div>
    <w:div w:id="1317608335">
      <w:bodyDiv w:val="1"/>
      <w:marLeft w:val="0"/>
      <w:marRight w:val="0"/>
      <w:marTop w:val="0"/>
      <w:marBottom w:val="0"/>
      <w:divBdr>
        <w:top w:val="none" w:sz="0" w:space="0" w:color="auto"/>
        <w:left w:val="none" w:sz="0" w:space="0" w:color="auto"/>
        <w:bottom w:val="none" w:sz="0" w:space="0" w:color="auto"/>
        <w:right w:val="none" w:sz="0" w:space="0" w:color="auto"/>
      </w:divBdr>
      <w:divsChild>
        <w:div w:id="501284964">
          <w:marLeft w:val="0"/>
          <w:marRight w:val="0"/>
          <w:marTop w:val="0"/>
          <w:marBottom w:val="0"/>
          <w:divBdr>
            <w:top w:val="none" w:sz="0" w:space="0" w:color="auto"/>
            <w:left w:val="none" w:sz="0" w:space="0" w:color="auto"/>
            <w:bottom w:val="none" w:sz="0" w:space="0" w:color="auto"/>
            <w:right w:val="none" w:sz="0" w:space="0" w:color="auto"/>
          </w:divBdr>
        </w:div>
        <w:div w:id="179783063">
          <w:marLeft w:val="0"/>
          <w:marRight w:val="0"/>
          <w:marTop w:val="0"/>
          <w:marBottom w:val="0"/>
          <w:divBdr>
            <w:top w:val="none" w:sz="0" w:space="0" w:color="auto"/>
            <w:left w:val="none" w:sz="0" w:space="0" w:color="auto"/>
            <w:bottom w:val="none" w:sz="0" w:space="0" w:color="auto"/>
            <w:right w:val="none" w:sz="0" w:space="0" w:color="auto"/>
          </w:divBdr>
        </w:div>
        <w:div w:id="1468666828">
          <w:marLeft w:val="0"/>
          <w:marRight w:val="0"/>
          <w:marTop w:val="0"/>
          <w:marBottom w:val="0"/>
          <w:divBdr>
            <w:top w:val="none" w:sz="0" w:space="0" w:color="auto"/>
            <w:left w:val="none" w:sz="0" w:space="0" w:color="auto"/>
            <w:bottom w:val="none" w:sz="0" w:space="0" w:color="auto"/>
            <w:right w:val="none" w:sz="0" w:space="0" w:color="auto"/>
          </w:divBdr>
        </w:div>
        <w:div w:id="307323377">
          <w:marLeft w:val="0"/>
          <w:marRight w:val="0"/>
          <w:marTop w:val="0"/>
          <w:marBottom w:val="0"/>
          <w:divBdr>
            <w:top w:val="none" w:sz="0" w:space="0" w:color="auto"/>
            <w:left w:val="none" w:sz="0" w:space="0" w:color="auto"/>
            <w:bottom w:val="none" w:sz="0" w:space="0" w:color="auto"/>
            <w:right w:val="none" w:sz="0" w:space="0" w:color="auto"/>
          </w:divBdr>
        </w:div>
        <w:div w:id="74589859">
          <w:marLeft w:val="0"/>
          <w:marRight w:val="0"/>
          <w:marTop w:val="0"/>
          <w:marBottom w:val="0"/>
          <w:divBdr>
            <w:top w:val="none" w:sz="0" w:space="0" w:color="auto"/>
            <w:left w:val="none" w:sz="0" w:space="0" w:color="auto"/>
            <w:bottom w:val="none" w:sz="0" w:space="0" w:color="auto"/>
            <w:right w:val="none" w:sz="0" w:space="0" w:color="auto"/>
          </w:divBdr>
        </w:div>
        <w:div w:id="1275404024">
          <w:marLeft w:val="0"/>
          <w:marRight w:val="0"/>
          <w:marTop w:val="0"/>
          <w:marBottom w:val="0"/>
          <w:divBdr>
            <w:top w:val="none" w:sz="0" w:space="0" w:color="auto"/>
            <w:left w:val="none" w:sz="0" w:space="0" w:color="auto"/>
            <w:bottom w:val="none" w:sz="0" w:space="0" w:color="auto"/>
            <w:right w:val="none" w:sz="0" w:space="0" w:color="auto"/>
          </w:divBdr>
        </w:div>
        <w:div w:id="623661473">
          <w:marLeft w:val="0"/>
          <w:marRight w:val="0"/>
          <w:marTop w:val="0"/>
          <w:marBottom w:val="0"/>
          <w:divBdr>
            <w:top w:val="none" w:sz="0" w:space="0" w:color="auto"/>
            <w:left w:val="none" w:sz="0" w:space="0" w:color="auto"/>
            <w:bottom w:val="none" w:sz="0" w:space="0" w:color="auto"/>
            <w:right w:val="none" w:sz="0" w:space="0" w:color="auto"/>
          </w:divBdr>
        </w:div>
        <w:div w:id="749887450">
          <w:marLeft w:val="0"/>
          <w:marRight w:val="0"/>
          <w:marTop w:val="0"/>
          <w:marBottom w:val="0"/>
          <w:divBdr>
            <w:top w:val="none" w:sz="0" w:space="0" w:color="auto"/>
            <w:left w:val="none" w:sz="0" w:space="0" w:color="auto"/>
            <w:bottom w:val="none" w:sz="0" w:space="0" w:color="auto"/>
            <w:right w:val="none" w:sz="0" w:space="0" w:color="auto"/>
          </w:divBdr>
        </w:div>
      </w:divsChild>
    </w:div>
    <w:div w:id="1828083767">
      <w:bodyDiv w:val="1"/>
      <w:marLeft w:val="0"/>
      <w:marRight w:val="0"/>
      <w:marTop w:val="0"/>
      <w:marBottom w:val="0"/>
      <w:divBdr>
        <w:top w:val="none" w:sz="0" w:space="0" w:color="auto"/>
        <w:left w:val="none" w:sz="0" w:space="0" w:color="auto"/>
        <w:bottom w:val="none" w:sz="0" w:space="0" w:color="auto"/>
        <w:right w:val="none" w:sz="0" w:space="0" w:color="auto"/>
      </w:divBdr>
      <w:divsChild>
        <w:div w:id="163976065">
          <w:marLeft w:val="0"/>
          <w:marRight w:val="0"/>
          <w:marTop w:val="0"/>
          <w:marBottom w:val="0"/>
          <w:divBdr>
            <w:top w:val="none" w:sz="0" w:space="0" w:color="auto"/>
            <w:left w:val="none" w:sz="0" w:space="0" w:color="auto"/>
            <w:bottom w:val="none" w:sz="0" w:space="0" w:color="auto"/>
            <w:right w:val="none" w:sz="0" w:space="0" w:color="auto"/>
          </w:divBdr>
        </w:div>
        <w:div w:id="1172254352">
          <w:marLeft w:val="0"/>
          <w:marRight w:val="0"/>
          <w:marTop w:val="0"/>
          <w:marBottom w:val="0"/>
          <w:divBdr>
            <w:top w:val="none" w:sz="0" w:space="0" w:color="auto"/>
            <w:left w:val="none" w:sz="0" w:space="0" w:color="auto"/>
            <w:bottom w:val="none" w:sz="0" w:space="0" w:color="auto"/>
            <w:right w:val="none" w:sz="0" w:space="0" w:color="auto"/>
          </w:divBdr>
        </w:div>
      </w:divsChild>
    </w:div>
    <w:div w:id="1970434795">
      <w:bodyDiv w:val="1"/>
      <w:marLeft w:val="0"/>
      <w:marRight w:val="0"/>
      <w:marTop w:val="0"/>
      <w:marBottom w:val="0"/>
      <w:divBdr>
        <w:top w:val="none" w:sz="0" w:space="0" w:color="auto"/>
        <w:left w:val="none" w:sz="0" w:space="0" w:color="auto"/>
        <w:bottom w:val="none" w:sz="0" w:space="0" w:color="auto"/>
        <w:right w:val="none" w:sz="0" w:space="0" w:color="auto"/>
      </w:divBdr>
      <w:divsChild>
        <w:div w:id="140510321">
          <w:marLeft w:val="0"/>
          <w:marRight w:val="0"/>
          <w:marTop w:val="0"/>
          <w:marBottom w:val="0"/>
          <w:divBdr>
            <w:top w:val="none" w:sz="0" w:space="0" w:color="auto"/>
            <w:left w:val="none" w:sz="0" w:space="0" w:color="auto"/>
            <w:bottom w:val="none" w:sz="0" w:space="0" w:color="auto"/>
            <w:right w:val="none" w:sz="0" w:space="0" w:color="auto"/>
          </w:divBdr>
        </w:div>
        <w:div w:id="2051613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442-011-2165-z" TargetMode="External"/><Relationship Id="rId5" Type="http://schemas.openxmlformats.org/officeDocument/2006/relationships/hyperlink" Target="http://www.sciencedirect.com/science/article/pii/S00344257010029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3</cp:revision>
  <dcterms:created xsi:type="dcterms:W3CDTF">2018-01-11T16:31:00Z</dcterms:created>
  <dcterms:modified xsi:type="dcterms:W3CDTF">2018-01-12T00:43:00Z</dcterms:modified>
</cp:coreProperties>
</file>