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74" w:rsidRDefault="00717674" w:rsidP="00717674">
      <w:pPr>
        <w:pStyle w:val="Heading1"/>
      </w:pPr>
      <w:r>
        <w:t>Discussion of Regional Models</w:t>
      </w:r>
    </w:p>
    <w:p w:rsidR="00717674" w:rsidRPr="00CC02CB" w:rsidRDefault="00717674" w:rsidP="00717674">
      <w:pPr>
        <w:pStyle w:val="m-3204913092636764702gmail-msonormal"/>
        <w:numPr>
          <w:ilvl w:val="1"/>
          <w:numId w:val="1"/>
        </w:numPr>
        <w:shd w:val="clear" w:color="auto" w:fill="FFFFFF"/>
        <w:spacing w:after="0" w:afterAutospacing="0"/>
        <w:rPr>
          <w:color w:val="222222"/>
        </w:rPr>
      </w:pPr>
      <w:r>
        <w:rPr>
          <w:color w:val="222222"/>
        </w:rPr>
        <w:t xml:space="preserve">See </w:t>
      </w:r>
      <w:proofErr w:type="spellStart"/>
      <w:r>
        <w:rPr>
          <w:color w:val="222222"/>
        </w:rPr>
        <w:t>Lefsky</w:t>
      </w:r>
      <w:proofErr w:type="spellEnd"/>
      <w:r>
        <w:rPr>
          <w:color w:val="222222"/>
        </w:rPr>
        <w:t xml:space="preserve"> et al 2005, </w:t>
      </w:r>
      <w:proofErr w:type="spellStart"/>
      <w:r>
        <w:rPr>
          <w:color w:val="222222"/>
        </w:rPr>
        <w:t>Lefsky</w:t>
      </w:r>
      <w:proofErr w:type="spellEnd"/>
      <w:r>
        <w:rPr>
          <w:color w:val="222222"/>
        </w:rPr>
        <w:t xml:space="preserve"> et al 2002</w:t>
      </w:r>
    </w:p>
    <w:p w:rsidR="00717674" w:rsidRDefault="00717674" w:rsidP="00717674">
      <w:r>
        <w:t xml:space="preserve">Previous work tested the generality of </w:t>
      </w:r>
      <w:proofErr w:type="spellStart"/>
      <w:r>
        <w:t>lidar</w:t>
      </w:r>
      <w:proofErr w:type="spellEnd"/>
      <w:r>
        <w:t xml:space="preserve"> relationships over multiple sites (PNW </w:t>
      </w:r>
      <w:proofErr w:type="spellStart"/>
      <w:r>
        <w:t>Lefsky</w:t>
      </w:r>
      <w:proofErr w:type="spellEnd"/>
      <w:r>
        <w:t xml:space="preserve"> et al., 2005 A), and multiple forest cover types (high biomass forests </w:t>
      </w:r>
      <w:proofErr w:type="spellStart"/>
      <w:r>
        <w:t>Lefsky</w:t>
      </w:r>
      <w:proofErr w:type="spellEnd"/>
      <w:r>
        <w:t xml:space="preserve"> et al., 2002). </w:t>
      </w:r>
      <w:proofErr w:type="spellStart"/>
      <w:r>
        <w:t>Lefsky</w:t>
      </w:r>
      <w:proofErr w:type="spellEnd"/>
      <w:r>
        <w:t xml:space="preserve"> et al. (2002) were successful at developing a unified equation for predicting aboveground biomass in multiple biomes (Temperate Deciduous Broadleaf, Temperate Coniferous </w:t>
      </w:r>
      <w:proofErr w:type="spellStart"/>
      <w:r>
        <w:t>Needleleaf</w:t>
      </w:r>
      <w:proofErr w:type="spellEnd"/>
      <w:r>
        <w:t xml:space="preserve">, Boreal Coniferous </w:t>
      </w:r>
      <w:proofErr w:type="spellStart"/>
      <w:r>
        <w:t>Needleleaf</w:t>
      </w:r>
      <w:proofErr w:type="spellEnd"/>
      <w:r>
        <w:t xml:space="preserve">), there was no replication in each biome. </w:t>
      </w:r>
      <w:proofErr w:type="spellStart"/>
      <w:r>
        <w:t>Lefsky</w:t>
      </w:r>
      <w:proofErr w:type="spellEnd"/>
      <w:r>
        <w:t xml:space="preserve"> et al 2005 A we were able to look at 5 sites within the Temperate Coniferous </w:t>
      </w:r>
      <w:proofErr w:type="spellStart"/>
      <w:r>
        <w:t>Needleleaf</w:t>
      </w:r>
      <w:proofErr w:type="spellEnd"/>
      <w:r>
        <w:t xml:space="preserve"> biome, using sites with varying environment and composition. They created equations that predicted stand structure variables (e.g. aboveground biomass and LAI) across an environmental and compositional gradient.</w:t>
      </w:r>
    </w:p>
    <w:p w:rsidR="00717674" w:rsidRDefault="00717674" w:rsidP="00717674">
      <w:r>
        <w:t xml:space="preserve">Aboveground biomass were consistently predictable along a productivity and species composition gradient from the true fir forests of Mt. Rainier to Ponderosa pine forests at </w:t>
      </w:r>
      <w:proofErr w:type="spellStart"/>
      <w:r>
        <w:t>Metolius</w:t>
      </w:r>
      <w:proofErr w:type="spellEnd"/>
      <w:r>
        <w:t>, and at the high productivity forests of Cascade Head, the coast range, and H.J. Andrews (</w:t>
      </w:r>
      <w:proofErr w:type="spellStart"/>
      <w:r>
        <w:t>Lefsky</w:t>
      </w:r>
      <w:proofErr w:type="spellEnd"/>
      <w:r>
        <w:t xml:space="preserve"> et al 2005 A). (</w:t>
      </w:r>
      <w:proofErr w:type="spellStart"/>
      <w:r>
        <w:t>Lefsky</w:t>
      </w:r>
      <w:proofErr w:type="spellEnd"/>
      <w:r>
        <w:t xml:space="preserve"> et al 2005 A and 2002) offer a regional confirmation of the continental-scale hypothesis offered in </w:t>
      </w:r>
      <w:proofErr w:type="spellStart"/>
      <w:r>
        <w:t>Lefsky</w:t>
      </w:r>
      <w:proofErr w:type="spellEnd"/>
      <w:r>
        <w:t xml:space="preserve"> et al. (2002), in which the geographic generality of an equation predicting aboveground biomass was demonstrated. </w:t>
      </w:r>
      <w:proofErr w:type="spellStart"/>
      <w:r>
        <w:t>Lefsky</w:t>
      </w:r>
      <w:proofErr w:type="spellEnd"/>
      <w:r>
        <w:t xml:space="preserve"> et al 2005 A found broad consistency in </w:t>
      </w:r>
      <w:proofErr w:type="spellStart"/>
      <w:r>
        <w:t>lidar</w:t>
      </w:r>
      <w:proofErr w:type="spellEnd"/>
      <w:r>
        <w:t>-stand structure relationship over this region, and a relative lack of importance of environmental conditions (</w:t>
      </w:r>
      <w:proofErr w:type="spellStart"/>
      <w:r>
        <w:t>Lefsky</w:t>
      </w:r>
      <w:proofErr w:type="spellEnd"/>
      <w:r>
        <w:t xml:space="preserve"> et al 2005 A). While the range of environmental conditions and composition examined in this paper is narrower than in </w:t>
      </w:r>
      <w:proofErr w:type="spellStart"/>
      <w:r>
        <w:t>Lefsky</w:t>
      </w:r>
      <w:proofErr w:type="spellEnd"/>
      <w:r>
        <w:t xml:space="preserve"> et al. (2002), the number of site locations examined is larger, and thus confirms the result for the Pacific Northwest region of the USA (</w:t>
      </w:r>
      <w:proofErr w:type="spellStart"/>
      <w:r>
        <w:t>Lefsky</w:t>
      </w:r>
      <w:proofErr w:type="spellEnd"/>
      <w:r>
        <w:t xml:space="preserve"> et al 2005 A). </w:t>
      </w:r>
    </w:p>
    <w:p w:rsidR="00717674" w:rsidRDefault="00717674" w:rsidP="00717674">
      <w:r>
        <w:t xml:space="preserve">Given this wide range of conditions, and the earlier results of </w:t>
      </w:r>
      <w:proofErr w:type="spellStart"/>
      <w:r>
        <w:t>Lefsky</w:t>
      </w:r>
      <w:proofErr w:type="spellEnd"/>
      <w:r>
        <w:t xml:space="preserve"> et al. (2002 and 2005 A), it is reasonable to ask if, in forests dominated by coniferous species, tree architecture is constrained to the point where a unified relationship between </w:t>
      </w:r>
      <w:proofErr w:type="spellStart"/>
      <w:r>
        <w:t>lidar</w:t>
      </w:r>
      <w:proofErr w:type="spellEnd"/>
      <w:r>
        <w:t xml:space="preserve"> measurements and stand structure might exist for these forests generally. In existing studies of this type (</w:t>
      </w:r>
      <w:proofErr w:type="spellStart"/>
      <w:r>
        <w:t>Lefsky</w:t>
      </w:r>
      <w:proofErr w:type="spellEnd"/>
      <w:r>
        <w:t xml:space="preserve"> et al. 2002 and 2005 A) there has been an attempt to have a structural or temporal sequence of stands at one or more study locations. </w:t>
      </w:r>
    </w:p>
    <w:p w:rsidR="00717674" w:rsidRDefault="00717674" w:rsidP="00717674">
      <w:r>
        <w:t>Diagram:</w:t>
      </w:r>
    </w:p>
    <w:p w:rsidR="00717674" w:rsidRDefault="00717674" w:rsidP="00717674">
      <w:pPr>
        <w:pStyle w:val="m-3204913092636764702gmail-msonormal"/>
        <w:shd w:val="clear" w:color="auto" w:fill="FFFFFF"/>
        <w:spacing w:after="0" w:afterAutospacing="0"/>
        <w:ind w:left="720"/>
      </w:pPr>
      <w:r>
        <w:rPr>
          <w:noProof/>
        </w:rPr>
        <w:lastRenderedPageBreak/>
        <w:drawing>
          <wp:inline distT="0" distB="0" distL="0" distR="0" wp14:anchorId="3F36A558" wp14:editId="2E71E933">
            <wp:extent cx="459105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4524375"/>
                    </a:xfrm>
                    <a:prstGeom prst="rect">
                      <a:avLst/>
                    </a:prstGeom>
                  </pic:spPr>
                </pic:pic>
              </a:graphicData>
            </a:graphic>
          </wp:inline>
        </w:drawing>
      </w:r>
      <w:proofErr w:type="spellStart"/>
      <w:r>
        <w:t>Lefsky</w:t>
      </w:r>
      <w:proofErr w:type="spellEnd"/>
      <w:r>
        <w:t xml:space="preserve"> et al 2005 B</w:t>
      </w:r>
    </w:p>
    <w:p w:rsidR="005A605F" w:rsidRDefault="005A605F" w:rsidP="00717674">
      <w:pPr>
        <w:pStyle w:val="m-3204913092636764702gmail-msonormal"/>
        <w:shd w:val="clear" w:color="auto" w:fill="FFFFFF"/>
        <w:spacing w:after="0" w:afterAutospacing="0"/>
        <w:ind w:left="720"/>
      </w:pPr>
      <w:r>
        <w:t>Sheridan workflow diagram:</w:t>
      </w:r>
    </w:p>
    <w:p w:rsidR="005A605F" w:rsidRPr="00717674" w:rsidRDefault="005A605F" w:rsidP="00717674">
      <w:pPr>
        <w:pStyle w:val="m-3204913092636764702gmail-msonormal"/>
        <w:shd w:val="clear" w:color="auto" w:fill="FFFFFF"/>
        <w:spacing w:after="0" w:afterAutospacing="0"/>
        <w:ind w:left="720"/>
        <w:rPr>
          <w:color w:val="505050"/>
        </w:rPr>
      </w:pPr>
      <w:r>
        <w:rPr>
          <w:noProof/>
        </w:rPr>
        <w:lastRenderedPageBreak/>
        <w:drawing>
          <wp:inline distT="0" distB="0" distL="0" distR="0" wp14:anchorId="0CC7DB2B" wp14:editId="3932D491">
            <wp:extent cx="5057775" cy="492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4924425"/>
                    </a:xfrm>
                    <a:prstGeom prst="rect">
                      <a:avLst/>
                    </a:prstGeom>
                  </pic:spPr>
                </pic:pic>
              </a:graphicData>
            </a:graphic>
          </wp:inline>
        </w:drawing>
      </w:r>
    </w:p>
    <w:p w:rsidR="00717674" w:rsidRPr="005333B0" w:rsidRDefault="00717674" w:rsidP="00717674">
      <w:pPr>
        <w:pStyle w:val="m-3204913092636764702gmail-msonormal"/>
        <w:numPr>
          <w:ilvl w:val="0"/>
          <w:numId w:val="1"/>
        </w:numPr>
        <w:shd w:val="clear" w:color="auto" w:fill="FFFFFF"/>
        <w:spacing w:after="0" w:afterAutospacing="0"/>
        <w:rPr>
          <w:color w:val="222222"/>
        </w:rPr>
      </w:pPr>
      <w:r w:rsidRPr="005333B0">
        <w:rPr>
          <w:color w:val="222222"/>
        </w:rPr>
        <w:t>Covariate selection:</w:t>
      </w:r>
    </w:p>
    <w:p w:rsidR="00D4160E" w:rsidRDefault="00D4160E" w:rsidP="00717674">
      <w:pPr>
        <w:pStyle w:val="m-3204913092636764702gmail-msonormal"/>
        <w:numPr>
          <w:ilvl w:val="0"/>
          <w:numId w:val="1"/>
        </w:numPr>
        <w:shd w:val="clear" w:color="auto" w:fill="FFFFFF"/>
        <w:spacing w:after="0" w:afterAutospacing="0"/>
        <w:rPr>
          <w:color w:val="505050"/>
        </w:rPr>
      </w:pPr>
      <w:r>
        <w:rPr>
          <w:color w:val="505050"/>
        </w:rPr>
        <w:t>Lidar instruments</w:t>
      </w:r>
    </w:p>
    <w:p w:rsidR="00D4160E" w:rsidRPr="0044664C" w:rsidRDefault="00D4160E" w:rsidP="00D4160E">
      <w:pPr>
        <w:pStyle w:val="m-3204913092636764702gmail-msonormal"/>
        <w:numPr>
          <w:ilvl w:val="1"/>
          <w:numId w:val="1"/>
        </w:numPr>
        <w:shd w:val="clear" w:color="auto" w:fill="FFFFFF"/>
        <w:spacing w:after="0" w:afterAutospacing="0"/>
        <w:rPr>
          <w:color w:val="505050"/>
        </w:rPr>
      </w:pPr>
      <w:r>
        <w:t xml:space="preserve">In addition, waveform-recording </w:t>
      </w:r>
      <w:proofErr w:type="spellStart"/>
      <w:r>
        <w:t>lidar</w:t>
      </w:r>
      <w:proofErr w:type="spellEnd"/>
      <w:r>
        <w:t xml:space="preserve"> systems, such as the SLICER (Scanning Lidar Imager of Canopies by Echo Recovery, Blair et al., 1994; Harding et al., 1994, 2001)</w:t>
      </w:r>
      <w:r w:rsidR="00F9684A">
        <w:t xml:space="preserve">. </w:t>
      </w:r>
      <w:proofErr w:type="gramStart"/>
      <w:r w:rsidR="00F9684A">
        <w:t>canopy</w:t>
      </w:r>
      <w:proofErr w:type="gramEnd"/>
      <w:r w:rsidR="00F9684A">
        <w:t xml:space="preserve"> surface height measurements, only uses the instrument's height measuring capability. A second set of measurements was made by transforming the raw waveform data into an estimate of the vertical distribution of the canopy- the canopy height profile (CHP). A third set of measurements described the transmittance of light in the canopy. A fourth was derived from a system for the measurement of canopy structure, the canopy volume method (CVM), which summarizes the total volume and spatial organization of filled and empty space within the canopy. Details of these methods can be found in </w:t>
      </w:r>
      <w:proofErr w:type="spellStart"/>
      <w:r w:rsidR="00F9684A">
        <w:t>Lefsky</w:t>
      </w:r>
      <w:proofErr w:type="spellEnd"/>
      <w:r w:rsidR="00F9684A">
        <w:t xml:space="preserve"> et al. (1999b)</w:t>
      </w:r>
      <w:r w:rsidR="0044664C">
        <w:t>.</w:t>
      </w:r>
    </w:p>
    <w:p w:rsidR="0044664C" w:rsidRDefault="0044664C" w:rsidP="00D4160E">
      <w:pPr>
        <w:pStyle w:val="m-3204913092636764702gmail-msonormal"/>
        <w:numPr>
          <w:ilvl w:val="1"/>
          <w:numId w:val="1"/>
        </w:numPr>
        <w:shd w:val="clear" w:color="auto" w:fill="FFFFFF"/>
        <w:spacing w:after="0" w:afterAutospacing="0"/>
        <w:rPr>
          <w:color w:val="505050"/>
        </w:rPr>
      </w:pPr>
      <w:r>
        <w:t xml:space="preserve">Discrete-return </w:t>
      </w:r>
      <w:proofErr w:type="spellStart"/>
      <w:r>
        <w:t>lidar</w:t>
      </w:r>
      <w:proofErr w:type="spellEnd"/>
      <w:r>
        <w:t xml:space="preserve"> emits a small beam of light (centimeters in diameter), and records the positions from which the returned energy is greater than a certain threshold. Different systems can record from 1 to 5 discrete returns from each laser pulse. These systems are the ones commercially available (</w:t>
      </w:r>
      <w:proofErr w:type="spellStart"/>
      <w:r>
        <w:t>Baltsavias</w:t>
      </w:r>
      <w:proofErr w:type="spellEnd"/>
      <w:r>
        <w:t xml:space="preserve">, </w:t>
      </w:r>
      <w:r>
        <w:lastRenderedPageBreak/>
        <w:t xml:space="preserve">1999b), and are being used routinely to develop digital elevation models (Flood and </w:t>
      </w:r>
      <w:proofErr w:type="spellStart"/>
      <w:r>
        <w:t>Gutelius</w:t>
      </w:r>
      <w:proofErr w:type="spellEnd"/>
      <w:r>
        <w:t xml:space="preserve">, 1997). Both types of </w:t>
      </w:r>
      <w:proofErr w:type="spellStart"/>
      <w:r>
        <w:t>lidar</w:t>
      </w:r>
      <w:proofErr w:type="spellEnd"/>
      <w:r>
        <w:t xml:space="preserve"> have been used successfully to estimate stand structural variables, such as mean height, total aboveground biomass, basal area, stem volume and stand density, in a variety of forest types (</w:t>
      </w:r>
      <w:r w:rsidRPr="0044664C">
        <w:rPr>
          <w:highlight w:val="lightGray"/>
        </w:rPr>
        <w:t xml:space="preserve">Means et al., 1999, 2000; </w:t>
      </w:r>
      <w:proofErr w:type="spellStart"/>
      <w:r w:rsidRPr="0044664C">
        <w:rPr>
          <w:highlight w:val="lightGray"/>
        </w:rPr>
        <w:t>Lefsky</w:t>
      </w:r>
      <w:proofErr w:type="spellEnd"/>
      <w:r w:rsidRPr="0044664C">
        <w:rPr>
          <w:highlight w:val="lightGray"/>
        </w:rPr>
        <w:t xml:space="preserve"> et al., 1999a</w:t>
      </w:r>
      <w:proofErr w:type="gramStart"/>
      <w:r w:rsidRPr="0044664C">
        <w:rPr>
          <w:highlight w:val="lightGray"/>
        </w:rPr>
        <w:t>,b</w:t>
      </w:r>
      <w:proofErr w:type="gramEnd"/>
      <w:r w:rsidRPr="0044664C">
        <w:rPr>
          <w:highlight w:val="lightGray"/>
        </w:rPr>
        <w:t xml:space="preserve">, 2002a; </w:t>
      </w:r>
      <w:proofErr w:type="spellStart"/>
      <w:r w:rsidRPr="0044664C">
        <w:rPr>
          <w:highlight w:val="lightGray"/>
        </w:rPr>
        <w:t>Dubayah</w:t>
      </w:r>
      <w:proofErr w:type="spellEnd"/>
      <w:r w:rsidRPr="0044664C">
        <w:rPr>
          <w:highlight w:val="lightGray"/>
        </w:rPr>
        <w:t xml:space="preserve"> and Drake, 2000; Drake et al., 2002, 2003;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Bjerknes</w:t>
      </w:r>
      <w:proofErr w:type="spellEnd"/>
      <w:r w:rsidRPr="0044664C">
        <w:rPr>
          <w:highlight w:val="lightGray"/>
        </w:rPr>
        <w:t xml:space="preserve">, 2001; </w:t>
      </w:r>
      <w:proofErr w:type="spellStart"/>
      <w:r w:rsidRPr="0044664C">
        <w:rPr>
          <w:highlight w:val="lightGray"/>
        </w:rPr>
        <w:t>Naesset</w:t>
      </w:r>
      <w:proofErr w:type="spellEnd"/>
      <w:r w:rsidRPr="0044664C">
        <w:rPr>
          <w:highlight w:val="lightGray"/>
        </w:rPr>
        <w:t xml:space="preserve"> and </w:t>
      </w:r>
      <w:proofErr w:type="spellStart"/>
      <w:r w:rsidRPr="0044664C">
        <w:rPr>
          <w:highlight w:val="lightGray"/>
        </w:rPr>
        <w:t>Økland</w:t>
      </w:r>
      <w:proofErr w:type="spellEnd"/>
      <w:r w:rsidRPr="0044664C">
        <w:rPr>
          <w:highlight w:val="lightGray"/>
        </w:rPr>
        <w:t xml:space="preserve">, 2002; </w:t>
      </w:r>
      <w:proofErr w:type="spellStart"/>
      <w:r w:rsidRPr="0044664C">
        <w:rPr>
          <w:highlight w:val="lightGray"/>
        </w:rPr>
        <w:t>Naesset</w:t>
      </w:r>
      <w:proofErr w:type="spellEnd"/>
      <w:r w:rsidRPr="0044664C">
        <w:rPr>
          <w:highlight w:val="lightGray"/>
        </w:rPr>
        <w:t>, 2002</w:t>
      </w:r>
      <w:r>
        <w:t>). The focus of most of the research has been on overcoming the saturation at high biomass levels that limits the use of passive sensors (Hall 2005)</w:t>
      </w:r>
    </w:p>
    <w:p w:rsidR="00850FA5" w:rsidRDefault="00850FA5" w:rsidP="005333B0">
      <w:pPr>
        <w:pStyle w:val="m-3204913092636764702gmail-msonormal"/>
        <w:numPr>
          <w:ilvl w:val="0"/>
          <w:numId w:val="1"/>
        </w:numPr>
        <w:shd w:val="clear" w:color="auto" w:fill="FFFFFF"/>
        <w:spacing w:after="0" w:afterAutospacing="0"/>
        <w:rPr>
          <w:color w:val="505050"/>
        </w:rPr>
      </w:pPr>
      <w:r>
        <w:rPr>
          <w:color w:val="505050"/>
        </w:rPr>
        <w:t>Variation by forest types:</w:t>
      </w:r>
    </w:p>
    <w:p w:rsidR="005333B0" w:rsidRPr="005333B0" w:rsidRDefault="005333B0" w:rsidP="00850FA5">
      <w:pPr>
        <w:pStyle w:val="m-3204913092636764702gmail-msonormal"/>
        <w:numPr>
          <w:ilvl w:val="1"/>
          <w:numId w:val="1"/>
        </w:numPr>
        <w:shd w:val="clear" w:color="auto" w:fill="FFFFFF"/>
        <w:spacing w:after="0" w:afterAutospacing="0"/>
        <w:rPr>
          <w:color w:val="505050"/>
        </w:rPr>
      </w:pPr>
      <w:proofErr w:type="gramStart"/>
      <w:r w:rsidRPr="005333B0">
        <w:rPr>
          <w:color w:val="505050"/>
        </w:rPr>
        <w:t>different</w:t>
      </w:r>
      <w:proofErr w:type="gramEnd"/>
      <w:r w:rsidRPr="005333B0">
        <w:rPr>
          <w:color w:val="505050"/>
        </w:rPr>
        <w:t xml:space="preserve"> age classes exhibit distinct laser canopy height distribution forms </w:t>
      </w:r>
      <w:bookmarkStart w:id="0" w:name="bBIB15"/>
      <w:r w:rsidRPr="005333B0">
        <w:fldChar w:fldCharType="begin"/>
      </w:r>
      <w:r w:rsidRPr="005333B0">
        <w:instrText xml:space="preserve"> HYPERLINK "http://www.sciencedirect.com/science/article/pii/S0034425701002905" \l "BIB15" </w:instrText>
      </w:r>
      <w:r w:rsidRPr="005333B0">
        <w:fldChar w:fldCharType="separate"/>
      </w:r>
      <w:r w:rsidRPr="005333B0">
        <w:rPr>
          <w:rStyle w:val="Hyperlink"/>
          <w:color w:val="007398"/>
        </w:rPr>
        <w:t>(</w:t>
      </w:r>
      <w:proofErr w:type="spellStart"/>
      <w:r w:rsidRPr="005333B0">
        <w:rPr>
          <w:rStyle w:val="Hyperlink"/>
          <w:color w:val="007398"/>
        </w:rPr>
        <w:t>Lefsky</w:t>
      </w:r>
      <w:proofErr w:type="spellEnd"/>
      <w:r w:rsidRPr="005333B0">
        <w:rPr>
          <w:rStyle w:val="Hyperlink"/>
          <w:color w:val="007398"/>
        </w:rPr>
        <w:t>, Cohen, et al., 1999)</w:t>
      </w:r>
      <w:r w:rsidRPr="005333B0">
        <w:fldChar w:fldCharType="end"/>
      </w:r>
      <w:bookmarkEnd w:id="0"/>
      <w:r w:rsidRPr="005333B0">
        <w:rPr>
          <w:color w:val="505050"/>
        </w:rPr>
        <w:t xml:space="preserve">. </w:t>
      </w:r>
    </w:p>
    <w:p w:rsidR="005333B0" w:rsidRPr="005333B0" w:rsidRDefault="005333B0" w:rsidP="00850FA5">
      <w:pPr>
        <w:pStyle w:val="m-3204913092636764702gmail-msonormal"/>
        <w:numPr>
          <w:ilvl w:val="1"/>
          <w:numId w:val="1"/>
        </w:numPr>
        <w:shd w:val="clear" w:color="auto" w:fill="FFFFFF"/>
        <w:spacing w:after="0" w:afterAutospacing="0"/>
      </w:pPr>
      <w:r w:rsidRPr="005333B0">
        <w:rPr>
          <w:color w:val="505050"/>
        </w:rPr>
        <w:t xml:space="preserve">Relationships of stand characteristics to </w:t>
      </w:r>
      <w:proofErr w:type="spellStart"/>
      <w:r w:rsidRPr="005333B0">
        <w:rPr>
          <w:color w:val="505050"/>
        </w:rPr>
        <w:t>lidar</w:t>
      </w:r>
      <w:proofErr w:type="spellEnd"/>
      <w:r w:rsidRPr="005333B0">
        <w:rPr>
          <w:color w:val="505050"/>
        </w:rPr>
        <w:t xml:space="preserve"> metrics vary between tree species </w:t>
      </w:r>
      <w:bookmarkStart w:id="1" w:name="bBIB23"/>
      <w:r w:rsidRPr="005333B0">
        <w:fldChar w:fldCharType="begin"/>
      </w:r>
      <w:r w:rsidRPr="005333B0">
        <w:instrText xml:space="preserve"> HYPERLINK "http://www.sciencedirect.com/science/article/pii/S0034425701002905" \l "BIB23" </w:instrText>
      </w:r>
      <w:r w:rsidRPr="005333B0">
        <w:fldChar w:fldCharType="separate"/>
      </w:r>
      <w:r w:rsidRPr="005333B0">
        <w:rPr>
          <w:rStyle w:val="Hyperlink"/>
          <w:color w:val="007398"/>
        </w:rPr>
        <w:t>(</w:t>
      </w:r>
      <w:proofErr w:type="spellStart"/>
      <w:r w:rsidRPr="005333B0">
        <w:rPr>
          <w:rStyle w:val="Hyperlink"/>
          <w:color w:val="007398"/>
        </w:rPr>
        <w:t>Næsset</w:t>
      </w:r>
      <w:proofErr w:type="spellEnd"/>
      <w:r w:rsidRPr="005333B0">
        <w:rPr>
          <w:rStyle w:val="Hyperlink"/>
          <w:color w:val="007398"/>
        </w:rPr>
        <w:t xml:space="preserve">, 1997a; Nelson, </w:t>
      </w:r>
      <w:proofErr w:type="spellStart"/>
      <w:r w:rsidRPr="005333B0">
        <w:rPr>
          <w:rStyle w:val="Hyperlink"/>
          <w:color w:val="007398"/>
        </w:rPr>
        <w:t>Oderwald</w:t>
      </w:r>
      <w:proofErr w:type="spellEnd"/>
      <w:r w:rsidRPr="005333B0">
        <w:rPr>
          <w:rStyle w:val="Hyperlink"/>
          <w:color w:val="007398"/>
        </w:rPr>
        <w:t xml:space="preserve">, &amp; </w:t>
      </w:r>
      <w:proofErr w:type="spellStart"/>
      <w:r w:rsidRPr="005333B0">
        <w:rPr>
          <w:rStyle w:val="Hyperlink"/>
          <w:color w:val="007398"/>
        </w:rPr>
        <w:t>Gregoire</w:t>
      </w:r>
      <w:proofErr w:type="spellEnd"/>
      <w:r w:rsidRPr="005333B0">
        <w:rPr>
          <w:rStyle w:val="Hyperlink"/>
          <w:color w:val="007398"/>
        </w:rPr>
        <w:t>, 1997)</w:t>
      </w:r>
      <w:r w:rsidRPr="005333B0">
        <w:fldChar w:fldCharType="end"/>
      </w:r>
      <w:bookmarkEnd w:id="1"/>
    </w:p>
    <w:p w:rsidR="005333B0" w:rsidRDefault="005333B0" w:rsidP="005333B0">
      <w:pPr>
        <w:pStyle w:val="m-3204913092636764702gmail-msonormal"/>
        <w:numPr>
          <w:ilvl w:val="1"/>
          <w:numId w:val="1"/>
        </w:numPr>
        <w:shd w:val="clear" w:color="auto" w:fill="FFFFFF"/>
        <w:spacing w:after="0" w:afterAutospacing="0"/>
        <w:rPr>
          <w:color w:val="505050"/>
        </w:rPr>
      </w:pPr>
      <w:proofErr w:type="gramStart"/>
      <w:r w:rsidRPr="005333B0">
        <w:rPr>
          <w:color w:val="505050"/>
        </w:rPr>
        <w:t>crown</w:t>
      </w:r>
      <w:proofErr w:type="gramEnd"/>
      <w:r w:rsidRPr="005333B0">
        <w:rPr>
          <w:color w:val="505050"/>
        </w:rPr>
        <w:t xml:space="preserve"> shape differs between species</w:t>
      </w:r>
      <w:bookmarkStart w:id="2" w:name="bBIB28"/>
      <w:r w:rsidRPr="005333B0">
        <w:t xml:space="preserve"> and translates to differences in </w:t>
      </w:r>
      <w:proofErr w:type="spellStart"/>
      <w:r w:rsidRPr="005333B0">
        <w:t>lidar</w:t>
      </w:r>
      <w:proofErr w:type="spellEnd"/>
      <w:r w:rsidRPr="005333B0">
        <w:t xml:space="preserve"> metrics </w:t>
      </w:r>
      <w:hyperlink r:id="rId7" w:anchor="BIB28" w:history="1">
        <w:r w:rsidRPr="005333B0">
          <w:rPr>
            <w:rStyle w:val="Hyperlink"/>
            <w:color w:val="007398"/>
          </w:rPr>
          <w:t>(Nelson, 1997)</w:t>
        </w:r>
      </w:hyperlink>
      <w:bookmarkEnd w:id="2"/>
      <w:r w:rsidRPr="005333B0">
        <w:rPr>
          <w:color w:val="505050"/>
        </w:rPr>
        <w:t xml:space="preserve">. </w:t>
      </w:r>
    </w:p>
    <w:p w:rsidR="003B0048" w:rsidRPr="00B617E4" w:rsidRDefault="00F808F5" w:rsidP="005333B0">
      <w:pPr>
        <w:pStyle w:val="m-3204913092636764702gmail-msonormal"/>
        <w:numPr>
          <w:ilvl w:val="1"/>
          <w:numId w:val="1"/>
        </w:numPr>
        <w:shd w:val="clear" w:color="auto" w:fill="FFFFFF"/>
        <w:spacing w:after="0" w:afterAutospacing="0"/>
        <w:rPr>
          <w:color w:val="505050"/>
        </w:rPr>
      </w:pPr>
      <w:r>
        <w:rPr>
          <w:rFonts w:ascii="Arial" w:hAnsi="Arial" w:cs="Arial"/>
          <w:color w:val="333333"/>
          <w:sz w:val="22"/>
          <w:szCs w:val="22"/>
          <w:shd w:val="clear" w:color="auto" w:fill="FFFFFF"/>
        </w:rPr>
        <w:t>T</w:t>
      </w:r>
      <w:r w:rsidR="003B0048">
        <w:rPr>
          <w:rFonts w:ascii="Arial" w:hAnsi="Arial" w:cs="Arial"/>
          <w:color w:val="333333"/>
          <w:sz w:val="22"/>
          <w:szCs w:val="22"/>
          <w:shd w:val="clear" w:color="auto" w:fill="FFFFFF"/>
        </w:rPr>
        <w:t xml:space="preserve">here were few patterns in the correlations that were consistent between all three biomes. </w:t>
      </w:r>
      <w:r>
        <w:rPr>
          <w:rFonts w:ascii="Arial" w:hAnsi="Arial" w:cs="Arial"/>
          <w:color w:val="333333"/>
          <w:sz w:val="22"/>
          <w:szCs w:val="22"/>
          <w:shd w:val="clear" w:color="auto" w:fill="FFFFFF"/>
        </w:rPr>
        <w:t xml:space="preserve">This is due probably to the narrow range of canopy cover conditions observed in those plots. </w:t>
      </w:r>
      <w:r w:rsidR="003B0048">
        <w:rPr>
          <w:rFonts w:ascii="Arial" w:hAnsi="Arial" w:cs="Arial"/>
          <w:color w:val="333333"/>
          <w:sz w:val="22"/>
          <w:szCs w:val="22"/>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At the temperate coniferous site there is no clear difference between the two sets of variables (heights alone and the products of height indices and cover indices). When all sites are considered together, mean height squared is the best overall predictor of above-ground biomass. (</w:t>
      </w:r>
      <w:proofErr w:type="spellStart"/>
      <w:r w:rsidR="003B0048">
        <w:rPr>
          <w:rFonts w:ascii="Arial" w:hAnsi="Arial" w:cs="Arial"/>
          <w:color w:val="333333"/>
          <w:sz w:val="22"/>
          <w:szCs w:val="22"/>
          <w:shd w:val="clear" w:color="auto" w:fill="FFFFFF"/>
        </w:rPr>
        <w:t>Lefsky</w:t>
      </w:r>
      <w:proofErr w:type="spellEnd"/>
      <w:r w:rsidR="003B0048">
        <w:rPr>
          <w:rFonts w:ascii="Arial" w:hAnsi="Arial" w:cs="Arial"/>
          <w:color w:val="333333"/>
          <w:sz w:val="22"/>
          <w:szCs w:val="22"/>
          <w:shd w:val="clear" w:color="auto" w:fill="FFFFFF"/>
        </w:rPr>
        <w:t xml:space="preserve"> et al 2002)</w:t>
      </w:r>
    </w:p>
    <w:p w:rsidR="00B617E4" w:rsidRDefault="00B617E4" w:rsidP="00B617E4">
      <w:pPr>
        <w:pStyle w:val="ListParagraph"/>
        <w:numPr>
          <w:ilvl w:val="1"/>
          <w:numId w:val="1"/>
        </w:numPr>
      </w:pPr>
      <w:r>
        <w:t xml:space="preserve">The equation for deciduous basal area failed at H.J. Andrews and </w:t>
      </w:r>
      <w:proofErr w:type="spellStart"/>
      <w:r>
        <w:t>Metolius</w:t>
      </w:r>
      <w:proofErr w:type="spellEnd"/>
      <w:r>
        <w:t xml:space="preserve">, two sites with deciduous basal area less than 1.0 m2 ha-1. It is possible that a more successful method for estimating deciduous basal area could be created using a combination of conventional optical remote sensing to detect the presence of deciduous trees (e.g. </w:t>
      </w:r>
      <w:proofErr w:type="spellStart"/>
      <w:r>
        <w:t>Maiersperger</w:t>
      </w:r>
      <w:proofErr w:type="spellEnd"/>
      <w:r>
        <w:t xml:space="preserve"> et al., 2001), and </w:t>
      </w:r>
      <w:proofErr w:type="spellStart"/>
      <w:r>
        <w:t>lidar</w:t>
      </w:r>
      <w:proofErr w:type="spellEnd"/>
      <w:r>
        <w:t xml:space="preserve"> to estimate their basal area (</w:t>
      </w:r>
      <w:proofErr w:type="spellStart"/>
      <w:r>
        <w:t>Lefsky</w:t>
      </w:r>
      <w:proofErr w:type="spellEnd"/>
      <w:r>
        <w:t xml:space="preserve"> et al 2005</w:t>
      </w:r>
      <w:r w:rsidR="00D4160E">
        <w:t xml:space="preserve"> A</w:t>
      </w:r>
      <w:r>
        <w:t>)</w:t>
      </w:r>
    </w:p>
    <w:p w:rsidR="00290927" w:rsidRPr="00B617E4" w:rsidRDefault="00290927" w:rsidP="00B617E4">
      <w:pPr>
        <w:pStyle w:val="ListParagraph"/>
        <w:numPr>
          <w:ilvl w:val="1"/>
          <w:numId w:val="1"/>
        </w:numPr>
      </w:pPr>
      <w:r>
        <w:t xml:space="preserve">discrete-return </w:t>
      </w:r>
      <w:proofErr w:type="spellStart"/>
      <w:r>
        <w:t>lidar</w:t>
      </w:r>
      <w:proofErr w:type="spellEnd"/>
      <w:r>
        <w:t xml:space="preserve"> has been used in regression analysis to estimate forest biomass levels across a range of forest types including temperate mixed deciduous coniferous forests (</w:t>
      </w:r>
      <w:proofErr w:type="spellStart"/>
      <w:r>
        <w:t>Popescu</w:t>
      </w:r>
      <w:proofErr w:type="spellEnd"/>
      <w:r>
        <w:t xml:space="preserve"> et al. 2003; Lim and </w:t>
      </w:r>
      <w:proofErr w:type="spellStart"/>
      <w:r>
        <w:t>Treitz</w:t>
      </w:r>
      <w:proofErr w:type="spellEnd"/>
      <w:r>
        <w:t xml:space="preserve"> 2004), temperate deciduous (</w:t>
      </w:r>
      <w:proofErr w:type="spellStart"/>
      <w:r>
        <w:t>Patenaude</w:t>
      </w:r>
      <w:proofErr w:type="spellEnd"/>
      <w:r>
        <w:t xml:space="preserve"> et al. 2004), temperate coniferous forests (Hall et al. 2005; Hyde et al. 2007), and boreal </w:t>
      </w:r>
      <w:proofErr w:type="spellStart"/>
      <w:r>
        <w:t>mixedwood</w:t>
      </w:r>
      <w:proofErr w:type="spellEnd"/>
      <w:r>
        <w:t xml:space="preserve"> forests (Thomas et al. 2006)</w:t>
      </w:r>
      <w:r w:rsidR="00966D0B">
        <w:t xml:space="preserve">, temperate subalpine (Sherrill et al 2008) </w:t>
      </w:r>
    </w:p>
    <w:p w:rsidR="00862835" w:rsidRPr="00D3718B" w:rsidRDefault="00862835" w:rsidP="00862835">
      <w:pPr>
        <w:pStyle w:val="m-3204913092636764702gmail-msonormal"/>
        <w:numPr>
          <w:ilvl w:val="0"/>
          <w:numId w:val="1"/>
        </w:numPr>
        <w:shd w:val="clear" w:color="auto" w:fill="FFFFFF"/>
        <w:spacing w:after="0" w:afterAutospacing="0"/>
        <w:rPr>
          <w:color w:val="222222"/>
        </w:rPr>
      </w:pPr>
      <w:r w:rsidRPr="005333B0">
        <w:rPr>
          <w:color w:val="505050"/>
        </w:rPr>
        <w:t xml:space="preserve">Stratified sample </w:t>
      </w:r>
      <w:r>
        <w:rPr>
          <w:color w:val="505050"/>
        </w:rPr>
        <w:t>–</w:t>
      </w:r>
      <w:r w:rsidRPr="005333B0">
        <w:rPr>
          <w:color w:val="505050"/>
        </w:rPr>
        <w:t xml:space="preserve"> </w:t>
      </w:r>
    </w:p>
    <w:p w:rsidR="00862835" w:rsidRPr="00D3718B" w:rsidRDefault="00862835" w:rsidP="00862835">
      <w:pPr>
        <w:pStyle w:val="m-3204913092636764702gmail-msonormal"/>
        <w:numPr>
          <w:ilvl w:val="1"/>
          <w:numId w:val="1"/>
        </w:numPr>
        <w:shd w:val="clear" w:color="auto" w:fill="FFFFFF"/>
        <w:spacing w:after="0" w:afterAutospacing="0"/>
        <w:rPr>
          <w:color w:val="222222"/>
        </w:rPr>
      </w:pPr>
      <w:r w:rsidRPr="005333B0">
        <w:rPr>
          <w:color w:val="505050"/>
        </w:rPr>
        <w:t xml:space="preserve">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t>
      </w:r>
      <w:r>
        <w:rPr>
          <w:color w:val="505050"/>
        </w:rPr>
        <w:t>was</w:t>
      </w:r>
      <w:r>
        <w:rPr>
          <w:rFonts w:ascii="Arial" w:hAnsi="Arial" w:cs="Arial"/>
          <w:color w:val="505050"/>
          <w:sz w:val="27"/>
          <w:szCs w:val="27"/>
        </w:rPr>
        <w:t xml:space="preserve"> efficient to represent distinct forest types in practical inventories</w:t>
      </w:r>
      <w:r>
        <w:rPr>
          <w:color w:val="505050"/>
        </w:rPr>
        <w:t xml:space="preserve"> (</w:t>
      </w:r>
      <w:proofErr w:type="spellStart"/>
      <w:r>
        <w:rPr>
          <w:color w:val="505050"/>
        </w:rPr>
        <w:t>Naesset</w:t>
      </w:r>
      <w:proofErr w:type="spellEnd"/>
      <w:r>
        <w:rPr>
          <w:color w:val="505050"/>
        </w:rPr>
        <w:t xml:space="preserve"> 2002)</w:t>
      </w:r>
      <w:r w:rsidRPr="005333B0">
        <w:rPr>
          <w:color w:val="505050"/>
        </w:rPr>
        <w:t>.</w:t>
      </w:r>
      <w:r w:rsidRPr="00CE72DC">
        <w:rPr>
          <w:rFonts w:ascii="Arial" w:hAnsi="Arial" w:cs="Arial"/>
          <w:color w:val="505050"/>
          <w:sz w:val="27"/>
          <w:szCs w:val="27"/>
        </w:rPr>
        <w:t xml:space="preserve"> </w:t>
      </w:r>
    </w:p>
    <w:p w:rsidR="00862835" w:rsidRPr="00862835" w:rsidRDefault="00862835" w:rsidP="005333B0">
      <w:pPr>
        <w:pStyle w:val="m-3204913092636764702gmail-msonormal"/>
        <w:numPr>
          <w:ilvl w:val="0"/>
          <w:numId w:val="1"/>
        </w:numPr>
        <w:shd w:val="clear" w:color="auto" w:fill="FFFFFF"/>
        <w:spacing w:after="0" w:afterAutospacing="0"/>
        <w:rPr>
          <w:color w:val="222222"/>
        </w:rPr>
      </w:pPr>
      <w:r>
        <w:rPr>
          <w:color w:val="505050"/>
        </w:rPr>
        <w:t>Statistical approach</w:t>
      </w:r>
    </w:p>
    <w:p w:rsidR="00862835" w:rsidRPr="00862835" w:rsidRDefault="00862835" w:rsidP="00862835">
      <w:pPr>
        <w:pStyle w:val="m-3204913092636764702gmail-msonormal"/>
        <w:numPr>
          <w:ilvl w:val="1"/>
          <w:numId w:val="1"/>
        </w:numPr>
        <w:shd w:val="clear" w:color="auto" w:fill="FFFFFF"/>
        <w:spacing w:after="0" w:afterAutospacing="0"/>
        <w:rPr>
          <w:color w:val="222222"/>
        </w:rPr>
      </w:pPr>
      <w:r>
        <w:t xml:space="preserve">Issues influenced the analysis of this data set: 1) the potential for multicollinearity when a large number of independent variables are involved; 2) the choice of variables for, and the comprehensibility of, regression equations. </w:t>
      </w:r>
    </w:p>
    <w:p w:rsidR="00D3718B" w:rsidRPr="00CC02CB" w:rsidRDefault="00D3718B" w:rsidP="005333B0">
      <w:pPr>
        <w:pStyle w:val="m-3204913092636764702gmail-msonormal"/>
        <w:numPr>
          <w:ilvl w:val="0"/>
          <w:numId w:val="1"/>
        </w:numPr>
        <w:shd w:val="clear" w:color="auto" w:fill="FFFFFF"/>
        <w:spacing w:after="0" w:afterAutospacing="0"/>
        <w:rPr>
          <w:color w:val="222222"/>
        </w:rPr>
      </w:pPr>
      <w:r>
        <w:rPr>
          <w:color w:val="222222"/>
        </w:rPr>
        <w:lastRenderedPageBreak/>
        <w:t>Co</w:t>
      </w:r>
      <w:r w:rsidR="00CC02CB">
        <w:rPr>
          <w:color w:val="222222"/>
        </w:rPr>
        <w:t>l</w:t>
      </w:r>
      <w:r>
        <w:rPr>
          <w:color w:val="222222"/>
        </w:rPr>
        <w:t>linearity</w:t>
      </w:r>
    </w:p>
    <w:p w:rsidR="005A605F" w:rsidRPr="005A605F" w:rsidRDefault="005A605F" w:rsidP="00862835">
      <w:pPr>
        <w:pStyle w:val="m-3204913092636764702gmail-msonormal"/>
        <w:numPr>
          <w:ilvl w:val="1"/>
          <w:numId w:val="1"/>
        </w:numPr>
        <w:shd w:val="clear" w:color="auto" w:fill="FFFFFF"/>
        <w:spacing w:after="0" w:afterAutospacing="0"/>
        <w:rPr>
          <w:color w:val="222222"/>
        </w:rPr>
      </w:pPr>
      <w:r>
        <w:rPr>
          <w:rFonts w:ascii="Palatino Linotype" w:hAnsi="Palatino Linotype"/>
          <w:color w:val="222222"/>
          <w:spacing w:val="3"/>
          <w:sz w:val="22"/>
          <w:szCs w:val="22"/>
          <w:shd w:val="clear" w:color="auto" w:fill="FFFFFF"/>
        </w:rPr>
        <w:t>Variance inflation factors (VIFs) were calculated to check for the presence of multicollinearity among the remaining predictor variables in the model. Predictor variables with VIFs greater than ten were considered an indicator of multicollinearity in the model [</w:t>
      </w:r>
      <w:proofErr w:type="spellStart"/>
      <w:r>
        <w:rPr>
          <w:rFonts w:ascii="Palatino Linotype" w:hAnsi="Palatino Linotype"/>
          <w:spacing w:val="3"/>
          <w:sz w:val="22"/>
          <w:szCs w:val="22"/>
          <w:shd w:val="clear" w:color="auto" w:fill="FFFFFF"/>
        </w:rPr>
        <w:t>Sheskin</w:t>
      </w:r>
      <w:proofErr w:type="spellEnd"/>
      <w:r>
        <w:rPr>
          <w:rFonts w:ascii="Palatino Linotype" w:hAnsi="Palatino Linotype"/>
          <w:spacing w:val="3"/>
          <w:sz w:val="22"/>
          <w:szCs w:val="22"/>
          <w:shd w:val="clear" w:color="auto" w:fill="FFFFFF"/>
        </w:rPr>
        <w:t xml:space="preserve"> 20</w:t>
      </w:r>
      <w:bookmarkStart w:id="3" w:name="_GoBack"/>
      <w:bookmarkEnd w:id="3"/>
      <w:r>
        <w:rPr>
          <w:rFonts w:ascii="Palatino Linotype" w:hAnsi="Palatino Linotype"/>
          <w:spacing w:val="3"/>
          <w:sz w:val="22"/>
          <w:szCs w:val="22"/>
          <w:shd w:val="clear" w:color="auto" w:fill="FFFFFF"/>
        </w:rPr>
        <w:t>07</w:t>
      </w:r>
      <w:r>
        <w:rPr>
          <w:rFonts w:ascii="Palatino Linotype" w:hAnsi="Palatino Linotype"/>
          <w:color w:val="222222"/>
          <w:spacing w:val="3"/>
          <w:sz w:val="22"/>
          <w:szCs w:val="22"/>
          <w:shd w:val="clear" w:color="auto" w:fill="FFFFFF"/>
        </w:rPr>
        <w:t>].</w:t>
      </w:r>
    </w:p>
    <w:p w:rsidR="0081770B" w:rsidRPr="0081770B" w:rsidRDefault="0081770B" w:rsidP="00862835">
      <w:pPr>
        <w:pStyle w:val="m-3204913092636764702gmail-msonormal"/>
        <w:numPr>
          <w:ilvl w:val="1"/>
          <w:numId w:val="1"/>
        </w:numPr>
        <w:shd w:val="clear" w:color="auto" w:fill="FFFFFF"/>
        <w:spacing w:after="0" w:afterAutospacing="0"/>
        <w:rPr>
          <w:color w:val="222222"/>
        </w:rPr>
      </w:pPr>
      <w:r>
        <w:rPr>
          <w:color w:val="222222"/>
        </w:rPr>
        <w:t xml:space="preserve">Latent variables – overfitting may occur, independent (validation) data used to determine the optimal number of latent variables (?? Maybe </w:t>
      </w:r>
      <w:proofErr w:type="spellStart"/>
      <w:r>
        <w:rPr>
          <w:color w:val="222222"/>
        </w:rPr>
        <w:t>Naesset</w:t>
      </w:r>
      <w:proofErr w:type="spellEnd"/>
      <w:r>
        <w:rPr>
          <w:color w:val="222222"/>
        </w:rPr>
        <w:t xml:space="preserve"> e </w:t>
      </w:r>
      <w:proofErr w:type="spellStart"/>
      <w:r>
        <w:rPr>
          <w:color w:val="222222"/>
        </w:rPr>
        <w:t>tal</w:t>
      </w:r>
      <w:proofErr w:type="spellEnd"/>
      <w:r>
        <w:rPr>
          <w:color w:val="222222"/>
        </w:rPr>
        <w:t xml:space="preserve"> 2005)</w:t>
      </w:r>
    </w:p>
    <w:p w:rsidR="00862835" w:rsidRPr="00862835" w:rsidRDefault="00862835" w:rsidP="00862835">
      <w:pPr>
        <w:pStyle w:val="m-3204913092636764702gmail-msonormal"/>
        <w:numPr>
          <w:ilvl w:val="1"/>
          <w:numId w:val="1"/>
        </w:numPr>
        <w:shd w:val="clear" w:color="auto" w:fill="FFFFFF"/>
        <w:spacing w:after="0" w:afterAutospacing="0"/>
        <w:rPr>
          <w:color w:val="222222"/>
        </w:rPr>
      </w:pPr>
      <w:r>
        <w:t xml:space="preserve">To address multicollinearity, principle components analysis (PCA) was used to select a reduced set of explanatory variables for both </w:t>
      </w:r>
      <w:proofErr w:type="spellStart"/>
      <w:r>
        <w:t>dependant</w:t>
      </w:r>
      <w:proofErr w:type="spellEnd"/>
      <w:r>
        <w:t xml:space="preserve"> (field) and independent (</w:t>
      </w:r>
      <w:proofErr w:type="spellStart"/>
      <w:r>
        <w:t>lidar</w:t>
      </w:r>
      <w:proofErr w:type="spellEnd"/>
      <w:r>
        <w:t xml:space="preserve">) data sets. Using the criteria of </w:t>
      </w:r>
      <w:proofErr w:type="spellStart"/>
      <w:r>
        <w:t>Isebrands</w:t>
      </w:r>
      <w:proofErr w:type="spellEnd"/>
      <w:r>
        <w:t xml:space="preserve"> and Crow (1975), all principle components with eigenvalues greater than 1.0 and the first component with an eigenvalue less than 1.0 were considered significant and retained. The field or </w:t>
      </w:r>
      <w:proofErr w:type="spellStart"/>
      <w:r>
        <w:t>lidar</w:t>
      </w:r>
      <w:proofErr w:type="spellEnd"/>
      <w:r>
        <w:t xml:space="preserve"> variables with the highest correlation with each significant component were identified and composed the reduced set of variables. Although they didn’t meet the criteria, mean tree height and mean tree age were included as part of the reduced field data set because they are the most commonly used indicators of stand structure development. CCA was used to further reduce data redundancy. The output from CCA is two (or more) sets of canonical variables with one set calculated from each of the multivariate data sets, in this case the </w:t>
      </w:r>
      <w:proofErr w:type="spellStart"/>
      <w:r>
        <w:t>lidar</w:t>
      </w:r>
      <w:proofErr w:type="spellEnd"/>
      <w:r>
        <w:t xml:space="preserve"> and field data sets. CCA maximizes correlations between each set of canonical variables, which is used to reveal the common structure between two (or more) multivariate data sets (</w:t>
      </w:r>
      <w:proofErr w:type="spellStart"/>
      <w:r>
        <w:t>McGarigal</w:t>
      </w:r>
      <w:proofErr w:type="spellEnd"/>
      <w:r>
        <w:t xml:space="preserve"> et al. 2000). Each set of canonical variables identifies general trends in a suite of variables rather than selecting specific independent variables, which often have correlations with more than one general trend in forest stand structure. Previous results (</w:t>
      </w:r>
      <w:proofErr w:type="spellStart"/>
      <w:r>
        <w:t>Lefsky</w:t>
      </w:r>
      <w:proofErr w:type="spellEnd"/>
      <w:r>
        <w:t xml:space="preserve"> et al. 2005a, 2005b) have indicated that using CCA components as independent variables results in more interpretable and parsimonious regression models. Sherrill et al 2008</w:t>
      </w:r>
    </w:p>
    <w:p w:rsidR="00D3718B" w:rsidRPr="00CC02CB" w:rsidRDefault="00D3718B" w:rsidP="00D3718B">
      <w:pPr>
        <w:pStyle w:val="m-3204913092636764702gmail-msonormal"/>
        <w:numPr>
          <w:ilvl w:val="1"/>
          <w:numId w:val="1"/>
        </w:numPr>
        <w:shd w:val="clear" w:color="auto" w:fill="FFFFFF"/>
        <w:spacing w:after="0" w:afterAutospacing="0"/>
        <w:rPr>
          <w:color w:val="222222"/>
        </w:rPr>
      </w:pPr>
      <w:r w:rsidRPr="00CC02CB">
        <w:rPr>
          <w:color w:val="505050"/>
        </w:rPr>
        <w:t>Principal component analysis based on the correlation matrix was used to assess the presence of collinearity in the regression analysis. The square root of the largest eigenvalue divided by the smallest eigenvalue (condition number, </w:t>
      </w:r>
      <w:r w:rsidRPr="00CC02CB">
        <w:rPr>
          <w:rStyle w:val="Emphasis"/>
          <w:color w:val="505050"/>
        </w:rPr>
        <w:t>κ</w:t>
      </w:r>
      <w:r w:rsidRPr="00CC02CB">
        <w:rPr>
          <w:color w:val="505050"/>
        </w:rPr>
        <w:t>) was used as a means for suggesting collinearity. A condition number larger than 30 has been proposed to indicate collinearity </w:t>
      </w:r>
      <w:bookmarkStart w:id="4" w:name="bBIB34"/>
      <w:r w:rsidRPr="00CC02CB">
        <w:fldChar w:fldCharType="begin"/>
      </w:r>
      <w:r w:rsidRPr="00CC02CB">
        <w:instrText xml:space="preserve"> HYPERLINK "http://www.sciencedirect.com/science/article/pii/S0034425701002905" \l "BIB34" </w:instrText>
      </w:r>
      <w:r w:rsidRPr="00CC02CB">
        <w:fldChar w:fldCharType="separate"/>
      </w:r>
      <w:r w:rsidRPr="00CC02CB">
        <w:rPr>
          <w:rStyle w:val="Hyperlink"/>
          <w:color w:val="007398"/>
          <w:u w:val="none"/>
        </w:rPr>
        <w:t>(Weisberg, 1985)</w:t>
      </w:r>
      <w:r w:rsidRPr="00CC02CB">
        <w:fldChar w:fldCharType="end"/>
      </w:r>
      <w:bookmarkEnd w:id="4"/>
      <w:r w:rsidRPr="00CC02CB">
        <w:rPr>
          <w:color w:val="505050"/>
        </w:rPr>
        <w:t>. Some of the models initially suggested by the stepwise selection procedure were subject to serious collinearity. The models selected for further analysis were therefore those indicated by the stepwise procedure that fulfilled the requirement of </w:t>
      </w:r>
      <w:r w:rsidRPr="00CC02CB">
        <w:rPr>
          <w:rStyle w:val="Emphasis"/>
          <w:color w:val="505050"/>
        </w:rPr>
        <w:t>κ</w:t>
      </w:r>
      <w:r w:rsidRPr="00CC02CB">
        <w:rPr>
          <w:color w:val="505050"/>
        </w:rPr>
        <w:t>&lt;30. The maximum condition number of the selected models was 11.7 </w:t>
      </w:r>
      <w:bookmarkStart w:id="5" w:name="bTBL6"/>
      <w:r w:rsidRPr="00CC02CB">
        <w:fldChar w:fldCharType="begin"/>
      </w:r>
      <w:r w:rsidRPr="00CC02CB">
        <w:instrText xml:space="preserve"> HYPERLINK "http://www.sciencedirect.com/science/article/pii/S0034425701002905" \l "TBL6" </w:instrText>
      </w:r>
      <w:r w:rsidRPr="00CC02CB">
        <w:fldChar w:fldCharType="separate"/>
      </w:r>
      <w:r w:rsidRPr="00CC02CB">
        <w:rPr>
          <w:rStyle w:val="Hyperlink"/>
          <w:color w:val="007398"/>
          <w:u w:val="none"/>
        </w:rPr>
        <w:t>(Table 6)</w:t>
      </w:r>
      <w:r w:rsidRPr="00CC02CB">
        <w:fldChar w:fldCharType="end"/>
      </w:r>
      <w:bookmarkEnd w:id="5"/>
      <w:r w:rsidRPr="00CC02CB">
        <w:rPr>
          <w:color w:val="505050"/>
        </w:rPr>
        <w:t>, which indicated no serious collinearity problems of the final models.</w:t>
      </w:r>
      <w:r w:rsidR="00CC02CB" w:rsidRPr="00CC02CB">
        <w:rPr>
          <w:color w:val="505050"/>
        </w:rPr>
        <w:t xml:space="preserve"> (</w:t>
      </w:r>
      <w:proofErr w:type="spellStart"/>
      <w:r w:rsidR="00CC02CB" w:rsidRPr="00CC02CB">
        <w:rPr>
          <w:color w:val="505050"/>
        </w:rPr>
        <w:t>Naesset</w:t>
      </w:r>
      <w:proofErr w:type="spellEnd"/>
      <w:r w:rsidR="00CC02CB" w:rsidRPr="00CC02CB">
        <w:rPr>
          <w:color w:val="505050"/>
        </w:rPr>
        <w:t xml:space="preserve"> 2002)</w:t>
      </w:r>
    </w:p>
    <w:p w:rsidR="00B617E4" w:rsidRDefault="00B617E4" w:rsidP="00CC02CB">
      <w:pPr>
        <w:pStyle w:val="m-3204913092636764702gmail-msonormal"/>
        <w:numPr>
          <w:ilvl w:val="0"/>
          <w:numId w:val="1"/>
        </w:numPr>
        <w:shd w:val="clear" w:color="auto" w:fill="FFFFFF"/>
        <w:spacing w:after="0" w:afterAutospacing="0"/>
        <w:rPr>
          <w:color w:val="222222"/>
        </w:rPr>
      </w:pPr>
      <w:r>
        <w:rPr>
          <w:color w:val="222222"/>
        </w:rPr>
        <w:t>Lidar covariates:</w:t>
      </w:r>
    </w:p>
    <w:p w:rsidR="00B617E4" w:rsidRPr="000F4135" w:rsidRDefault="00B617E4" w:rsidP="00B617E4">
      <w:pPr>
        <w:pStyle w:val="m-3204913092636764702gmail-msonormal"/>
        <w:numPr>
          <w:ilvl w:val="1"/>
          <w:numId w:val="1"/>
        </w:numPr>
        <w:shd w:val="clear" w:color="auto" w:fill="FFFFFF"/>
        <w:spacing w:after="0" w:afterAutospacing="0"/>
        <w:rPr>
          <w:color w:val="222222"/>
        </w:rPr>
      </w:pPr>
      <w:r>
        <w:t xml:space="preserve">In this work, canonical correlation analysis of coincident </w:t>
      </w:r>
      <w:proofErr w:type="spellStart"/>
      <w:r>
        <w:t>lidar</w:t>
      </w:r>
      <w:proofErr w:type="spellEnd"/>
      <w:r>
        <w:t xml:space="preserve"> and field datasets in western Oregon and Washington is used to define seven statistically significant pairs of canonical variables, each defining an axis of variation that stand and canopy structure have in common. The first major axis relates mean stand height, and related variables, to aboveground biomass. The second relates canopy cover and volume to leaf area index and stem density. The third relates canopy height variability to mean stem diameter and the basal area of deciduous species. Of the </w:t>
      </w:r>
      <w:r>
        <w:lastRenderedPageBreak/>
        <w:t xml:space="preserve">four remaining axes, three are related to contrasts between mature and old-growth stands. Canonical correlation analysis provides a method for ranking the importance of these effects, and for placing both canopy and stand structure indices within the overall covariance structure of the two datasets. In this sense, and for the study area involved, the first three factors (mean height, cover or leaf index area, height variability) represent the same kind of enhancement of </w:t>
      </w:r>
      <w:proofErr w:type="spellStart"/>
      <w:r>
        <w:t>lidar</w:t>
      </w:r>
      <w:proofErr w:type="spellEnd"/>
      <w:r>
        <w:t xml:space="preserve"> data that the tasseled cap indices [Crist, C.P., R.C. </w:t>
      </w:r>
      <w:proofErr w:type="spellStart"/>
      <w:r>
        <w:t>Cicone</w:t>
      </w:r>
      <w:proofErr w:type="spellEnd"/>
      <w:r>
        <w:t xml:space="preserve">, f 984. A physically-based transformation of thematic mapper data-the TM tasseled cap. </w:t>
      </w:r>
      <w:proofErr w:type="spellStart"/>
      <w:r>
        <w:t>Lefksy</w:t>
      </w:r>
      <w:proofErr w:type="spellEnd"/>
      <w:r>
        <w:t xml:space="preserve"> et al 2005</w:t>
      </w:r>
      <w:r w:rsidR="00D4160E">
        <w:t xml:space="preserve"> B</w:t>
      </w:r>
      <w:r w:rsidR="00F9684A">
        <w:t xml:space="preserve">. </w:t>
      </w:r>
    </w:p>
    <w:p w:rsidR="000F4135" w:rsidRDefault="000F4135" w:rsidP="000F4135">
      <w:pPr>
        <w:pStyle w:val="m-3204913092636764702gmail-msonormal"/>
        <w:shd w:val="clear" w:color="auto" w:fill="FFFFFF"/>
        <w:spacing w:after="0" w:afterAutospacing="0"/>
        <w:rPr>
          <w:color w:val="222222"/>
        </w:rPr>
      </w:pPr>
      <w:r>
        <w:rPr>
          <w:color w:val="222222"/>
        </w:rPr>
        <w:t>Nice graphics by Sheridan:</w:t>
      </w:r>
    </w:p>
    <w:p w:rsidR="000F4135" w:rsidRDefault="000F4135" w:rsidP="000F4135">
      <w:pPr>
        <w:pStyle w:val="m-3204913092636764702gmail-msonormal"/>
        <w:shd w:val="clear" w:color="auto" w:fill="FFFFFF"/>
        <w:spacing w:after="0" w:afterAutospacing="0"/>
        <w:rPr>
          <w:color w:val="222222"/>
        </w:rPr>
      </w:pPr>
      <w:r>
        <w:rPr>
          <w:noProof/>
        </w:rPr>
        <w:drawing>
          <wp:inline distT="0" distB="0" distL="0" distR="0" wp14:anchorId="496EB80A" wp14:editId="3CCDB217">
            <wp:extent cx="54864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19450"/>
                    </a:xfrm>
                    <a:prstGeom prst="rect">
                      <a:avLst/>
                    </a:prstGeom>
                  </pic:spPr>
                </pic:pic>
              </a:graphicData>
            </a:graphic>
          </wp:inline>
        </w:drawing>
      </w:r>
    </w:p>
    <w:p w:rsidR="000F4135" w:rsidRDefault="000F4135" w:rsidP="000F4135">
      <w:pPr>
        <w:pStyle w:val="m-3204913092636764702gmail-msonormal"/>
        <w:shd w:val="clear" w:color="auto" w:fill="FFFFFF"/>
        <w:spacing w:after="0" w:afterAutospacing="0"/>
        <w:rPr>
          <w:color w:val="222222"/>
        </w:rPr>
      </w:pPr>
      <w:r>
        <w:rPr>
          <w:noProof/>
        </w:rPr>
        <w:lastRenderedPageBreak/>
        <w:drawing>
          <wp:inline distT="0" distB="0" distL="0" distR="0" wp14:anchorId="07FA55A9" wp14:editId="76F2CAD0">
            <wp:extent cx="53340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295775"/>
                    </a:xfrm>
                    <a:prstGeom prst="rect">
                      <a:avLst/>
                    </a:prstGeom>
                  </pic:spPr>
                </pic:pic>
              </a:graphicData>
            </a:graphic>
          </wp:inline>
        </w:drawing>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Environmental covariates:</w:t>
      </w:r>
    </w:p>
    <w:p w:rsidR="00687812"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 xml:space="preserve">Three sets of statistical analyses were performed. The first set of analyses compared three methods for relating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-measured canopy structure and field-measured stand structure. The second set of analyses tested the ability of environmental (topographic, climate and edaphic) indices to explain the residuals from the first set of regression analyses. The second analysis involved a second round of CCA to relate residuals from each of the three regression analyses to topography, climate and soils. The use of CCA in this context avoided the inflation of variance explained by the environmental variables that would have occurred if all the environmental variables had been included in the first set of regressions. Moreover, the subsequent CCA allowed us to define important environmental factors that influence the stand structure variables of interest. Finally, the environmental canonical variables and the </w:t>
      </w:r>
      <w:proofErr w:type="spellStart"/>
      <w:r>
        <w:rPr>
          <w:rFonts w:ascii="Arial" w:hAnsi="Arial" w:cs="Arial"/>
          <w:color w:val="505050"/>
          <w:sz w:val="27"/>
          <w:szCs w:val="27"/>
        </w:rPr>
        <w:t>lidar</w:t>
      </w:r>
      <w:proofErr w:type="spellEnd"/>
      <w:r>
        <w:rPr>
          <w:rFonts w:ascii="Arial" w:hAnsi="Arial" w:cs="Arial"/>
          <w:color w:val="505050"/>
          <w:sz w:val="27"/>
          <w:szCs w:val="27"/>
        </w:rPr>
        <w:t xml:space="preserve"> estimates of canopy structure were then used together to estimate stand structure.</w:t>
      </w:r>
      <w:r>
        <w:rPr>
          <w:color w:val="222222"/>
        </w:rPr>
        <w:t xml:space="preserve">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r>
        <w:rPr>
          <w:rFonts w:ascii="Arial" w:hAnsi="Arial" w:cs="Arial"/>
          <w:color w:val="505050"/>
          <w:sz w:val="27"/>
          <w:szCs w:val="27"/>
        </w:rPr>
        <w:t>.</w:t>
      </w:r>
    </w:p>
    <w:p w:rsidR="00687812" w:rsidRDefault="00687812" w:rsidP="00CC02CB">
      <w:pPr>
        <w:pStyle w:val="m-3204913092636764702gmail-msonormal"/>
        <w:numPr>
          <w:ilvl w:val="0"/>
          <w:numId w:val="1"/>
        </w:numPr>
        <w:shd w:val="clear" w:color="auto" w:fill="FFFFFF"/>
        <w:spacing w:after="0" w:afterAutospacing="0"/>
        <w:rPr>
          <w:color w:val="222222"/>
        </w:rPr>
      </w:pPr>
      <w:r>
        <w:rPr>
          <w:color w:val="222222"/>
        </w:rPr>
        <w:t>Model Selection:</w:t>
      </w:r>
    </w:p>
    <w:p w:rsidR="00687812" w:rsidRPr="00D4160E" w:rsidRDefault="00687812"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lastRenderedPageBreak/>
        <w:t>The regression methods used were 1) direct stepwise multiple regression with canopy structure variables (e.g. direct stepwise) which was used as a reference, 2) direct CCA with canopy structure variables (e.g. direct CCA) and 3) stepwise multiple regression with canonical </w:t>
      </w:r>
      <w:r>
        <w:rPr>
          <w:rStyle w:val="Emphasis"/>
          <w:rFonts w:ascii="Arial" w:hAnsi="Arial" w:cs="Arial"/>
          <w:color w:val="505050"/>
          <w:sz w:val="27"/>
          <w:szCs w:val="27"/>
        </w:rPr>
        <w:t>v</w:t>
      </w:r>
      <w:r>
        <w:rPr>
          <w:rFonts w:ascii="Arial" w:hAnsi="Arial" w:cs="Arial"/>
          <w:color w:val="505050"/>
          <w:sz w:val="27"/>
          <w:szCs w:val="27"/>
        </w:rPr>
        <w:t>ariables (referred to here as SCV). </w:t>
      </w:r>
      <w:r w:rsidR="002557A2">
        <w:rPr>
          <w:rFonts w:ascii="Arial" w:hAnsi="Arial" w:cs="Arial"/>
          <w:color w:val="505050"/>
          <w:sz w:val="27"/>
          <w:szCs w:val="27"/>
        </w:rPr>
        <w:t>(</w:t>
      </w:r>
      <w:proofErr w:type="spellStart"/>
      <w:r w:rsidR="002557A2">
        <w:rPr>
          <w:rFonts w:ascii="Arial" w:hAnsi="Arial" w:cs="Arial"/>
          <w:color w:val="505050"/>
          <w:sz w:val="27"/>
          <w:szCs w:val="27"/>
        </w:rPr>
        <w:t>Lefsky</w:t>
      </w:r>
      <w:proofErr w:type="spellEnd"/>
      <w:r w:rsidR="002557A2">
        <w:rPr>
          <w:rFonts w:ascii="Arial" w:hAnsi="Arial" w:cs="Arial"/>
          <w:color w:val="505050"/>
          <w:sz w:val="27"/>
          <w:szCs w:val="27"/>
        </w:rPr>
        <w:t xml:space="preserve"> et al 2005 A)</w:t>
      </w:r>
    </w:p>
    <w:p w:rsidR="00D4160E" w:rsidRDefault="00D4160E" w:rsidP="00687812">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 xml:space="preserve">Canonical correlation analysis: </w:t>
      </w:r>
      <w:proofErr w:type="spellStart"/>
      <w:r>
        <w:t>Lefsky</w:t>
      </w:r>
      <w:proofErr w:type="spellEnd"/>
      <w:r>
        <w:t xml:space="preserve"> et al 2005 B </w:t>
      </w:r>
      <w:r w:rsidR="002615BF">
        <w:t xml:space="preserve">use canonical correlation analysis to define pairs of canonical variables, each defining an axis of variation common to the canopy and stand structure datasets. In this way, the ranking of various effects can be understood as they relate to the explanation of variance in each dataset, and axes of variation that connect forest canopy and stand structure can be rigorously defined. Their </w:t>
      </w:r>
      <w:r>
        <w:t>goals are a better understanding of what each variable represents in the context of a suite of variables that define an axis of variation, and an understanding of what each axis of variation represents within the context of numerous axes of variation. In this way, we hope to avoid placing too much importance on any particular</w:t>
      </w:r>
    </w:p>
    <w:p w:rsidR="00CE72DC" w:rsidRDefault="00CE72DC" w:rsidP="00CC02CB">
      <w:pPr>
        <w:pStyle w:val="m-3204913092636764702gmail-msonormal"/>
        <w:numPr>
          <w:ilvl w:val="0"/>
          <w:numId w:val="1"/>
        </w:numPr>
        <w:shd w:val="clear" w:color="auto" w:fill="FFFFFF"/>
        <w:spacing w:after="0" w:afterAutospacing="0"/>
        <w:rPr>
          <w:color w:val="222222"/>
        </w:rPr>
      </w:pPr>
      <w:r>
        <w:rPr>
          <w:color w:val="222222"/>
        </w:rPr>
        <w:t>Models:</w:t>
      </w:r>
    </w:p>
    <w:p w:rsidR="00CE72DC" w:rsidRDefault="00CE72DC" w:rsidP="00CE72DC">
      <w:pPr>
        <w:pStyle w:val="m-3204913092636764702gmail-msonormal"/>
        <w:numPr>
          <w:ilvl w:val="1"/>
          <w:numId w:val="1"/>
        </w:numPr>
        <w:shd w:val="clear" w:color="auto" w:fill="FFFFFF"/>
        <w:spacing w:after="0" w:afterAutospacing="0"/>
        <w:rPr>
          <w:color w:val="222222"/>
        </w:rPr>
      </w:pPr>
      <w:proofErr w:type="spellStart"/>
      <w:r>
        <w:rPr>
          <w:color w:val="222222"/>
        </w:rPr>
        <w:t>Naesset</w:t>
      </w:r>
      <w:proofErr w:type="spellEnd"/>
      <w:r>
        <w:rPr>
          <w:color w:val="222222"/>
        </w:rPr>
        <w:t xml:space="preserve"> 2002</w:t>
      </w:r>
    </w:p>
    <w:p w:rsidR="00CE72DC" w:rsidRDefault="00CE72DC" w:rsidP="00CE72DC">
      <w:pPr>
        <w:pStyle w:val="m-3204913092636764702gmail-msonormal"/>
        <w:numPr>
          <w:ilvl w:val="2"/>
          <w:numId w:val="1"/>
        </w:numPr>
        <w:shd w:val="clear" w:color="auto" w:fill="FFFFFF"/>
        <w:spacing w:after="0" w:afterAutospacing="0"/>
        <w:rPr>
          <w:color w:val="222222"/>
        </w:rPr>
      </w:pPr>
      <w:r>
        <w:rPr>
          <w:color w:val="222222"/>
        </w:rPr>
        <w:t>Young stands: mean height of last returns, proportion last returns &gt; median/all</w:t>
      </w:r>
    </w:p>
    <w:p w:rsidR="00CE72DC" w:rsidRPr="008103E0" w:rsidRDefault="00CE72DC" w:rsidP="008103E0">
      <w:pPr>
        <w:pStyle w:val="m-3204913092636764702gmail-msonormal"/>
        <w:numPr>
          <w:ilvl w:val="2"/>
          <w:numId w:val="1"/>
        </w:numPr>
        <w:shd w:val="clear" w:color="auto" w:fill="FFFFFF"/>
        <w:spacing w:after="0" w:afterAutospacing="0"/>
        <w:rPr>
          <w:color w:val="222222"/>
        </w:rPr>
      </w:pPr>
      <w:r>
        <w:rPr>
          <w:color w:val="222222"/>
        </w:rPr>
        <w:t xml:space="preserve">Mature, poor quality: </w:t>
      </w:r>
      <w:r w:rsidR="008103E0">
        <w:rPr>
          <w:color w:val="222222"/>
        </w:rPr>
        <w:t>30</w:t>
      </w:r>
      <w:r w:rsidR="008103E0" w:rsidRPr="008103E0">
        <w:rPr>
          <w:color w:val="222222"/>
          <w:vertAlign w:val="superscript"/>
        </w:rPr>
        <w:t>th</w:t>
      </w:r>
      <w:r w:rsidR="008103E0">
        <w:rPr>
          <w:color w:val="222222"/>
        </w:rPr>
        <w:t xml:space="preserve"> percentile of first</w:t>
      </w:r>
      <w:r>
        <w:rPr>
          <w:color w:val="222222"/>
        </w:rPr>
        <w:t>; 50</w:t>
      </w:r>
      <w:r w:rsidRPr="00CE72DC">
        <w:rPr>
          <w:color w:val="222222"/>
          <w:vertAlign w:val="superscript"/>
        </w:rPr>
        <w:t>th</w:t>
      </w:r>
      <w:r>
        <w:rPr>
          <w:color w:val="222222"/>
        </w:rPr>
        <w:t xml:space="preserve"> percentile of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w:t>
      </w:r>
    </w:p>
    <w:p w:rsidR="008103E0" w:rsidRDefault="008103E0" w:rsidP="008103E0">
      <w:pPr>
        <w:pStyle w:val="m-3204913092636764702gmail-msonormal"/>
        <w:numPr>
          <w:ilvl w:val="2"/>
          <w:numId w:val="1"/>
        </w:numPr>
        <w:shd w:val="clear" w:color="auto" w:fill="FFFFFF"/>
        <w:spacing w:after="0" w:afterAutospacing="0"/>
        <w:rPr>
          <w:color w:val="222222"/>
        </w:rPr>
      </w:pPr>
      <w:r>
        <w:rPr>
          <w:color w:val="222222"/>
        </w:rPr>
        <w:t>Mature, good quality: 80</w:t>
      </w:r>
      <w:r w:rsidRPr="008103E0">
        <w:rPr>
          <w:color w:val="222222"/>
          <w:vertAlign w:val="superscript"/>
        </w:rPr>
        <w:t>th</w:t>
      </w:r>
      <w:r>
        <w:rPr>
          <w:color w:val="222222"/>
        </w:rPr>
        <w:t xml:space="preserve"> percentile of last; max first; proportion first returns &gt; 60</w:t>
      </w:r>
      <w:r w:rsidRPr="00CE72DC">
        <w:rPr>
          <w:color w:val="222222"/>
          <w:vertAlign w:val="superscript"/>
        </w:rPr>
        <w:t>th</w:t>
      </w:r>
      <w:r>
        <w:rPr>
          <w:color w:val="222222"/>
        </w:rPr>
        <w:t xml:space="preserve"> percentile/all; proportion first returns &gt; 90</w:t>
      </w:r>
      <w:r w:rsidRPr="00CE72DC">
        <w:rPr>
          <w:color w:val="222222"/>
          <w:vertAlign w:val="superscript"/>
        </w:rPr>
        <w:t>th</w:t>
      </w:r>
      <w:r>
        <w:rPr>
          <w:color w:val="222222"/>
        </w:rPr>
        <w:t xml:space="preserve"> percentile /all; proportion first returns &gt; 50</w:t>
      </w:r>
      <w:r w:rsidRPr="00CE72DC">
        <w:rPr>
          <w:color w:val="222222"/>
          <w:vertAlign w:val="superscript"/>
        </w:rPr>
        <w:t>th</w:t>
      </w:r>
      <w:r>
        <w:rPr>
          <w:color w:val="222222"/>
        </w:rPr>
        <w:t xml:space="preserve"> percentile /all</w:t>
      </w:r>
    </w:p>
    <w:p w:rsidR="00CE72DC" w:rsidRPr="00CE72DC" w:rsidRDefault="00CE72DC" w:rsidP="00CE72DC">
      <w:pPr>
        <w:pStyle w:val="m-3204913092636764702gmail-msonormal"/>
        <w:numPr>
          <w:ilvl w:val="2"/>
          <w:numId w:val="1"/>
        </w:numPr>
        <w:shd w:val="clear" w:color="auto" w:fill="FFFFFF"/>
        <w:spacing w:after="0" w:afterAutospacing="0"/>
        <w:rPr>
          <w:color w:val="222222"/>
        </w:rPr>
      </w:pPr>
    </w:p>
    <w:p w:rsidR="00717674" w:rsidRDefault="00717674" w:rsidP="00CC02CB">
      <w:pPr>
        <w:pStyle w:val="m-3204913092636764702gmail-msonormal"/>
        <w:numPr>
          <w:ilvl w:val="0"/>
          <w:numId w:val="1"/>
        </w:numPr>
        <w:shd w:val="clear" w:color="auto" w:fill="FFFFFF"/>
        <w:spacing w:after="0" w:afterAutospacing="0"/>
        <w:rPr>
          <w:color w:val="222222"/>
        </w:rPr>
      </w:pPr>
      <w:r>
        <w:rPr>
          <w:color w:val="222222"/>
        </w:rPr>
        <w:t>Goodness of fit:</w:t>
      </w:r>
    </w:p>
    <w:p w:rsidR="00F61573" w:rsidRDefault="00F61573" w:rsidP="00717674">
      <w:pPr>
        <w:pStyle w:val="m-3204913092636764702gmail-msonormal"/>
        <w:shd w:val="clear" w:color="auto" w:fill="FFFFFF"/>
        <w:spacing w:after="0" w:afterAutospacing="0"/>
        <w:rPr>
          <w:color w:val="222222"/>
        </w:rPr>
      </w:pPr>
      <w:r>
        <w:rPr>
          <w:color w:val="222222"/>
        </w:rPr>
        <w:t xml:space="preserve">Close agreement in magnitude between RMSE and </w:t>
      </w:r>
      <w:proofErr w:type="spellStart"/>
      <w:r>
        <w:rPr>
          <w:color w:val="222222"/>
        </w:rPr>
        <w:t>RMSEcrossval</w:t>
      </w:r>
      <w:proofErr w:type="spellEnd"/>
      <w:r>
        <w:rPr>
          <w:color w:val="222222"/>
        </w:rPr>
        <w:t xml:space="preserve"> suggests that the model is not </w:t>
      </w:r>
      <w:proofErr w:type="spellStart"/>
      <w:r>
        <w:rPr>
          <w:color w:val="222222"/>
        </w:rPr>
        <w:t>overfit</w:t>
      </w:r>
      <w:proofErr w:type="spellEnd"/>
      <w:r>
        <w:rPr>
          <w:color w:val="222222"/>
        </w:rPr>
        <w:t xml:space="preserve"> and suitable for generalization. </w:t>
      </w:r>
    </w:p>
    <w:p w:rsidR="00717674" w:rsidRDefault="00F61573" w:rsidP="00717674">
      <w:pPr>
        <w:pStyle w:val="m-3204913092636764702gmail-msonormal"/>
        <w:shd w:val="clear" w:color="auto" w:fill="FFFFFF"/>
        <w:spacing w:after="0" w:afterAutospacing="0"/>
        <w:rPr>
          <w:color w:val="222222"/>
        </w:rPr>
      </w:pPr>
      <w:proofErr w:type="spellStart"/>
      <w:r>
        <w:rPr>
          <w:color w:val="222222"/>
        </w:rPr>
        <w:t>Iid</w:t>
      </w:r>
      <w:proofErr w:type="spellEnd"/>
      <w:r>
        <w:rPr>
          <w:color w:val="222222"/>
        </w:rPr>
        <w:t xml:space="preserve"> - linear issues: </w:t>
      </w:r>
      <w:r w:rsidR="00717674">
        <w:rPr>
          <w:color w:val="222222"/>
        </w:rPr>
        <w:t>Over predicted low values (Li et al 2008</w:t>
      </w:r>
      <w:r w:rsidR="005D08DE">
        <w:rPr>
          <w:color w:val="222222"/>
        </w:rPr>
        <w:t>, Kim et al 2009</w:t>
      </w:r>
      <w:r w:rsidR="00717674">
        <w:rPr>
          <w:color w:val="222222"/>
        </w:rPr>
        <w:t>)</w:t>
      </w:r>
    </w:p>
    <w:p w:rsidR="00717674" w:rsidRPr="00717674" w:rsidRDefault="00955E12" w:rsidP="00717674">
      <w:pPr>
        <w:pStyle w:val="m-3204913092636764702gmail-msonormal"/>
        <w:shd w:val="clear" w:color="auto" w:fill="FFFFFF"/>
        <w:spacing w:after="0" w:afterAutospacing="0"/>
        <w:rPr>
          <w:color w:val="222222"/>
        </w:rPr>
      </w:pPr>
      <w:r>
        <w:rPr>
          <w:noProof/>
        </w:rPr>
        <w:lastRenderedPageBreak/>
        <w:drawing>
          <wp:inline distT="0" distB="0" distL="0" distR="0" wp14:anchorId="295D4046" wp14:editId="1968FE7C">
            <wp:extent cx="26765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781300"/>
                    </a:xfrm>
                    <a:prstGeom prst="rect">
                      <a:avLst/>
                    </a:prstGeom>
                  </pic:spPr>
                </pic:pic>
              </a:graphicData>
            </a:graphic>
          </wp:inline>
        </w:drawing>
      </w:r>
    </w:p>
    <w:p w:rsidR="00CC02CB" w:rsidRPr="00CC02CB" w:rsidRDefault="00CC02CB" w:rsidP="00CC02CB">
      <w:pPr>
        <w:pStyle w:val="m-3204913092636764702gmail-msonormal"/>
        <w:numPr>
          <w:ilvl w:val="0"/>
          <w:numId w:val="1"/>
        </w:numPr>
        <w:shd w:val="clear" w:color="auto" w:fill="FFFFFF"/>
        <w:spacing w:after="0" w:afterAutospacing="0"/>
        <w:rPr>
          <w:color w:val="222222"/>
        </w:rPr>
      </w:pPr>
      <w:r>
        <w:rPr>
          <w:color w:val="505050"/>
        </w:rPr>
        <w:t>Plot size</w:t>
      </w:r>
    </w:p>
    <w:p w:rsidR="00CC02CB" w:rsidRPr="00CE4479" w:rsidRDefault="00CC02CB" w:rsidP="00CC02CB">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The standard deviations between predicted and ground-truth values of the plots revealed by cross-validation were up to 160% larger than the corresponding standard deviations obtained for entire stands. The relationship between precision on small plots and entire stands illustrates two important aspects. First, small areas are subject to substantial inherent variation around canopy height quantiles leading to highly variable predictions (cf. </w:t>
      </w:r>
      <w:bookmarkStart w:id="6" w:name="bBIB17"/>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 xml:space="preserve">Magnussen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6"/>
      <w:r>
        <w:rPr>
          <w:rFonts w:ascii="Arial" w:hAnsi="Arial" w:cs="Arial"/>
          <w:color w:val="505050"/>
          <w:sz w:val="27"/>
          <w:szCs w:val="27"/>
        </w:rPr>
        <w:t>). The size of the sample plots and stand grid cells should therefore not be too small. 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p>
    <w:p w:rsidR="00CE4479" w:rsidRPr="00CE4479" w:rsidRDefault="00CE4479" w:rsidP="00CC02CB">
      <w:pPr>
        <w:pStyle w:val="m-3204913092636764702gmail-msonormal"/>
        <w:numPr>
          <w:ilvl w:val="1"/>
          <w:numId w:val="1"/>
        </w:numPr>
        <w:shd w:val="clear" w:color="auto" w:fill="FFFFFF"/>
        <w:spacing w:after="0" w:afterAutospacing="0"/>
        <w:rPr>
          <w:color w:val="222222"/>
        </w:rPr>
      </w:pP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11" w:anchor="CR40" w:tooltip="View reference" w:history="1">
        <w:r>
          <w:rPr>
            <w:rStyle w:val="Hyperlink"/>
            <w:rFonts w:ascii="Helvetica" w:hAnsi="Helvetica"/>
            <w:color w:val="8E2555"/>
            <w:spacing w:val="2"/>
            <w:sz w:val="26"/>
            <w:szCs w:val="26"/>
          </w:rPr>
          <w:t>2011b</w:t>
        </w:r>
      </w:hyperlink>
      <w:r>
        <w:rPr>
          <w:rFonts w:ascii="Georgia" w:hAnsi="Georgia"/>
          <w:color w:val="333333"/>
          <w:spacing w:val="2"/>
          <w:sz w:val="26"/>
          <w:szCs w:val="26"/>
          <w:shd w:val="clear" w:color="auto" w:fill="FCFCFC"/>
        </w:rPr>
        <w:t>).</w:t>
      </w:r>
    </w:p>
    <w:p w:rsidR="00CE4479" w:rsidRPr="000F4135" w:rsidRDefault="00CE4479" w:rsidP="00CC02CB">
      <w:pPr>
        <w:pStyle w:val="m-3204913092636764702gmail-msonormal"/>
        <w:numPr>
          <w:ilvl w:val="1"/>
          <w:numId w:val="1"/>
        </w:numPr>
        <w:shd w:val="clear" w:color="auto" w:fill="FFFFFF"/>
        <w:spacing w:after="0" w:afterAutospacing="0"/>
        <w:rPr>
          <w:color w:val="222222"/>
        </w:rPr>
      </w:pPr>
      <w:r>
        <w:rPr>
          <w:rFonts w:ascii="Georgia" w:hAnsi="Georgia"/>
          <w:color w:val="333333"/>
          <w:spacing w:val="2"/>
          <w:sz w:val="26"/>
          <w:szCs w:val="26"/>
          <w:shd w:val="clear" w:color="auto" w:fill="FCFCFC"/>
        </w:rPr>
        <w:t xml:space="preserve">See also </w:t>
      </w:r>
      <w:proofErr w:type="spellStart"/>
      <w:r>
        <w:rPr>
          <w:rFonts w:ascii="Georgia" w:hAnsi="Georgia"/>
          <w:color w:val="333333"/>
          <w:spacing w:val="2"/>
          <w:sz w:val="26"/>
          <w:szCs w:val="26"/>
          <w:shd w:val="clear" w:color="auto" w:fill="FCFCFC"/>
        </w:rPr>
        <w:t>Zolkos</w:t>
      </w:r>
      <w:proofErr w:type="spellEnd"/>
      <w:r w:rsidR="000F4135">
        <w:rPr>
          <w:rFonts w:ascii="Georgia" w:hAnsi="Georgia"/>
          <w:color w:val="333333"/>
          <w:spacing w:val="2"/>
          <w:sz w:val="26"/>
          <w:szCs w:val="26"/>
          <w:shd w:val="clear" w:color="auto" w:fill="FCFCFC"/>
        </w:rPr>
        <w:t>, Sheridan (image below)</w:t>
      </w:r>
    </w:p>
    <w:p w:rsidR="000F4135" w:rsidRPr="00CE72DC" w:rsidRDefault="000F4135" w:rsidP="00CC02CB">
      <w:pPr>
        <w:pStyle w:val="m-3204913092636764702gmail-msonormal"/>
        <w:numPr>
          <w:ilvl w:val="1"/>
          <w:numId w:val="1"/>
        </w:numPr>
        <w:shd w:val="clear" w:color="auto" w:fill="FFFFFF"/>
        <w:spacing w:after="0" w:afterAutospacing="0"/>
        <w:rPr>
          <w:color w:val="222222"/>
        </w:rPr>
      </w:pPr>
      <w:r>
        <w:rPr>
          <w:noProof/>
        </w:rPr>
        <w:lastRenderedPageBreak/>
        <w:drawing>
          <wp:inline distT="0" distB="0" distL="0" distR="0" wp14:anchorId="5E185494" wp14:editId="7D810394">
            <wp:extent cx="53244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314575"/>
                    </a:xfrm>
                    <a:prstGeom prst="rect">
                      <a:avLst/>
                    </a:prstGeom>
                  </pic:spPr>
                </pic:pic>
              </a:graphicData>
            </a:graphic>
          </wp:inline>
        </w:drawing>
      </w:r>
    </w:p>
    <w:p w:rsidR="0011131E" w:rsidRDefault="0011131E" w:rsidP="00CE72DC">
      <w:pPr>
        <w:pStyle w:val="m-3204913092636764702gmail-msonormal"/>
        <w:numPr>
          <w:ilvl w:val="0"/>
          <w:numId w:val="1"/>
        </w:numPr>
        <w:shd w:val="clear" w:color="auto" w:fill="FFFFFF"/>
        <w:spacing w:after="0" w:afterAutospacing="0"/>
        <w:rPr>
          <w:color w:val="222222"/>
        </w:rPr>
      </w:pPr>
      <w:r>
        <w:rPr>
          <w:color w:val="222222"/>
        </w:rPr>
        <w:t xml:space="preserve">Plots with small biomass, tree </w:t>
      </w:r>
      <w:proofErr w:type="spellStart"/>
      <w:r>
        <w:rPr>
          <w:color w:val="222222"/>
        </w:rPr>
        <w:t>dbh</w:t>
      </w:r>
      <w:proofErr w:type="spellEnd"/>
      <w:r>
        <w:rPr>
          <w:color w:val="222222"/>
        </w:rPr>
        <w:t xml:space="preserve"> threshold</w:t>
      </w:r>
    </w:p>
    <w:p w:rsidR="0011131E" w:rsidRDefault="0011131E" w:rsidP="0011131E">
      <w:pPr>
        <w:pStyle w:val="m-3204913092636764702gmail-msonormal"/>
        <w:numPr>
          <w:ilvl w:val="1"/>
          <w:numId w:val="1"/>
        </w:numPr>
        <w:shd w:val="clear" w:color="auto" w:fill="FFFFFF"/>
        <w:spacing w:after="0" w:afterAutospacing="0"/>
        <w:rPr>
          <w:color w:val="222222"/>
        </w:rPr>
      </w:pPr>
      <w:r>
        <w:t xml:space="preserve">The consequence of excluding trees with a small </w:t>
      </w:r>
      <w:proofErr w:type="spellStart"/>
      <w:r>
        <w:t>dbh</w:t>
      </w:r>
      <w:proofErr w:type="spellEnd"/>
      <w:r>
        <w:t xml:space="preserve"> from plots is that the biomass estimate may not be representative of the distributions of laser canopy heights, especially those with few trees.</w:t>
      </w:r>
    </w:p>
    <w:p w:rsidR="00CE72DC" w:rsidRDefault="00CE72DC" w:rsidP="00CE72DC">
      <w:pPr>
        <w:pStyle w:val="m-3204913092636764702gmail-msonormal"/>
        <w:numPr>
          <w:ilvl w:val="0"/>
          <w:numId w:val="1"/>
        </w:numPr>
        <w:shd w:val="clear" w:color="auto" w:fill="FFFFFF"/>
        <w:spacing w:after="0" w:afterAutospacing="0"/>
        <w:rPr>
          <w:color w:val="222222"/>
        </w:rPr>
      </w:pPr>
      <w:r>
        <w:rPr>
          <w:color w:val="222222"/>
        </w:rPr>
        <w:t>Coefficient of determination:</w:t>
      </w:r>
    </w:p>
    <w:bookmarkStart w:id="7" w:name="bBIB19"/>
    <w:p w:rsidR="00CE72DC" w:rsidRPr="00CE72DC" w:rsidRDefault="00CE72DC" w:rsidP="00CE72DC">
      <w:pPr>
        <w:pStyle w:val="m-3204913092636764702gmail-msonormal"/>
        <w:numPr>
          <w:ilvl w:val="1"/>
          <w:numId w:val="1"/>
        </w:numPr>
        <w:shd w:val="clear" w:color="auto" w:fill="FFFFFF"/>
        <w:spacing w:after="0" w:afterAutospacing="0"/>
        <w:rPr>
          <w:color w:val="222222"/>
        </w:rPr>
      </w:pPr>
      <w:r>
        <w:fldChar w:fldCharType="begin"/>
      </w:r>
      <w:r>
        <w:instrText xml:space="preserve"> HYPERLINK "http://www.sciencedirect.com/science/article/pii/S0034425701002905" \l "BIB19" </w:instrText>
      </w:r>
      <w:r>
        <w:fldChar w:fldCharType="separate"/>
      </w:r>
      <w:r>
        <w:rPr>
          <w:rStyle w:val="Hyperlink"/>
          <w:rFonts w:ascii="Arial" w:hAnsi="Arial" w:cs="Arial"/>
          <w:color w:val="007398"/>
          <w:sz w:val="27"/>
          <w:szCs w:val="27"/>
        </w:rPr>
        <w:t>Means et al. (2000)</w:t>
      </w:r>
      <w:r>
        <w:fldChar w:fldCharType="end"/>
      </w:r>
      <w:bookmarkEnd w:id="7"/>
      <w:r>
        <w:rPr>
          <w:rFonts w:ascii="Arial" w:hAnsi="Arial" w:cs="Arial"/>
          <w:color w:val="505050"/>
          <w:sz w:val="27"/>
          <w:szCs w:val="27"/>
        </w:rPr>
        <w:t>reported </w:t>
      </w:r>
      <w:r>
        <w:rPr>
          <w:rStyle w:val="Emphasis"/>
          <w:rFonts w:ascii="Arial" w:hAnsi="Arial" w:cs="Arial"/>
          <w:color w:val="505050"/>
          <w:sz w:val="27"/>
          <w:szCs w:val="27"/>
        </w:rPr>
        <w:t>R</w:t>
      </w:r>
      <w:r>
        <w:rPr>
          <w:rFonts w:ascii="Arial" w:hAnsi="Arial" w:cs="Arial"/>
          <w:color w:val="505050"/>
          <w:vertAlign w:val="superscript"/>
        </w:rPr>
        <w:t>2</w:t>
      </w:r>
      <w:r>
        <w:rPr>
          <w:rFonts w:ascii="Arial" w:hAnsi="Arial" w:cs="Arial"/>
          <w:color w:val="505050"/>
          <w:sz w:val="27"/>
          <w:szCs w:val="27"/>
        </w:rPr>
        <w:t> values for volume at .95–.97 for 2500 m</w:t>
      </w:r>
      <w:r>
        <w:rPr>
          <w:rFonts w:ascii="Arial" w:hAnsi="Arial" w:cs="Arial"/>
          <w:color w:val="505050"/>
          <w:vertAlign w:val="superscript"/>
        </w:rPr>
        <w:t>2</w:t>
      </w:r>
      <w:r>
        <w:rPr>
          <w:rFonts w:ascii="Arial" w:hAnsi="Arial" w:cs="Arial"/>
          <w:color w:val="505050"/>
          <w:sz w:val="27"/>
          <w:szCs w:val="27"/>
        </w:rPr>
        <w:t xml:space="preserve"> plots: </w:t>
      </w:r>
    </w:p>
    <w:p w:rsidR="00CE72DC" w:rsidRPr="00CE72DC" w:rsidRDefault="00CE72DC" w:rsidP="00CE72DC">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0.80–.93 200 m</w:t>
      </w:r>
      <w:r w:rsidRPr="00CE72DC">
        <w:rPr>
          <w:rFonts w:ascii="Arial" w:hAnsi="Arial" w:cs="Arial"/>
          <w:color w:val="505050"/>
          <w:sz w:val="27"/>
          <w:szCs w:val="27"/>
          <w:vertAlign w:val="superscript"/>
        </w:rPr>
        <w:t>2</w:t>
      </w:r>
      <w:r>
        <w:rPr>
          <w:rFonts w:ascii="Arial" w:hAnsi="Arial" w:cs="Arial"/>
          <w:color w:val="505050"/>
          <w:sz w:val="27"/>
          <w:szCs w:val="27"/>
        </w:rPr>
        <w:t xml:space="preserve"> plots</w:t>
      </w:r>
      <w:r w:rsidR="008103E0">
        <w:rPr>
          <w:rFonts w:ascii="Arial" w:hAnsi="Arial" w:cs="Arial"/>
          <w:color w:val="505050"/>
          <w:sz w:val="27"/>
          <w:szCs w:val="27"/>
        </w:rPr>
        <w:t xml:space="preserve"> </w:t>
      </w:r>
      <w:r>
        <w:rPr>
          <w:rFonts w:ascii="Arial" w:hAnsi="Arial" w:cs="Arial"/>
          <w:color w:val="505050"/>
          <w:sz w:val="27"/>
          <w:szCs w:val="27"/>
        </w:rPr>
        <w:t>(</w:t>
      </w:r>
      <w:proofErr w:type="spellStart"/>
      <w:r>
        <w:rPr>
          <w:rFonts w:ascii="Arial" w:hAnsi="Arial" w:cs="Arial"/>
          <w:color w:val="505050"/>
          <w:sz w:val="27"/>
          <w:szCs w:val="27"/>
        </w:rPr>
        <w:t>Naesset</w:t>
      </w:r>
      <w:proofErr w:type="spellEnd"/>
      <w:r>
        <w:rPr>
          <w:rFonts w:ascii="Arial" w:hAnsi="Arial" w:cs="Arial"/>
          <w:color w:val="505050"/>
          <w:sz w:val="27"/>
          <w:szCs w:val="27"/>
        </w:rPr>
        <w:t xml:space="preserve"> 2002). </w:t>
      </w:r>
    </w:p>
    <w:p w:rsidR="00CE72DC" w:rsidRPr="005333B0" w:rsidRDefault="00CE72DC" w:rsidP="00CE72DC">
      <w:pPr>
        <w:pStyle w:val="m-3204913092636764702gmail-msonormal"/>
        <w:numPr>
          <w:ilvl w:val="1"/>
          <w:numId w:val="1"/>
        </w:numPr>
        <w:shd w:val="clear" w:color="auto" w:fill="FFFFFF"/>
        <w:spacing w:after="0" w:afterAutospacing="0"/>
        <w:rPr>
          <w:color w:val="222222"/>
        </w:rPr>
      </w:pPr>
      <w:proofErr w:type="gramStart"/>
      <w:r>
        <w:rPr>
          <w:rFonts w:ascii="Arial" w:hAnsi="Arial" w:cs="Arial"/>
          <w:color w:val="505050"/>
          <w:sz w:val="27"/>
          <w:szCs w:val="27"/>
        </w:rPr>
        <w:t>estimation</w:t>
      </w:r>
      <w:proofErr w:type="gramEnd"/>
      <w:r>
        <w:rPr>
          <w:rFonts w:ascii="Arial" w:hAnsi="Arial" w:cs="Arial"/>
          <w:color w:val="505050"/>
          <w:sz w:val="27"/>
          <w:szCs w:val="27"/>
        </w:rPr>
        <w:t xml:space="preserve"> of volume in stands with an average area of 1.5 ha </w:t>
      </w:r>
      <w:bookmarkStart w:id="8" w:name="bBIB24"/>
      <w:r>
        <w:fldChar w:fldCharType="begin"/>
      </w:r>
      <w:r>
        <w:instrText xml:space="preserve"> HYPERLINK "http://www.sciencedirect.com/science/article/pii/S0034425701002905" \l "BIB24" </w:instrText>
      </w:r>
      <w:r>
        <w:fldChar w:fldCharType="separate"/>
      </w:r>
      <w:r>
        <w:rPr>
          <w:rStyle w:val="Hyperlink"/>
          <w:rFonts w:ascii="Arial" w:hAnsi="Arial" w:cs="Arial"/>
          <w:color w:val="007398"/>
          <w:sz w:val="27"/>
          <w:szCs w:val="27"/>
        </w:rPr>
        <w:t>(</w:t>
      </w:r>
      <w:proofErr w:type="spellStart"/>
      <w:r>
        <w:rPr>
          <w:rStyle w:val="Hyperlink"/>
          <w:rFonts w:ascii="Arial" w:hAnsi="Arial" w:cs="Arial"/>
          <w:color w:val="007398"/>
          <w:sz w:val="27"/>
          <w:szCs w:val="27"/>
        </w:rPr>
        <w:t>Næsset</w:t>
      </w:r>
      <w:proofErr w:type="spellEnd"/>
      <w:r>
        <w:rPr>
          <w:rStyle w:val="Hyperlink"/>
          <w:rFonts w:ascii="Arial" w:hAnsi="Arial" w:cs="Arial"/>
          <w:color w:val="007398"/>
          <w:sz w:val="27"/>
          <w:szCs w:val="27"/>
        </w:rPr>
        <w:t>, 1997b)</w:t>
      </w:r>
      <w:r>
        <w:fldChar w:fldCharType="end"/>
      </w:r>
      <w:bookmarkEnd w:id="8"/>
      <w:r>
        <w:rPr>
          <w:rFonts w:ascii="Arial" w:hAnsi="Arial" w:cs="Arial"/>
          <w:color w:val="505050"/>
          <w:sz w:val="27"/>
          <w:szCs w:val="27"/>
        </w:rPr>
        <w:t> indicated smaller proportions of explained variation (46–89%) than the current trial.</w:t>
      </w:r>
    </w:p>
    <w:p w:rsidR="00D4160E" w:rsidRDefault="00D4160E">
      <w:r>
        <w:br w:type="page"/>
      </w:r>
    </w:p>
    <w:p w:rsidR="008415E7" w:rsidRPr="008415E7" w:rsidRDefault="008415E7" w:rsidP="008415E7">
      <w:pPr>
        <w:rPr>
          <w:u w:val="single"/>
        </w:rPr>
      </w:pPr>
      <w:r w:rsidRPr="008415E7">
        <w:rPr>
          <w:u w:val="single"/>
        </w:rPr>
        <w:lastRenderedPageBreak/>
        <w:t>Lidar biomass estimation reviews:</w:t>
      </w:r>
    </w:p>
    <w:p w:rsidR="008415E7" w:rsidRDefault="008415E7" w:rsidP="008415E7">
      <w:proofErr w:type="spellStart"/>
      <w:r>
        <w:t>Zolkos</w:t>
      </w:r>
      <w:proofErr w:type="spellEnd"/>
      <w:r>
        <w:t xml:space="preserve"> et al 2013</w:t>
      </w:r>
    </w:p>
    <w:p w:rsidR="008415E7" w:rsidRDefault="008415E7" w:rsidP="008415E7">
      <w:r>
        <w:t xml:space="preserve">S.J. Goetz, R.O. </w:t>
      </w:r>
      <w:proofErr w:type="spellStart"/>
      <w:r>
        <w:t>Dubayah</w:t>
      </w:r>
      <w:proofErr w:type="spellEnd"/>
      <w:r>
        <w:t>. Advances in remote sensing technology and implications for measuring and monitoring forest carbon stocks and change Carbon Management, 2 (3) (2011), pp. 231-244.</w:t>
      </w:r>
    </w:p>
    <w:p w:rsidR="00D26F42" w:rsidRDefault="00D26F42" w:rsidP="008415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Petrokofsky</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Kanamaru</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Achard</w:t>
      </w:r>
      <w:proofErr w:type="spellEnd"/>
      <w:r>
        <w:rPr>
          <w:rFonts w:ascii="Arial" w:hAnsi="Arial" w:cs="Arial"/>
          <w:color w:val="222222"/>
          <w:sz w:val="20"/>
          <w:szCs w:val="20"/>
          <w:shd w:val="clear" w:color="auto" w:fill="FFFFFF"/>
        </w:rPr>
        <w:t xml:space="preserve">, F., Goetz, S. J., </w:t>
      </w:r>
      <w:proofErr w:type="spellStart"/>
      <w:r>
        <w:rPr>
          <w:rFonts w:ascii="Arial" w:hAnsi="Arial" w:cs="Arial"/>
          <w:color w:val="222222"/>
          <w:sz w:val="20"/>
          <w:szCs w:val="20"/>
          <w:shd w:val="clear" w:color="auto" w:fill="FFFFFF"/>
        </w:rPr>
        <w:t>Joosten</w:t>
      </w:r>
      <w:proofErr w:type="spellEnd"/>
      <w:r>
        <w:rPr>
          <w:rFonts w:ascii="Arial" w:hAnsi="Arial" w:cs="Arial"/>
          <w:color w:val="222222"/>
          <w:sz w:val="20"/>
          <w:szCs w:val="20"/>
          <w:shd w:val="clear" w:color="auto" w:fill="FFFFFF"/>
        </w:rPr>
        <w:t>, H., Holmgren, P</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Wattenbach</w:t>
      </w:r>
      <w:proofErr w:type="spellEnd"/>
      <w:r>
        <w:rPr>
          <w:rFonts w:ascii="Arial" w:hAnsi="Arial" w:cs="Arial"/>
          <w:color w:val="222222"/>
          <w:sz w:val="20"/>
          <w:szCs w:val="20"/>
          <w:shd w:val="clear" w:color="auto" w:fill="FFFFFF"/>
        </w:rPr>
        <w:t>, M. (2012). Comparison of methods for measuring and assessing carbon stocks and carbon stock changes in terrestrial carbon pools. How do the accuracy and precision of current methods compare? A systematic review protocol. </w:t>
      </w:r>
      <w:r>
        <w:rPr>
          <w:rFonts w:ascii="Arial" w:hAnsi="Arial" w:cs="Arial"/>
          <w:i/>
          <w:iCs/>
          <w:color w:val="222222"/>
          <w:sz w:val="20"/>
          <w:szCs w:val="20"/>
          <w:shd w:val="clear" w:color="auto" w:fill="FFFFFF"/>
        </w:rPr>
        <w:t>Environmental Evidence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6.</w:t>
      </w:r>
    </w:p>
    <w:p w:rsidR="008415E7" w:rsidRDefault="008415E7" w:rsidP="008415E7">
      <w:r>
        <w:t>Rosette, J. Suárez, R. Nelson, S. Los, B. Cook, P. North Lidar remote sensing for biomass assessment Remote Sensing of Biomass — Principles and Applications (2012), p. 24</w:t>
      </w:r>
    </w:p>
    <w:p w:rsidR="008415E7" w:rsidRDefault="008415E7" w:rsidP="008415E7">
      <w:r>
        <w:t xml:space="preserve">M.A. </w:t>
      </w:r>
      <w:proofErr w:type="spellStart"/>
      <w:r>
        <w:t>Wulder</w:t>
      </w:r>
      <w:proofErr w:type="spellEnd"/>
      <w:r>
        <w:t xml:space="preserve">, J.C. White, R.F. Nelson, E. </w:t>
      </w:r>
      <w:proofErr w:type="spellStart"/>
      <w:r>
        <w:t>Næsset</w:t>
      </w:r>
      <w:proofErr w:type="spellEnd"/>
      <w:r>
        <w:t xml:space="preserve">, H.O. </w:t>
      </w:r>
      <w:proofErr w:type="spellStart"/>
      <w:r>
        <w:t>Ørka</w:t>
      </w:r>
      <w:proofErr w:type="spellEnd"/>
      <w:r>
        <w:t>, N.C. Coops, et al. Lidar sampling for large-area forest characterization: A review Remote Sensing of Environment, 121 (2012), pp. 196-209</w:t>
      </w:r>
    </w:p>
    <w:p w:rsidR="008415E7" w:rsidRPr="008415E7" w:rsidRDefault="008415E7" w:rsidP="008415E7">
      <w:pPr>
        <w:rPr>
          <w:u w:val="single"/>
        </w:rPr>
      </w:pPr>
      <w:proofErr w:type="gramStart"/>
      <w:r w:rsidRPr="008415E7">
        <w:rPr>
          <w:u w:val="single"/>
        </w:rPr>
        <w:t>forest</w:t>
      </w:r>
      <w:proofErr w:type="gramEnd"/>
      <w:r w:rsidRPr="008415E7">
        <w:rPr>
          <w:u w:val="single"/>
        </w:rPr>
        <w:t xml:space="preserve"> and </w:t>
      </w:r>
      <w:proofErr w:type="spellStart"/>
      <w:r w:rsidRPr="008415E7">
        <w:rPr>
          <w:u w:val="single"/>
        </w:rPr>
        <w:t>lidar</w:t>
      </w:r>
      <w:proofErr w:type="spellEnd"/>
      <w:r w:rsidRPr="008415E7">
        <w:rPr>
          <w:u w:val="single"/>
        </w:rPr>
        <w:t xml:space="preserve"> over view:</w:t>
      </w:r>
    </w:p>
    <w:p w:rsidR="008415E7" w:rsidRDefault="008415E7" w:rsidP="008415E7">
      <w:r>
        <w:t xml:space="preserve">R. </w:t>
      </w:r>
      <w:proofErr w:type="spellStart"/>
      <w:r>
        <w:t>Dubayah</w:t>
      </w:r>
      <w:proofErr w:type="spellEnd"/>
      <w:r>
        <w:t xml:space="preserve">, J.B. Drake Lidar remote sensing for forestry Journal of Forestry, 98 (2000), pp. 44-46 </w:t>
      </w:r>
    </w:p>
    <w:p w:rsidR="008415E7" w:rsidRPr="008415E7" w:rsidRDefault="008415E7" w:rsidP="008415E7">
      <w:pPr>
        <w:rPr>
          <w:u w:val="single"/>
        </w:rPr>
      </w:pPr>
      <w:r w:rsidRPr="008415E7">
        <w:rPr>
          <w:u w:val="single"/>
        </w:rPr>
        <w:t>Other</w:t>
      </w:r>
      <w:r>
        <w:rPr>
          <w:u w:val="single"/>
        </w:rPr>
        <w:t>:</w:t>
      </w:r>
    </w:p>
    <w:p w:rsidR="008F4302" w:rsidRDefault="00D4160E" w:rsidP="008415E7">
      <w:r>
        <w:t xml:space="preserve">Blair, J. B., Coyle, D. B., </w:t>
      </w:r>
      <w:proofErr w:type="spellStart"/>
      <w:r>
        <w:t>Bufton</w:t>
      </w:r>
      <w:proofErr w:type="spellEnd"/>
      <w:r>
        <w:t>, J. L., &amp; Harding, D. J. (1994). Optimization of an airborne laser altimeter for remote sensing of vegetation and tree canopies. Proceedings of the International Geosciences Remote Sensing Symposium (pp. 939-941). Pasadena, CA: California Institute of Technology.</w:t>
      </w:r>
    </w:p>
    <w:p w:rsidR="00B603FB" w:rsidRDefault="00B603FB" w:rsidP="00B603FB">
      <w:pPr>
        <w:spacing w:after="240" w:line="240" w:lineRule="auto"/>
      </w:pPr>
      <w:r w:rsidRPr="00B603FB">
        <w:t xml:space="preserve">Brown, P.M., D’Amico, D.R., Carpenter, A.T., Andrews, D., 2001. </w:t>
      </w:r>
      <w:r>
        <w:t>Restoration of montane ponderosa pine forests in the Colorado Front Range. Ecol. Restoration 19, 19–26.</w:t>
      </w:r>
    </w:p>
    <w:p w:rsidR="0044664C" w:rsidRDefault="0044664C" w:rsidP="0044664C">
      <w:pPr>
        <w:spacing w:after="240" w:line="240" w:lineRule="auto"/>
      </w:pPr>
      <w:r>
        <w:t>Flannigan, M.D., Van Wagner, C.E., 1991. Climate change and wildfire in Canada. Can. J. Forest Res. 21, 66–72.</w:t>
      </w:r>
    </w:p>
    <w:p w:rsidR="0044664C" w:rsidRDefault="0044664C" w:rsidP="0044664C">
      <w:pPr>
        <w:spacing w:after="240" w:line="240" w:lineRule="auto"/>
      </w:pPr>
      <w:proofErr w:type="spellStart"/>
      <w:r>
        <w:t>Fule</w:t>
      </w:r>
      <w:proofErr w:type="spellEnd"/>
      <w:r>
        <w:t>´, P.Z., Waltz, A.E.M., Covington, W.W., Heinlein, T.A., 2001. Measuring forest restoration effectiveness in reducing hazardous fuels. J. Forestry 99, 24–29.</w:t>
      </w:r>
    </w:p>
    <w:p w:rsidR="00D4160E" w:rsidRDefault="00D4160E" w:rsidP="0044664C">
      <w:pPr>
        <w:spacing w:after="240" w:line="240" w:lineRule="auto"/>
      </w:pPr>
      <w:r>
        <w:t xml:space="preserve">Harding, D. J., Blair, J. </w:t>
      </w:r>
      <w:proofErr w:type="gramStart"/>
      <w:r>
        <w:t>B..</w:t>
      </w:r>
      <w:proofErr w:type="gramEnd"/>
      <w:r>
        <w:t xml:space="preserve"> Garvin, J. B., &amp; Lawrence, W. T. (1994). Laser altimetry waveform measurement of vegetation canopy structure. Proceedings of the International Remote Sensing Symposium (pp. 1251 -1253). Pasadena, CA: California Institute of Technology. </w:t>
      </w:r>
    </w:p>
    <w:p w:rsidR="00D4160E" w:rsidRDefault="00D4160E" w:rsidP="008103E0">
      <w:pPr>
        <w:spacing w:after="240" w:line="240" w:lineRule="auto"/>
        <w:rPr>
          <w:rFonts w:ascii="Arial" w:eastAsia="Times New Roman" w:hAnsi="Arial" w:cs="Arial"/>
          <w:color w:val="505050"/>
          <w:sz w:val="20"/>
          <w:szCs w:val="20"/>
        </w:rPr>
      </w:pPr>
      <w:r>
        <w:t xml:space="preserve">Harding, D. </w:t>
      </w:r>
      <w:proofErr w:type="gramStart"/>
      <w:r>
        <w:t>J..</w:t>
      </w:r>
      <w:proofErr w:type="gramEnd"/>
      <w:r>
        <w:t xml:space="preserve"> </w:t>
      </w:r>
      <w:proofErr w:type="spellStart"/>
      <w:r>
        <w:t>Lefsky</w:t>
      </w:r>
      <w:proofErr w:type="spellEnd"/>
      <w:r>
        <w:t xml:space="preserve">, M. A., &amp; Parker, G. G. (2001). Lidar altimeter measurements of canopy structure: Methods and validation for </w:t>
      </w:r>
      <w:proofErr w:type="spellStart"/>
      <w:r>
        <w:t>closedcanopy</w:t>
      </w:r>
      <w:proofErr w:type="spellEnd"/>
      <w:r>
        <w:t xml:space="preserve"> </w:t>
      </w:r>
      <w:proofErr w:type="spellStart"/>
      <w:r>
        <w:t>br</w:t>
      </w:r>
      <w:proofErr w:type="spellEnd"/>
      <w:r w:rsidRPr="008103E0">
        <w:rPr>
          <w:rFonts w:ascii="Arial" w:eastAsia="Times New Roman" w:hAnsi="Arial" w:cs="Arial"/>
          <w:color w:val="505050"/>
          <w:sz w:val="20"/>
          <w:szCs w:val="20"/>
        </w:rPr>
        <w:t xml:space="preserve"> </w:t>
      </w:r>
    </w:p>
    <w:p w:rsidR="0044664C"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Houghton, R.A., Hackler, J.L., Lawrence, K.T., 2000. Changes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terrestrial carbon storage in the Uni</w:t>
      </w:r>
      <w:r>
        <w:rPr>
          <w:rFonts w:ascii="Arial" w:eastAsia="Times New Roman" w:hAnsi="Arial" w:cs="Arial"/>
          <w:color w:val="505050"/>
          <w:sz w:val="20"/>
          <w:szCs w:val="20"/>
        </w:rPr>
        <w:t xml:space="preserve">ted States. 2. The role of fire </w:t>
      </w:r>
      <w:r w:rsidRPr="0044664C">
        <w:rPr>
          <w:rFonts w:ascii="Arial" w:eastAsia="Times New Roman" w:hAnsi="Arial" w:cs="Arial"/>
          <w:color w:val="505050"/>
          <w:sz w:val="20"/>
          <w:szCs w:val="20"/>
        </w:rPr>
        <w:t xml:space="preserve">and fire management. Global Ecol. </w:t>
      </w:r>
      <w:proofErr w:type="spellStart"/>
      <w:r w:rsidRPr="0044664C">
        <w:rPr>
          <w:rFonts w:ascii="Arial" w:eastAsia="Times New Roman" w:hAnsi="Arial" w:cs="Arial"/>
          <w:color w:val="505050"/>
          <w:sz w:val="20"/>
          <w:szCs w:val="20"/>
        </w:rPr>
        <w:t>Biogeogr</w:t>
      </w:r>
      <w:proofErr w:type="spellEnd"/>
      <w:r w:rsidRPr="0044664C">
        <w:rPr>
          <w:rFonts w:ascii="Arial" w:eastAsia="Times New Roman" w:hAnsi="Arial" w:cs="Arial"/>
          <w:color w:val="505050"/>
          <w:sz w:val="20"/>
          <w:szCs w:val="20"/>
        </w:rPr>
        <w:t>. 9, 145–170</w:t>
      </w:r>
    </w:p>
    <w:p w:rsidR="008103E0" w:rsidRPr="0044664C" w:rsidRDefault="0044664C" w:rsidP="0044664C">
      <w:pPr>
        <w:spacing w:after="24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Kaufmann, M.R., Regan, C.M., Brown, P.M., 2000. Heterogeneity</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in ponderosa pine/Douglas fir forests: age and size structure in</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unlogged and logged landscap</w:t>
      </w:r>
      <w:r>
        <w:rPr>
          <w:rFonts w:ascii="Arial" w:eastAsia="Times New Roman" w:hAnsi="Arial" w:cs="Arial"/>
          <w:color w:val="505050"/>
          <w:sz w:val="20"/>
          <w:szCs w:val="20"/>
        </w:rPr>
        <w:t xml:space="preserve">es of central Colorado. Can. J. </w:t>
      </w:r>
      <w:r w:rsidRPr="0044664C">
        <w:rPr>
          <w:rFonts w:ascii="Arial" w:eastAsia="Times New Roman" w:hAnsi="Arial" w:cs="Arial"/>
          <w:color w:val="505050"/>
          <w:sz w:val="20"/>
          <w:szCs w:val="20"/>
        </w:rPr>
        <w:t>Forest Res. 30, 698–711.</w:t>
      </w:r>
      <w:r w:rsidRPr="0044664C">
        <w:rPr>
          <w:rFonts w:ascii="Arial" w:eastAsia="Times New Roman" w:hAnsi="Arial" w:cs="Arial"/>
          <w:color w:val="505050"/>
          <w:sz w:val="20"/>
          <w:szCs w:val="20"/>
        </w:rPr>
        <w:cr/>
      </w:r>
      <w:r w:rsidR="008103E0" w:rsidRPr="008103E0">
        <w:rPr>
          <w:rFonts w:ascii="Arial" w:eastAsia="Times New Roman" w:hAnsi="Arial" w:cs="Arial"/>
          <w:color w:val="505050"/>
          <w:sz w:val="20"/>
          <w:szCs w:val="20"/>
        </w:rPr>
        <w:t>M.A. Lefsky, D. Harding, W.B. Cohen, G. Parker, H.H. </w:t>
      </w:r>
      <w:proofErr w:type="spellStart"/>
      <w:r w:rsidR="008103E0" w:rsidRPr="008103E0">
        <w:rPr>
          <w:rFonts w:ascii="Arial" w:eastAsia="Times New Roman" w:hAnsi="Arial" w:cs="Arial"/>
          <w:color w:val="505050"/>
          <w:sz w:val="20"/>
          <w:szCs w:val="20"/>
        </w:rPr>
        <w:t>Shugart</w:t>
      </w:r>
      <w:r w:rsidR="008103E0" w:rsidRPr="008103E0">
        <w:rPr>
          <w:rFonts w:ascii="Arial" w:eastAsia="Times New Roman" w:hAnsi="Arial" w:cs="Arial"/>
          <w:b/>
          <w:bCs/>
          <w:color w:val="505050"/>
          <w:sz w:val="20"/>
          <w:szCs w:val="20"/>
        </w:rPr>
        <w:t>Surface</w:t>
      </w:r>
      <w:proofErr w:type="spellEnd"/>
      <w:r w:rsidR="008103E0" w:rsidRPr="008103E0">
        <w:rPr>
          <w:rFonts w:ascii="Arial" w:eastAsia="Times New Roman" w:hAnsi="Arial" w:cs="Arial"/>
          <w:b/>
          <w:bCs/>
          <w:color w:val="505050"/>
          <w:sz w:val="20"/>
          <w:szCs w:val="20"/>
        </w:rPr>
        <w:t xml:space="preserve"> </w:t>
      </w:r>
      <w:proofErr w:type="spellStart"/>
      <w:r w:rsidR="008103E0" w:rsidRPr="008103E0">
        <w:rPr>
          <w:rFonts w:ascii="Arial" w:eastAsia="Times New Roman" w:hAnsi="Arial" w:cs="Arial"/>
          <w:b/>
          <w:bCs/>
          <w:color w:val="505050"/>
          <w:sz w:val="20"/>
          <w:szCs w:val="20"/>
        </w:rPr>
        <w:t>lidar</w:t>
      </w:r>
      <w:proofErr w:type="spellEnd"/>
      <w:r w:rsidR="008103E0" w:rsidRPr="008103E0">
        <w:rPr>
          <w:rFonts w:ascii="Arial" w:eastAsia="Times New Roman" w:hAnsi="Arial" w:cs="Arial"/>
          <w:b/>
          <w:bCs/>
          <w:color w:val="505050"/>
          <w:sz w:val="20"/>
          <w:szCs w:val="20"/>
        </w:rPr>
        <w:t xml:space="preserve"> remote sensing of basal area and biomass in deciduous forests of eastern Maryland, USA</w:t>
      </w:r>
      <w:r w:rsidR="008103E0">
        <w:rPr>
          <w:rFonts w:ascii="Arial" w:eastAsia="Times New Roman" w:hAnsi="Arial" w:cs="Arial"/>
          <w:b/>
          <w:bCs/>
          <w:color w:val="505050"/>
          <w:sz w:val="20"/>
          <w:szCs w:val="20"/>
        </w:rPr>
        <w:t xml:space="preserve">. </w:t>
      </w:r>
      <w:r w:rsidR="008103E0" w:rsidRPr="008103E0">
        <w:rPr>
          <w:rFonts w:ascii="Arial" w:eastAsia="Times New Roman" w:hAnsi="Arial" w:cs="Arial"/>
          <w:color w:val="737373"/>
          <w:sz w:val="20"/>
          <w:szCs w:val="20"/>
        </w:rPr>
        <w:t>Remote Sensing of Environment, 67 (1999</w:t>
      </w:r>
      <w:r w:rsidR="00F9684A">
        <w:rPr>
          <w:rFonts w:ascii="Arial" w:eastAsia="Times New Roman" w:hAnsi="Arial" w:cs="Arial"/>
          <w:color w:val="737373"/>
          <w:sz w:val="20"/>
          <w:szCs w:val="20"/>
        </w:rPr>
        <w:t xml:space="preserve"> A</w:t>
      </w:r>
      <w:r w:rsidR="008103E0" w:rsidRPr="008103E0">
        <w:rPr>
          <w:rFonts w:ascii="Arial" w:eastAsia="Times New Roman" w:hAnsi="Arial" w:cs="Arial"/>
          <w:color w:val="737373"/>
          <w:sz w:val="20"/>
          <w:szCs w:val="20"/>
        </w:rPr>
        <w:t>), pp. 83-98</w:t>
      </w:r>
    </w:p>
    <w:p w:rsidR="00F9684A" w:rsidRPr="008103E0" w:rsidRDefault="00F9684A" w:rsidP="00F9684A">
      <w:pPr>
        <w:spacing w:after="24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lastRenderedPageBreak/>
        <w:t>M.A. Lefsky, W.B. Cohen, S.A. Acker, G.G. Parker, T.A. Spies, D. Harding</w:t>
      </w:r>
      <w:r w:rsidRPr="008103E0">
        <w:rPr>
          <w:rFonts w:ascii="Arial" w:eastAsia="Times New Roman" w:hAnsi="Arial" w:cs="Arial"/>
          <w:b/>
          <w:bCs/>
          <w:color w:val="505050"/>
          <w:sz w:val="20"/>
          <w:szCs w:val="20"/>
        </w:rPr>
        <w:t>Lidar remote sensing of the canopy structure and biophysical properties of Douglas-fir western hemlock forests</w:t>
      </w:r>
      <w:r>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Remote Sensing of Environment, 70 (1999</w:t>
      </w:r>
      <w:r>
        <w:rPr>
          <w:rFonts w:ascii="Arial" w:eastAsia="Times New Roman" w:hAnsi="Arial" w:cs="Arial"/>
          <w:color w:val="737373"/>
          <w:sz w:val="20"/>
          <w:szCs w:val="20"/>
        </w:rPr>
        <w:t xml:space="preserve"> B</w:t>
      </w:r>
      <w:r w:rsidRPr="008103E0">
        <w:rPr>
          <w:rFonts w:ascii="Arial" w:eastAsia="Times New Roman" w:hAnsi="Arial" w:cs="Arial"/>
          <w:color w:val="737373"/>
          <w:sz w:val="20"/>
          <w:szCs w:val="20"/>
        </w:rPr>
        <w:t>), pp. 339-361</w:t>
      </w:r>
    </w:p>
    <w:p w:rsid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Magnussen, P. </w:t>
      </w:r>
      <w:proofErr w:type="spellStart"/>
      <w:r w:rsidRPr="008103E0">
        <w:rPr>
          <w:rFonts w:ascii="Arial" w:eastAsia="Times New Roman" w:hAnsi="Arial" w:cs="Arial"/>
          <w:color w:val="505050"/>
          <w:sz w:val="20"/>
          <w:szCs w:val="20"/>
        </w:rPr>
        <w:t>Boudewyn</w:t>
      </w:r>
      <w:r w:rsidRPr="008103E0">
        <w:rPr>
          <w:rFonts w:ascii="Arial" w:eastAsia="Times New Roman" w:hAnsi="Arial" w:cs="Arial"/>
          <w:b/>
          <w:bCs/>
          <w:color w:val="505050"/>
          <w:sz w:val="20"/>
          <w:szCs w:val="20"/>
        </w:rPr>
        <w:t>Derivations</w:t>
      </w:r>
      <w:proofErr w:type="spellEnd"/>
      <w:r w:rsidRPr="008103E0">
        <w:rPr>
          <w:rFonts w:ascii="Arial" w:eastAsia="Times New Roman" w:hAnsi="Arial" w:cs="Arial"/>
          <w:b/>
          <w:bCs/>
          <w:color w:val="505050"/>
          <w:sz w:val="20"/>
          <w:szCs w:val="20"/>
        </w:rPr>
        <w:t xml:space="preserve"> of stand heights from airborne laser scanner data with canopy-based quantile estimators</w:t>
      </w:r>
      <w:r>
        <w:rPr>
          <w:rFonts w:ascii="Arial" w:eastAsia="Times New Roman" w:hAnsi="Arial" w:cs="Arial"/>
          <w:b/>
          <w:bCs/>
          <w:color w:val="505050"/>
          <w:sz w:val="20"/>
          <w:szCs w:val="20"/>
        </w:rPr>
        <w:t xml:space="preserve">. </w:t>
      </w:r>
      <w:r w:rsidRPr="008103E0">
        <w:rPr>
          <w:rFonts w:ascii="Arial" w:eastAsia="Times New Roman" w:hAnsi="Arial" w:cs="Arial"/>
          <w:color w:val="737373"/>
          <w:sz w:val="20"/>
          <w:szCs w:val="20"/>
        </w:rPr>
        <w:t>Canadian Journal of Forest Research, 28 (1998), pp. 1016-1031</w:t>
      </w:r>
    </w:p>
    <w:p w:rsidR="008103E0" w:rsidRDefault="008103E0" w:rsidP="008103E0">
      <w:pPr>
        <w:spacing w:after="0" w:line="240" w:lineRule="auto"/>
        <w:rPr>
          <w:rFonts w:ascii="Arial" w:eastAsia="Times New Roman" w:hAnsi="Arial" w:cs="Arial"/>
          <w:color w:val="737373"/>
          <w:sz w:val="20"/>
          <w:szCs w:val="20"/>
        </w:rPr>
      </w:pPr>
    </w:p>
    <w:p w:rsidR="008103E0" w:rsidRPr="008103E0" w:rsidRDefault="008103E0" w:rsidP="008103E0">
      <w:pPr>
        <w:spacing w:after="240"/>
        <w:rPr>
          <w:rFonts w:ascii="Arial" w:hAnsi="Arial" w:cs="Arial"/>
          <w:color w:val="505050"/>
          <w:sz w:val="20"/>
          <w:szCs w:val="20"/>
        </w:rPr>
      </w:pPr>
      <w:r>
        <w:rPr>
          <w:rFonts w:ascii="Arial" w:hAnsi="Arial" w:cs="Arial"/>
          <w:color w:val="505050"/>
          <w:sz w:val="20"/>
          <w:szCs w:val="20"/>
        </w:rPr>
        <w:t>J.E. Means, S.A. Acker, J.F. Brandon, M. Renslow, L. Emerson, C.J. Hendrix</w:t>
      </w:r>
      <w:r>
        <w:rPr>
          <w:rStyle w:val="Strong"/>
          <w:rFonts w:ascii="Arial" w:hAnsi="Arial" w:cs="Arial"/>
          <w:color w:val="505050"/>
          <w:sz w:val="20"/>
          <w:szCs w:val="20"/>
        </w:rPr>
        <w:t xml:space="preserve">Predicting forest stand characteristics with airborne scanning </w:t>
      </w:r>
      <w:proofErr w:type="spellStart"/>
      <w:r>
        <w:rPr>
          <w:rStyle w:val="Strong"/>
          <w:rFonts w:ascii="Arial" w:hAnsi="Arial" w:cs="Arial"/>
          <w:color w:val="505050"/>
          <w:sz w:val="20"/>
          <w:szCs w:val="20"/>
        </w:rPr>
        <w:t>lidar</w:t>
      </w:r>
      <w:proofErr w:type="spellEnd"/>
      <w:r>
        <w:rPr>
          <w:rFonts w:ascii="Arial" w:hAnsi="Arial" w:cs="Arial"/>
          <w:color w:val="505050"/>
          <w:sz w:val="20"/>
          <w:szCs w:val="20"/>
        </w:rPr>
        <w:t xml:space="preserve">. </w:t>
      </w:r>
      <w:r>
        <w:rPr>
          <w:rFonts w:ascii="Arial" w:hAnsi="Arial" w:cs="Arial"/>
          <w:color w:val="737373"/>
          <w:sz w:val="20"/>
          <w:szCs w:val="20"/>
        </w:rPr>
        <w:t>Photogrammetric Engineering and Remote Sensing, 66 (2000), pp. 1367-1371</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Moore, M.M., Covington, W.W., </w:t>
      </w:r>
      <w:proofErr w:type="spellStart"/>
      <w:r w:rsidRPr="0044664C">
        <w:rPr>
          <w:rFonts w:ascii="Arial" w:eastAsia="Times New Roman" w:hAnsi="Arial" w:cs="Arial"/>
          <w:color w:val="505050"/>
          <w:sz w:val="20"/>
          <w:szCs w:val="20"/>
        </w:rPr>
        <w:t>Fule</w:t>
      </w:r>
      <w:proofErr w:type="spellEnd"/>
      <w:r w:rsidRPr="0044664C">
        <w:rPr>
          <w:rFonts w:ascii="Arial" w:eastAsia="Times New Roman" w:hAnsi="Arial" w:cs="Arial"/>
          <w:color w:val="505050"/>
          <w:sz w:val="20"/>
          <w:szCs w:val="20"/>
        </w:rPr>
        <w:t>´, P.Z., 1999. Reference conditions</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and ecological restor</w:t>
      </w:r>
      <w:r>
        <w:rPr>
          <w:rFonts w:ascii="Arial" w:eastAsia="Times New Roman" w:hAnsi="Arial" w:cs="Arial"/>
          <w:color w:val="505050"/>
          <w:sz w:val="20"/>
          <w:szCs w:val="20"/>
        </w:rPr>
        <w:t xml:space="preserve">ation: a southwestern ponderosa </w:t>
      </w:r>
      <w:r w:rsidRPr="0044664C">
        <w:rPr>
          <w:rFonts w:ascii="Arial" w:eastAsia="Times New Roman" w:hAnsi="Arial" w:cs="Arial"/>
          <w:color w:val="505050"/>
          <w:sz w:val="20"/>
          <w:szCs w:val="20"/>
        </w:rPr>
        <w:t>pine perspective. Ecol. Appl. 9, 1266–1277.</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R. Nelson</w:t>
      </w:r>
      <w:r>
        <w:rPr>
          <w:rFonts w:ascii="Arial" w:eastAsia="Times New Roman" w:hAnsi="Arial" w:cs="Arial"/>
          <w:color w:val="505050"/>
          <w:sz w:val="20"/>
          <w:szCs w:val="20"/>
        </w:rPr>
        <w:t xml:space="preserve"> </w:t>
      </w:r>
      <w:r w:rsidRPr="008103E0">
        <w:rPr>
          <w:rFonts w:ascii="Arial" w:eastAsia="Times New Roman" w:hAnsi="Arial" w:cs="Arial"/>
          <w:b/>
          <w:bCs/>
          <w:color w:val="505050"/>
          <w:sz w:val="20"/>
          <w:szCs w:val="20"/>
        </w:rPr>
        <w:t>Modeling forest canopy heights: the effects of canopy shape</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327-334</w:t>
      </w:r>
    </w:p>
    <w:p w:rsidR="008103E0" w:rsidRPr="008103E0" w:rsidRDefault="008103E0" w:rsidP="008103E0">
      <w:pPr>
        <w:spacing w:after="0" w:line="240" w:lineRule="auto"/>
        <w:rPr>
          <w:rFonts w:ascii="Arial" w:eastAsia="Times New Roman" w:hAnsi="Arial" w:cs="Arial"/>
          <w:color w:val="505050"/>
          <w:sz w:val="20"/>
          <w:szCs w:val="20"/>
        </w:rPr>
      </w:pPr>
      <w:r w:rsidRPr="008103E0">
        <w:rPr>
          <w:rFonts w:ascii="Arial" w:eastAsia="Times New Roman" w:hAnsi="Arial" w:cs="Arial"/>
          <w:color w:val="505050"/>
          <w:sz w:val="20"/>
          <w:szCs w:val="20"/>
        </w:rPr>
        <w:br/>
        <w:t>R. Nelson, R. </w:t>
      </w:r>
      <w:proofErr w:type="spellStart"/>
      <w:r w:rsidRPr="008103E0">
        <w:rPr>
          <w:rFonts w:ascii="Arial" w:eastAsia="Times New Roman" w:hAnsi="Arial" w:cs="Arial"/>
          <w:color w:val="505050"/>
          <w:sz w:val="20"/>
          <w:szCs w:val="20"/>
        </w:rPr>
        <w:t>Oderwald</w:t>
      </w:r>
      <w:proofErr w:type="spellEnd"/>
      <w:r w:rsidRPr="008103E0">
        <w:rPr>
          <w:rFonts w:ascii="Arial" w:eastAsia="Times New Roman" w:hAnsi="Arial" w:cs="Arial"/>
          <w:color w:val="505050"/>
          <w:sz w:val="20"/>
          <w:szCs w:val="20"/>
        </w:rPr>
        <w:t>, G. </w:t>
      </w:r>
      <w:proofErr w:type="spellStart"/>
      <w:r w:rsidRPr="008103E0">
        <w:rPr>
          <w:rFonts w:ascii="Arial" w:eastAsia="Times New Roman" w:hAnsi="Arial" w:cs="Arial"/>
          <w:color w:val="505050"/>
          <w:sz w:val="20"/>
          <w:szCs w:val="20"/>
        </w:rPr>
        <w:t>Gregoire</w:t>
      </w:r>
      <w:r w:rsidRPr="008103E0">
        <w:rPr>
          <w:rFonts w:ascii="Arial" w:eastAsia="Times New Roman" w:hAnsi="Arial" w:cs="Arial"/>
          <w:b/>
          <w:bCs/>
          <w:color w:val="505050"/>
          <w:sz w:val="20"/>
          <w:szCs w:val="20"/>
        </w:rPr>
        <w:t>Separating</w:t>
      </w:r>
      <w:proofErr w:type="spellEnd"/>
      <w:r w:rsidRPr="008103E0">
        <w:rPr>
          <w:rFonts w:ascii="Arial" w:eastAsia="Times New Roman" w:hAnsi="Arial" w:cs="Arial"/>
          <w:b/>
          <w:bCs/>
          <w:color w:val="505050"/>
          <w:sz w:val="20"/>
          <w:szCs w:val="20"/>
        </w:rPr>
        <w:t xml:space="preserve"> the ground and airborne laser sampling phases to estimate tropical forest basal area, volume, and biomass</w:t>
      </w:r>
    </w:p>
    <w:p w:rsidR="008103E0" w:rsidRPr="008103E0" w:rsidRDefault="008103E0" w:rsidP="008103E0">
      <w:pPr>
        <w:spacing w:after="0" w:line="240" w:lineRule="auto"/>
        <w:rPr>
          <w:rFonts w:ascii="Arial" w:eastAsia="Times New Roman" w:hAnsi="Arial" w:cs="Arial"/>
          <w:color w:val="737373"/>
          <w:sz w:val="20"/>
          <w:szCs w:val="20"/>
        </w:rPr>
      </w:pPr>
      <w:r w:rsidRPr="008103E0">
        <w:rPr>
          <w:rFonts w:ascii="Arial" w:eastAsia="Times New Roman" w:hAnsi="Arial" w:cs="Arial"/>
          <w:color w:val="737373"/>
          <w:sz w:val="20"/>
          <w:szCs w:val="20"/>
        </w:rPr>
        <w:t>Remote Sensing of Environment, 60 (1997), pp. 311-326</w:t>
      </w:r>
    </w:p>
    <w:p w:rsidR="008103E0" w:rsidRDefault="0044664C" w:rsidP="0044664C">
      <w:proofErr w:type="spellStart"/>
      <w:r>
        <w:t>Overpeck</w:t>
      </w:r>
      <w:proofErr w:type="spellEnd"/>
      <w:r>
        <w:t>, J.T., Rind, D., Goldberg, R., 1990. Climate-induced changes in forest disturbance and vegetation. Nature 343, 51–53.</w:t>
      </w:r>
    </w:p>
    <w:p w:rsidR="0044664C" w:rsidRP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Perry, G.L.W., 1998. Current approaches to modelling the spread of</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wildland fire: a review. </w:t>
      </w:r>
      <w:proofErr w:type="spellStart"/>
      <w:r w:rsidRPr="0044664C">
        <w:rPr>
          <w:rFonts w:ascii="Arial" w:eastAsia="Times New Roman" w:hAnsi="Arial" w:cs="Arial"/>
          <w:color w:val="505050"/>
          <w:sz w:val="20"/>
          <w:szCs w:val="20"/>
        </w:rPr>
        <w:t>Prog</w:t>
      </w:r>
      <w:proofErr w:type="spellEnd"/>
      <w:r w:rsidRPr="0044664C">
        <w:rPr>
          <w:rFonts w:ascii="Arial" w:eastAsia="Times New Roman" w:hAnsi="Arial" w:cs="Arial"/>
          <w:color w:val="505050"/>
          <w:sz w:val="20"/>
          <w:szCs w:val="20"/>
        </w:rPr>
        <w:t xml:space="preserve">. Phys. </w:t>
      </w:r>
      <w:proofErr w:type="spellStart"/>
      <w:r w:rsidRPr="0044664C">
        <w:rPr>
          <w:rFonts w:ascii="Arial" w:eastAsia="Times New Roman" w:hAnsi="Arial" w:cs="Arial"/>
          <w:color w:val="505050"/>
          <w:sz w:val="20"/>
          <w:szCs w:val="20"/>
        </w:rPr>
        <w:t>Geogr</w:t>
      </w:r>
      <w:proofErr w:type="spellEnd"/>
      <w:r w:rsidRPr="0044664C">
        <w:rPr>
          <w:rFonts w:ascii="Arial" w:eastAsia="Times New Roman" w:hAnsi="Arial" w:cs="Arial"/>
          <w:color w:val="505050"/>
          <w:sz w:val="20"/>
          <w:szCs w:val="20"/>
        </w:rPr>
        <w:t>. 22, 222–245.</w:t>
      </w:r>
    </w:p>
    <w:p w:rsidR="0044664C" w:rsidRDefault="0044664C" w:rsidP="0044664C">
      <w:pPr>
        <w:spacing w:after="0" w:line="240" w:lineRule="auto"/>
        <w:rPr>
          <w:rFonts w:ascii="Arial" w:eastAsia="Times New Roman" w:hAnsi="Arial" w:cs="Arial"/>
          <w:color w:val="505050"/>
          <w:sz w:val="20"/>
          <w:szCs w:val="20"/>
        </w:rPr>
      </w:pPr>
      <w:r w:rsidRPr="0044664C">
        <w:rPr>
          <w:rFonts w:ascii="Arial" w:eastAsia="Times New Roman" w:hAnsi="Arial" w:cs="Arial"/>
          <w:color w:val="505050"/>
          <w:sz w:val="20"/>
          <w:szCs w:val="20"/>
        </w:rPr>
        <w:t xml:space="preserve">Weaver, H., 1959. Ecological changes in the ponderosa pine forest </w:t>
      </w:r>
      <w:r>
        <w:rPr>
          <w:rFonts w:ascii="Arial" w:eastAsia="Times New Roman" w:hAnsi="Arial" w:cs="Arial"/>
          <w:color w:val="505050"/>
          <w:sz w:val="20"/>
          <w:szCs w:val="20"/>
        </w:rPr>
        <w:t xml:space="preserve">of </w:t>
      </w:r>
      <w:r w:rsidRPr="0044664C">
        <w:rPr>
          <w:rFonts w:ascii="Arial" w:eastAsia="Times New Roman" w:hAnsi="Arial" w:cs="Arial"/>
          <w:color w:val="505050"/>
          <w:sz w:val="20"/>
          <w:szCs w:val="20"/>
        </w:rPr>
        <w:t>the Warm Springs Indian Reservation on Oregon. J. Forestry 57,</w:t>
      </w:r>
      <w:r>
        <w:rPr>
          <w:rFonts w:ascii="Arial" w:eastAsia="Times New Roman" w:hAnsi="Arial" w:cs="Arial"/>
          <w:color w:val="505050"/>
          <w:sz w:val="20"/>
          <w:szCs w:val="20"/>
        </w:rPr>
        <w:t xml:space="preserve"> </w:t>
      </w:r>
      <w:r w:rsidRPr="0044664C">
        <w:rPr>
          <w:rFonts w:ascii="Arial" w:eastAsia="Times New Roman" w:hAnsi="Arial" w:cs="Arial"/>
          <w:color w:val="505050"/>
          <w:sz w:val="20"/>
          <w:szCs w:val="20"/>
        </w:rPr>
        <w:t xml:space="preserve">15–20. </w:t>
      </w:r>
    </w:p>
    <w:p w:rsidR="008103E0" w:rsidRPr="008103E0" w:rsidRDefault="008103E0" w:rsidP="0044664C">
      <w:pPr>
        <w:spacing w:after="0" w:line="240" w:lineRule="auto"/>
        <w:rPr>
          <w:rFonts w:ascii="Arial" w:eastAsia="Times New Roman" w:hAnsi="Arial" w:cs="Arial"/>
          <w:color w:val="737373"/>
          <w:sz w:val="20"/>
          <w:szCs w:val="20"/>
        </w:rPr>
      </w:pPr>
      <w:r w:rsidRPr="008103E0">
        <w:rPr>
          <w:rFonts w:ascii="Arial" w:eastAsia="Times New Roman" w:hAnsi="Arial" w:cs="Arial"/>
          <w:color w:val="505050"/>
          <w:sz w:val="20"/>
          <w:szCs w:val="20"/>
        </w:rPr>
        <w:t>S. Weisberg</w:t>
      </w:r>
      <w:r w:rsidR="0044664C">
        <w:rPr>
          <w:rFonts w:ascii="Arial" w:eastAsia="Times New Roman" w:hAnsi="Arial" w:cs="Arial"/>
          <w:color w:val="505050"/>
          <w:sz w:val="20"/>
          <w:szCs w:val="20"/>
        </w:rPr>
        <w:t xml:space="preserve"> </w:t>
      </w:r>
      <w:r w:rsidRPr="008103E0">
        <w:rPr>
          <w:rFonts w:ascii="Arial" w:eastAsia="Times New Roman" w:hAnsi="Arial" w:cs="Arial"/>
          <w:color w:val="737373"/>
          <w:sz w:val="20"/>
          <w:szCs w:val="20"/>
        </w:rPr>
        <w:t>Applied linear regression (2nd ed.), Wiley, New York (1985)</w:t>
      </w:r>
      <w:r w:rsidR="0044664C">
        <w:rPr>
          <w:rFonts w:ascii="Arial" w:eastAsia="Times New Roman" w:hAnsi="Arial" w:cs="Arial"/>
          <w:color w:val="737373"/>
          <w:sz w:val="20"/>
          <w:szCs w:val="20"/>
        </w:rPr>
        <w:t xml:space="preserve"> </w:t>
      </w:r>
      <w:r w:rsidRPr="008103E0">
        <w:rPr>
          <w:rFonts w:ascii="Arial" w:eastAsia="Times New Roman" w:hAnsi="Arial" w:cs="Arial"/>
          <w:color w:val="737373"/>
          <w:sz w:val="20"/>
          <w:szCs w:val="20"/>
        </w:rPr>
        <w:t>324 pp.</w:t>
      </w:r>
    </w:p>
    <w:p w:rsidR="008103E0" w:rsidRDefault="008103E0"/>
    <w:p w:rsidR="00862835" w:rsidRDefault="00862835">
      <w:r>
        <w:rPr>
          <w:rFonts w:ascii="Arial" w:hAnsi="Arial" w:cs="Arial"/>
          <w:color w:val="222222"/>
          <w:sz w:val="20"/>
          <w:szCs w:val="20"/>
          <w:shd w:val="clear" w:color="auto" w:fill="FFFFFF"/>
        </w:rPr>
        <w:t xml:space="preserve">Beers, T. W., Dress, P. E., &amp; </w:t>
      </w:r>
      <w:proofErr w:type="spellStart"/>
      <w:r>
        <w:rPr>
          <w:rFonts w:ascii="Arial" w:hAnsi="Arial" w:cs="Arial"/>
          <w:color w:val="222222"/>
          <w:sz w:val="20"/>
          <w:szCs w:val="20"/>
          <w:shd w:val="clear" w:color="auto" w:fill="FFFFFF"/>
        </w:rPr>
        <w:t>Wensel</w:t>
      </w:r>
      <w:proofErr w:type="spellEnd"/>
      <w:r>
        <w:rPr>
          <w:rFonts w:ascii="Arial" w:hAnsi="Arial" w:cs="Arial"/>
          <w:color w:val="222222"/>
          <w:sz w:val="20"/>
          <w:szCs w:val="20"/>
          <w:shd w:val="clear" w:color="auto" w:fill="FFFFFF"/>
        </w:rPr>
        <w:t>, L. C. (1966). Notes and observations: aspect transformation in site productivity research. </w:t>
      </w:r>
      <w:r>
        <w:rPr>
          <w:rFonts w:ascii="Arial" w:hAnsi="Arial" w:cs="Arial"/>
          <w:i/>
          <w:iCs/>
          <w:color w:val="222222"/>
          <w:sz w:val="20"/>
          <w:szCs w:val="20"/>
          <w:shd w:val="clear" w:color="auto" w:fill="FFFFFF"/>
        </w:rPr>
        <w:t>Journal of Forestry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(10), 691-692.</w:t>
      </w:r>
    </w:p>
    <w:sectPr w:rsidR="0086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60A6"/>
    <w:multiLevelType w:val="hybridMultilevel"/>
    <w:tmpl w:val="16F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B6107"/>
    <w:multiLevelType w:val="hybridMultilevel"/>
    <w:tmpl w:val="EAD45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C0"/>
    <w:rsid w:val="00091E92"/>
    <w:rsid w:val="000F4135"/>
    <w:rsid w:val="0011131E"/>
    <w:rsid w:val="001A5B63"/>
    <w:rsid w:val="001C1C6B"/>
    <w:rsid w:val="001C64F9"/>
    <w:rsid w:val="001E05E1"/>
    <w:rsid w:val="002057C4"/>
    <w:rsid w:val="002557A2"/>
    <w:rsid w:val="002615BF"/>
    <w:rsid w:val="00290927"/>
    <w:rsid w:val="00342CC0"/>
    <w:rsid w:val="003B0048"/>
    <w:rsid w:val="003B1724"/>
    <w:rsid w:val="0044664C"/>
    <w:rsid w:val="005333B0"/>
    <w:rsid w:val="00543F51"/>
    <w:rsid w:val="005A605F"/>
    <w:rsid w:val="005B1D69"/>
    <w:rsid w:val="005D08DE"/>
    <w:rsid w:val="006634BF"/>
    <w:rsid w:val="00687812"/>
    <w:rsid w:val="0071119B"/>
    <w:rsid w:val="00717674"/>
    <w:rsid w:val="008103E0"/>
    <w:rsid w:val="0081770B"/>
    <w:rsid w:val="008255CC"/>
    <w:rsid w:val="008415E7"/>
    <w:rsid w:val="00850FA5"/>
    <w:rsid w:val="00862835"/>
    <w:rsid w:val="008F4302"/>
    <w:rsid w:val="00955E12"/>
    <w:rsid w:val="00966D0B"/>
    <w:rsid w:val="009B18E1"/>
    <w:rsid w:val="00B157DB"/>
    <w:rsid w:val="00B603FB"/>
    <w:rsid w:val="00B617E4"/>
    <w:rsid w:val="00C07EC7"/>
    <w:rsid w:val="00CC02CB"/>
    <w:rsid w:val="00CE4479"/>
    <w:rsid w:val="00CE72DC"/>
    <w:rsid w:val="00D26F42"/>
    <w:rsid w:val="00D3718B"/>
    <w:rsid w:val="00D4160E"/>
    <w:rsid w:val="00DA72E6"/>
    <w:rsid w:val="00DE7239"/>
    <w:rsid w:val="00E0753F"/>
    <w:rsid w:val="00F2225E"/>
    <w:rsid w:val="00F61573"/>
    <w:rsid w:val="00F808F5"/>
    <w:rsid w:val="00F83D26"/>
    <w:rsid w:val="00F9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69E25-27FA-4FA9-BE3C-67185BA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342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3B0"/>
    <w:rPr>
      <w:color w:val="0000FF"/>
      <w:u w:val="single"/>
    </w:rPr>
  </w:style>
  <w:style w:type="character" w:styleId="Emphasis">
    <w:name w:val="Emphasis"/>
    <w:basedOn w:val="DefaultParagraphFont"/>
    <w:uiPriority w:val="20"/>
    <w:qFormat/>
    <w:rsid w:val="00D3718B"/>
    <w:rPr>
      <w:i/>
      <w:iCs/>
    </w:rPr>
  </w:style>
  <w:style w:type="character" w:styleId="Strong">
    <w:name w:val="Strong"/>
    <w:basedOn w:val="DefaultParagraphFont"/>
    <w:uiPriority w:val="22"/>
    <w:qFormat/>
    <w:rsid w:val="008103E0"/>
    <w:rPr>
      <w:b/>
      <w:bCs/>
    </w:rPr>
  </w:style>
  <w:style w:type="paragraph" w:styleId="NormalWeb">
    <w:name w:val="Normal (Web)"/>
    <w:basedOn w:val="Normal"/>
    <w:uiPriority w:val="99"/>
    <w:semiHidden/>
    <w:unhideWhenUsed/>
    <w:rsid w:val="00B157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7DB"/>
    <w:pPr>
      <w:ind w:left="720"/>
      <w:contextualSpacing/>
    </w:pPr>
  </w:style>
  <w:style w:type="character" w:customStyle="1" w:styleId="citationref">
    <w:name w:val="citationref"/>
    <w:basedOn w:val="DefaultParagraphFont"/>
    <w:rsid w:val="00CE4479"/>
  </w:style>
  <w:style w:type="character" w:customStyle="1" w:styleId="Heading1Char">
    <w:name w:val="Heading 1 Char"/>
    <w:basedOn w:val="DefaultParagraphFont"/>
    <w:link w:val="Heading1"/>
    <w:uiPriority w:val="9"/>
    <w:rsid w:val="007176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5626">
      <w:bodyDiv w:val="1"/>
      <w:marLeft w:val="0"/>
      <w:marRight w:val="0"/>
      <w:marTop w:val="0"/>
      <w:marBottom w:val="0"/>
      <w:divBdr>
        <w:top w:val="none" w:sz="0" w:space="0" w:color="auto"/>
        <w:left w:val="none" w:sz="0" w:space="0" w:color="auto"/>
        <w:bottom w:val="none" w:sz="0" w:space="0" w:color="auto"/>
        <w:right w:val="none" w:sz="0" w:space="0" w:color="auto"/>
      </w:divBdr>
    </w:div>
    <w:div w:id="452603723">
      <w:bodyDiv w:val="1"/>
      <w:marLeft w:val="0"/>
      <w:marRight w:val="0"/>
      <w:marTop w:val="0"/>
      <w:marBottom w:val="0"/>
      <w:divBdr>
        <w:top w:val="none" w:sz="0" w:space="0" w:color="auto"/>
        <w:left w:val="none" w:sz="0" w:space="0" w:color="auto"/>
        <w:bottom w:val="none" w:sz="0" w:space="0" w:color="auto"/>
        <w:right w:val="none" w:sz="0" w:space="0" w:color="auto"/>
      </w:divBdr>
      <w:divsChild>
        <w:div w:id="1318730983">
          <w:marLeft w:val="0"/>
          <w:marRight w:val="0"/>
          <w:marTop w:val="0"/>
          <w:marBottom w:val="0"/>
          <w:divBdr>
            <w:top w:val="none" w:sz="0" w:space="0" w:color="auto"/>
            <w:left w:val="none" w:sz="0" w:space="0" w:color="auto"/>
            <w:bottom w:val="none" w:sz="0" w:space="0" w:color="auto"/>
            <w:right w:val="none" w:sz="0" w:space="0" w:color="auto"/>
          </w:divBdr>
        </w:div>
        <w:div w:id="1982542083">
          <w:marLeft w:val="0"/>
          <w:marRight w:val="0"/>
          <w:marTop w:val="0"/>
          <w:marBottom w:val="0"/>
          <w:divBdr>
            <w:top w:val="none" w:sz="0" w:space="0" w:color="auto"/>
            <w:left w:val="none" w:sz="0" w:space="0" w:color="auto"/>
            <w:bottom w:val="none" w:sz="0" w:space="0" w:color="auto"/>
            <w:right w:val="none" w:sz="0" w:space="0" w:color="auto"/>
          </w:divBdr>
        </w:div>
        <w:div w:id="1445005329">
          <w:marLeft w:val="0"/>
          <w:marRight w:val="0"/>
          <w:marTop w:val="0"/>
          <w:marBottom w:val="0"/>
          <w:divBdr>
            <w:top w:val="none" w:sz="0" w:space="0" w:color="auto"/>
            <w:left w:val="none" w:sz="0" w:space="0" w:color="auto"/>
            <w:bottom w:val="none" w:sz="0" w:space="0" w:color="auto"/>
            <w:right w:val="none" w:sz="0" w:space="0" w:color="auto"/>
          </w:divBdr>
        </w:div>
        <w:div w:id="2125683376">
          <w:marLeft w:val="0"/>
          <w:marRight w:val="0"/>
          <w:marTop w:val="0"/>
          <w:marBottom w:val="0"/>
          <w:divBdr>
            <w:top w:val="none" w:sz="0" w:space="0" w:color="auto"/>
            <w:left w:val="none" w:sz="0" w:space="0" w:color="auto"/>
            <w:bottom w:val="none" w:sz="0" w:space="0" w:color="auto"/>
            <w:right w:val="none" w:sz="0" w:space="0" w:color="auto"/>
          </w:divBdr>
        </w:div>
        <w:div w:id="1116437994">
          <w:marLeft w:val="0"/>
          <w:marRight w:val="0"/>
          <w:marTop w:val="0"/>
          <w:marBottom w:val="0"/>
          <w:divBdr>
            <w:top w:val="none" w:sz="0" w:space="0" w:color="auto"/>
            <w:left w:val="none" w:sz="0" w:space="0" w:color="auto"/>
            <w:bottom w:val="none" w:sz="0" w:space="0" w:color="auto"/>
            <w:right w:val="none" w:sz="0" w:space="0" w:color="auto"/>
          </w:divBdr>
        </w:div>
      </w:divsChild>
    </w:div>
    <w:div w:id="629433368">
      <w:bodyDiv w:val="1"/>
      <w:marLeft w:val="0"/>
      <w:marRight w:val="0"/>
      <w:marTop w:val="0"/>
      <w:marBottom w:val="0"/>
      <w:divBdr>
        <w:top w:val="none" w:sz="0" w:space="0" w:color="auto"/>
        <w:left w:val="none" w:sz="0" w:space="0" w:color="auto"/>
        <w:bottom w:val="none" w:sz="0" w:space="0" w:color="auto"/>
        <w:right w:val="none" w:sz="0" w:space="0" w:color="auto"/>
      </w:divBdr>
      <w:divsChild>
        <w:div w:id="434248932">
          <w:marLeft w:val="0"/>
          <w:marRight w:val="0"/>
          <w:marTop w:val="0"/>
          <w:marBottom w:val="0"/>
          <w:divBdr>
            <w:top w:val="none" w:sz="0" w:space="0" w:color="auto"/>
            <w:left w:val="none" w:sz="0" w:space="0" w:color="auto"/>
            <w:bottom w:val="none" w:sz="0" w:space="0" w:color="auto"/>
            <w:right w:val="none" w:sz="0" w:space="0" w:color="auto"/>
          </w:divBdr>
        </w:div>
        <w:div w:id="1579054960">
          <w:marLeft w:val="0"/>
          <w:marRight w:val="0"/>
          <w:marTop w:val="0"/>
          <w:marBottom w:val="0"/>
          <w:divBdr>
            <w:top w:val="none" w:sz="0" w:space="0" w:color="auto"/>
            <w:left w:val="none" w:sz="0" w:space="0" w:color="auto"/>
            <w:bottom w:val="none" w:sz="0" w:space="0" w:color="auto"/>
            <w:right w:val="none" w:sz="0" w:space="0" w:color="auto"/>
          </w:divBdr>
        </w:div>
      </w:divsChild>
    </w:div>
    <w:div w:id="847984278">
      <w:bodyDiv w:val="1"/>
      <w:marLeft w:val="0"/>
      <w:marRight w:val="0"/>
      <w:marTop w:val="0"/>
      <w:marBottom w:val="0"/>
      <w:divBdr>
        <w:top w:val="none" w:sz="0" w:space="0" w:color="auto"/>
        <w:left w:val="none" w:sz="0" w:space="0" w:color="auto"/>
        <w:bottom w:val="none" w:sz="0" w:space="0" w:color="auto"/>
        <w:right w:val="none" w:sz="0" w:space="0" w:color="auto"/>
      </w:divBdr>
      <w:divsChild>
        <w:div w:id="1346905251">
          <w:marLeft w:val="0"/>
          <w:marRight w:val="0"/>
          <w:marTop w:val="0"/>
          <w:marBottom w:val="0"/>
          <w:divBdr>
            <w:top w:val="none" w:sz="0" w:space="0" w:color="auto"/>
            <w:left w:val="none" w:sz="0" w:space="0" w:color="auto"/>
            <w:bottom w:val="none" w:sz="0" w:space="0" w:color="auto"/>
            <w:right w:val="none" w:sz="0" w:space="0" w:color="auto"/>
          </w:divBdr>
        </w:div>
        <w:div w:id="374040673">
          <w:marLeft w:val="0"/>
          <w:marRight w:val="0"/>
          <w:marTop w:val="0"/>
          <w:marBottom w:val="0"/>
          <w:divBdr>
            <w:top w:val="none" w:sz="0" w:space="0" w:color="auto"/>
            <w:left w:val="none" w:sz="0" w:space="0" w:color="auto"/>
            <w:bottom w:val="none" w:sz="0" w:space="0" w:color="auto"/>
            <w:right w:val="none" w:sz="0" w:space="0" w:color="auto"/>
          </w:divBdr>
        </w:div>
        <w:div w:id="52968734">
          <w:marLeft w:val="0"/>
          <w:marRight w:val="0"/>
          <w:marTop w:val="0"/>
          <w:marBottom w:val="0"/>
          <w:divBdr>
            <w:top w:val="none" w:sz="0" w:space="0" w:color="auto"/>
            <w:left w:val="none" w:sz="0" w:space="0" w:color="auto"/>
            <w:bottom w:val="none" w:sz="0" w:space="0" w:color="auto"/>
            <w:right w:val="none" w:sz="0" w:space="0" w:color="auto"/>
          </w:divBdr>
        </w:div>
      </w:divsChild>
    </w:div>
    <w:div w:id="1108820142">
      <w:bodyDiv w:val="1"/>
      <w:marLeft w:val="0"/>
      <w:marRight w:val="0"/>
      <w:marTop w:val="0"/>
      <w:marBottom w:val="0"/>
      <w:divBdr>
        <w:top w:val="none" w:sz="0" w:space="0" w:color="auto"/>
        <w:left w:val="none" w:sz="0" w:space="0" w:color="auto"/>
        <w:bottom w:val="none" w:sz="0" w:space="0" w:color="auto"/>
        <w:right w:val="none" w:sz="0" w:space="0" w:color="auto"/>
      </w:divBdr>
    </w:div>
    <w:div w:id="1317608335">
      <w:bodyDiv w:val="1"/>
      <w:marLeft w:val="0"/>
      <w:marRight w:val="0"/>
      <w:marTop w:val="0"/>
      <w:marBottom w:val="0"/>
      <w:divBdr>
        <w:top w:val="none" w:sz="0" w:space="0" w:color="auto"/>
        <w:left w:val="none" w:sz="0" w:space="0" w:color="auto"/>
        <w:bottom w:val="none" w:sz="0" w:space="0" w:color="auto"/>
        <w:right w:val="none" w:sz="0" w:space="0" w:color="auto"/>
      </w:divBdr>
      <w:divsChild>
        <w:div w:id="501284964">
          <w:marLeft w:val="0"/>
          <w:marRight w:val="0"/>
          <w:marTop w:val="0"/>
          <w:marBottom w:val="0"/>
          <w:divBdr>
            <w:top w:val="none" w:sz="0" w:space="0" w:color="auto"/>
            <w:left w:val="none" w:sz="0" w:space="0" w:color="auto"/>
            <w:bottom w:val="none" w:sz="0" w:space="0" w:color="auto"/>
            <w:right w:val="none" w:sz="0" w:space="0" w:color="auto"/>
          </w:divBdr>
        </w:div>
        <w:div w:id="179783063">
          <w:marLeft w:val="0"/>
          <w:marRight w:val="0"/>
          <w:marTop w:val="0"/>
          <w:marBottom w:val="0"/>
          <w:divBdr>
            <w:top w:val="none" w:sz="0" w:space="0" w:color="auto"/>
            <w:left w:val="none" w:sz="0" w:space="0" w:color="auto"/>
            <w:bottom w:val="none" w:sz="0" w:space="0" w:color="auto"/>
            <w:right w:val="none" w:sz="0" w:space="0" w:color="auto"/>
          </w:divBdr>
        </w:div>
        <w:div w:id="1468666828">
          <w:marLeft w:val="0"/>
          <w:marRight w:val="0"/>
          <w:marTop w:val="0"/>
          <w:marBottom w:val="0"/>
          <w:divBdr>
            <w:top w:val="none" w:sz="0" w:space="0" w:color="auto"/>
            <w:left w:val="none" w:sz="0" w:space="0" w:color="auto"/>
            <w:bottom w:val="none" w:sz="0" w:space="0" w:color="auto"/>
            <w:right w:val="none" w:sz="0" w:space="0" w:color="auto"/>
          </w:divBdr>
        </w:div>
        <w:div w:id="307323377">
          <w:marLeft w:val="0"/>
          <w:marRight w:val="0"/>
          <w:marTop w:val="0"/>
          <w:marBottom w:val="0"/>
          <w:divBdr>
            <w:top w:val="none" w:sz="0" w:space="0" w:color="auto"/>
            <w:left w:val="none" w:sz="0" w:space="0" w:color="auto"/>
            <w:bottom w:val="none" w:sz="0" w:space="0" w:color="auto"/>
            <w:right w:val="none" w:sz="0" w:space="0" w:color="auto"/>
          </w:divBdr>
        </w:div>
        <w:div w:id="74589859">
          <w:marLeft w:val="0"/>
          <w:marRight w:val="0"/>
          <w:marTop w:val="0"/>
          <w:marBottom w:val="0"/>
          <w:divBdr>
            <w:top w:val="none" w:sz="0" w:space="0" w:color="auto"/>
            <w:left w:val="none" w:sz="0" w:space="0" w:color="auto"/>
            <w:bottom w:val="none" w:sz="0" w:space="0" w:color="auto"/>
            <w:right w:val="none" w:sz="0" w:space="0" w:color="auto"/>
          </w:divBdr>
        </w:div>
        <w:div w:id="1275404024">
          <w:marLeft w:val="0"/>
          <w:marRight w:val="0"/>
          <w:marTop w:val="0"/>
          <w:marBottom w:val="0"/>
          <w:divBdr>
            <w:top w:val="none" w:sz="0" w:space="0" w:color="auto"/>
            <w:left w:val="none" w:sz="0" w:space="0" w:color="auto"/>
            <w:bottom w:val="none" w:sz="0" w:space="0" w:color="auto"/>
            <w:right w:val="none" w:sz="0" w:space="0" w:color="auto"/>
          </w:divBdr>
        </w:div>
        <w:div w:id="623661473">
          <w:marLeft w:val="0"/>
          <w:marRight w:val="0"/>
          <w:marTop w:val="0"/>
          <w:marBottom w:val="0"/>
          <w:divBdr>
            <w:top w:val="none" w:sz="0" w:space="0" w:color="auto"/>
            <w:left w:val="none" w:sz="0" w:space="0" w:color="auto"/>
            <w:bottom w:val="none" w:sz="0" w:space="0" w:color="auto"/>
            <w:right w:val="none" w:sz="0" w:space="0" w:color="auto"/>
          </w:divBdr>
        </w:div>
        <w:div w:id="749887450">
          <w:marLeft w:val="0"/>
          <w:marRight w:val="0"/>
          <w:marTop w:val="0"/>
          <w:marBottom w:val="0"/>
          <w:divBdr>
            <w:top w:val="none" w:sz="0" w:space="0" w:color="auto"/>
            <w:left w:val="none" w:sz="0" w:space="0" w:color="auto"/>
            <w:bottom w:val="none" w:sz="0" w:space="0" w:color="auto"/>
            <w:right w:val="none" w:sz="0" w:space="0" w:color="auto"/>
          </w:divBdr>
        </w:div>
      </w:divsChild>
    </w:div>
    <w:div w:id="1828083767">
      <w:bodyDiv w:val="1"/>
      <w:marLeft w:val="0"/>
      <w:marRight w:val="0"/>
      <w:marTop w:val="0"/>
      <w:marBottom w:val="0"/>
      <w:divBdr>
        <w:top w:val="none" w:sz="0" w:space="0" w:color="auto"/>
        <w:left w:val="none" w:sz="0" w:space="0" w:color="auto"/>
        <w:bottom w:val="none" w:sz="0" w:space="0" w:color="auto"/>
        <w:right w:val="none" w:sz="0" w:space="0" w:color="auto"/>
      </w:divBdr>
      <w:divsChild>
        <w:div w:id="163976065">
          <w:marLeft w:val="0"/>
          <w:marRight w:val="0"/>
          <w:marTop w:val="0"/>
          <w:marBottom w:val="0"/>
          <w:divBdr>
            <w:top w:val="none" w:sz="0" w:space="0" w:color="auto"/>
            <w:left w:val="none" w:sz="0" w:space="0" w:color="auto"/>
            <w:bottom w:val="none" w:sz="0" w:space="0" w:color="auto"/>
            <w:right w:val="none" w:sz="0" w:space="0" w:color="auto"/>
          </w:divBdr>
        </w:div>
        <w:div w:id="1172254352">
          <w:marLeft w:val="0"/>
          <w:marRight w:val="0"/>
          <w:marTop w:val="0"/>
          <w:marBottom w:val="0"/>
          <w:divBdr>
            <w:top w:val="none" w:sz="0" w:space="0" w:color="auto"/>
            <w:left w:val="none" w:sz="0" w:space="0" w:color="auto"/>
            <w:bottom w:val="none" w:sz="0" w:space="0" w:color="auto"/>
            <w:right w:val="none" w:sz="0" w:space="0" w:color="auto"/>
          </w:divBdr>
        </w:div>
      </w:divsChild>
    </w:div>
    <w:div w:id="1970434795">
      <w:bodyDiv w:val="1"/>
      <w:marLeft w:val="0"/>
      <w:marRight w:val="0"/>
      <w:marTop w:val="0"/>
      <w:marBottom w:val="0"/>
      <w:divBdr>
        <w:top w:val="none" w:sz="0" w:space="0" w:color="auto"/>
        <w:left w:val="none" w:sz="0" w:space="0" w:color="auto"/>
        <w:bottom w:val="none" w:sz="0" w:space="0" w:color="auto"/>
        <w:right w:val="none" w:sz="0" w:space="0" w:color="auto"/>
      </w:divBdr>
      <w:divsChild>
        <w:div w:id="140510321">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direct.com/science/article/pii/S0034425701002905"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article/10.1007/s00442-011-2165-z"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12</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7</cp:revision>
  <dcterms:created xsi:type="dcterms:W3CDTF">2018-01-11T16:31:00Z</dcterms:created>
  <dcterms:modified xsi:type="dcterms:W3CDTF">2018-01-14T00:03:00Z</dcterms:modified>
</cp:coreProperties>
</file>