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8FE5" w14:textId="573E2950" w:rsidR="00A46CE6" w:rsidRDefault="00A46CE6" w:rsidP="00A46CE6">
      <w:pPr>
        <w:pStyle w:val="Autores"/>
        <w:rPr>
          <w:rFonts w:eastAsiaTheme="majorEastAsia" w:cstheme="majorBidi"/>
          <w:b/>
          <w:bCs/>
          <w:szCs w:val="32"/>
          <w:lang w:val="es-419"/>
        </w:rPr>
      </w:pPr>
      <w:r w:rsidRPr="00873809">
        <w:rPr>
          <w:rFonts w:eastAsiaTheme="majorEastAsia" w:cstheme="majorBidi"/>
          <w:b/>
          <w:bCs/>
          <w:szCs w:val="32"/>
          <w:lang w:val="es-419"/>
        </w:rPr>
        <w:t xml:space="preserve">Factores </w:t>
      </w:r>
      <w:r w:rsidR="00483A6C">
        <w:rPr>
          <w:rFonts w:eastAsiaTheme="majorEastAsia" w:cstheme="majorBidi"/>
          <w:b/>
          <w:bCs/>
          <w:szCs w:val="32"/>
          <w:lang w:val="es-419"/>
        </w:rPr>
        <w:t>N</w:t>
      </w:r>
      <w:r w:rsidRPr="00873809">
        <w:rPr>
          <w:rFonts w:eastAsiaTheme="majorEastAsia" w:cstheme="majorBidi"/>
          <w:b/>
          <w:bCs/>
          <w:szCs w:val="32"/>
          <w:lang w:val="es-419"/>
        </w:rPr>
        <w:t xml:space="preserve">utricionales que </w:t>
      </w:r>
      <w:r w:rsidR="00483A6C">
        <w:rPr>
          <w:rFonts w:eastAsiaTheme="majorEastAsia" w:cstheme="majorBidi"/>
          <w:b/>
          <w:bCs/>
          <w:szCs w:val="32"/>
          <w:lang w:val="es-419"/>
        </w:rPr>
        <w:t>I</w:t>
      </w:r>
      <w:r w:rsidRPr="00873809">
        <w:rPr>
          <w:rFonts w:eastAsiaTheme="majorEastAsia" w:cstheme="majorBidi"/>
          <w:b/>
          <w:bCs/>
          <w:szCs w:val="32"/>
          <w:lang w:val="es-419"/>
        </w:rPr>
        <w:t xml:space="preserve">nciden en el </w:t>
      </w:r>
      <w:r w:rsidR="00483A6C">
        <w:rPr>
          <w:rFonts w:eastAsiaTheme="majorEastAsia" w:cstheme="majorBidi"/>
          <w:b/>
          <w:bCs/>
          <w:szCs w:val="32"/>
          <w:lang w:val="es-419"/>
        </w:rPr>
        <w:t>R</w:t>
      </w:r>
      <w:r w:rsidRPr="00873809">
        <w:rPr>
          <w:rFonts w:eastAsiaTheme="majorEastAsia" w:cstheme="majorBidi"/>
          <w:b/>
          <w:bCs/>
          <w:szCs w:val="32"/>
          <w:lang w:val="es-419"/>
        </w:rPr>
        <w:t xml:space="preserve">endimiento </w:t>
      </w:r>
      <w:r w:rsidR="00483A6C">
        <w:rPr>
          <w:rFonts w:eastAsiaTheme="majorEastAsia" w:cstheme="majorBidi"/>
          <w:b/>
          <w:bCs/>
          <w:szCs w:val="32"/>
          <w:lang w:val="es-419"/>
        </w:rPr>
        <w:t>E</w:t>
      </w:r>
      <w:r w:rsidRPr="00873809">
        <w:rPr>
          <w:rFonts w:eastAsiaTheme="majorEastAsia" w:cstheme="majorBidi"/>
          <w:b/>
          <w:bCs/>
          <w:szCs w:val="32"/>
          <w:lang w:val="es-419"/>
        </w:rPr>
        <w:t xml:space="preserve">scolar: </w:t>
      </w:r>
      <w:r w:rsidRPr="00873809">
        <w:rPr>
          <w:rFonts w:eastAsiaTheme="majorEastAsia" w:cstheme="majorBidi"/>
          <w:b/>
          <w:bCs/>
          <w:szCs w:val="32"/>
          <w:lang w:val="es-419"/>
        </w:rPr>
        <w:br/>
        <w:t xml:space="preserve">Una revisión de la </w:t>
      </w:r>
      <w:r w:rsidR="00483A6C">
        <w:rPr>
          <w:rFonts w:eastAsiaTheme="majorEastAsia" w:cstheme="majorBidi"/>
          <w:b/>
          <w:bCs/>
          <w:szCs w:val="32"/>
          <w:lang w:val="es-419"/>
        </w:rPr>
        <w:t>L</w:t>
      </w:r>
      <w:r w:rsidRPr="00873809">
        <w:rPr>
          <w:rFonts w:eastAsiaTheme="majorEastAsia" w:cstheme="majorBidi"/>
          <w:b/>
          <w:bCs/>
          <w:szCs w:val="32"/>
          <w:lang w:val="es-419"/>
        </w:rPr>
        <w:t xml:space="preserve">iteratura </w:t>
      </w:r>
      <w:r w:rsidR="00483A6C">
        <w:rPr>
          <w:rFonts w:eastAsiaTheme="majorEastAsia" w:cstheme="majorBidi"/>
          <w:b/>
          <w:bCs/>
          <w:szCs w:val="32"/>
          <w:lang w:val="es-419"/>
        </w:rPr>
        <w:t>E</w:t>
      </w:r>
      <w:r w:rsidRPr="00873809">
        <w:rPr>
          <w:rFonts w:eastAsiaTheme="majorEastAsia" w:cstheme="majorBidi"/>
          <w:b/>
          <w:bCs/>
          <w:szCs w:val="32"/>
          <w:lang w:val="es-419"/>
        </w:rPr>
        <w:t>ntre 2020-2025</w:t>
      </w:r>
    </w:p>
    <w:p w14:paraId="21EC11F9" w14:textId="77777777" w:rsidR="00483A6C" w:rsidRPr="00873809" w:rsidRDefault="00483A6C" w:rsidP="00A46CE6">
      <w:pPr>
        <w:pStyle w:val="Autores"/>
        <w:rPr>
          <w:rFonts w:eastAsiaTheme="majorEastAsia" w:cstheme="majorBidi"/>
          <w:b/>
          <w:bCs/>
          <w:szCs w:val="32"/>
          <w:lang w:val="es-419"/>
        </w:rPr>
      </w:pPr>
    </w:p>
    <w:p w14:paraId="78C28A4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Metodología</w:t>
      </w:r>
    </w:p>
    <w:p w14:paraId="4E639874" w14:textId="77777777" w:rsidR="00483A6C"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sidR="00483A6C">
        <w:rPr>
          <w:rFonts w:ascii="Arial" w:eastAsia="Calibri" w:hAnsi="Arial" w:cs="Times New Roman"/>
          <w:kern w:val="0"/>
          <w:szCs w:val="24"/>
          <w:lang w:val="es-419"/>
          <w14:ligatures w14:val="none"/>
        </w:rPr>
        <w:t>á</w:t>
      </w:r>
      <w:r w:rsidRPr="00A46CE6">
        <w:rPr>
          <w:rFonts w:ascii="Arial" w:eastAsia="Calibri" w:hAnsi="Arial" w:cs="Times New Roman"/>
          <w:kern w:val="0"/>
          <w:szCs w:val="24"/>
          <w:lang w:val="es-419"/>
          <w14:ligatures w14:val="none"/>
        </w:rPr>
        <w:t xml:space="preserve">n los factores nutricionales incidentes en la función cognitiva y, por ende, en el rendimiento académico estudiantil. </w:t>
      </w:r>
    </w:p>
    <w:p w14:paraId="5A40A535" w14:textId="00B860B1" w:rsidR="00A46CE6" w:rsidRPr="00A46CE6"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Para tal efecto, se consultaron bases de datos reconocidas y especializadas como Dialnet, Scielo y Google Académico, además de repositorios institucionales, siguiendo las recomendaciones metodológicas de Higgins et al. </w:t>
      </w:r>
      <w:sdt>
        <w:sdtPr>
          <w:rPr>
            <w:rFonts w:ascii="Arial" w:eastAsia="Calibri" w:hAnsi="Arial" w:cs="Times New Roman"/>
            <w:kern w:val="0"/>
            <w:szCs w:val="24"/>
            <w:lang w:val="es-419"/>
            <w14:ligatures w14:val="none"/>
          </w:rPr>
          <w:id w:val="-107651179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Hig22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(2022)</w:t>
          </w:r>
          <w:r w:rsidRPr="00A46CE6">
            <w:rPr>
              <w:rFonts w:ascii="Arial" w:eastAsia="Calibri" w:hAnsi="Arial" w:cs="Times New Roman"/>
              <w:kern w:val="0"/>
              <w:szCs w:val="24"/>
              <w:lang w:val="es-419"/>
              <w14:ligatures w14:val="none"/>
            </w:rPr>
            <w:fldChar w:fldCharType="end"/>
          </w:r>
        </w:sdtContent>
      </w:sdt>
      <w:r w:rsidR="00483A6C">
        <w:rPr>
          <w:rFonts w:ascii="Arial" w:eastAsia="Calibri" w:hAnsi="Arial" w:cs="Times New Roman"/>
          <w:kern w:val="0"/>
          <w:szCs w:val="24"/>
          <w:lang w:val="es-419"/>
          <w14:ligatures w14:val="none"/>
        </w:rPr>
        <w:t>,</w:t>
      </w:r>
      <w:r w:rsidRPr="00A46CE6">
        <w:rPr>
          <w:rFonts w:ascii="Arial" w:eastAsia="Calibri" w:hAnsi="Arial" w:cs="Times New Roman"/>
          <w:kern w:val="0"/>
          <w:szCs w:val="24"/>
          <w:lang w:val="es-419"/>
          <w14:ligatures w14:val="none"/>
        </w:rPr>
        <w:t xml:space="preserve"> para garantizar rigor en la selección y análisis de los documentos. Se utilizaron como predictores clave de búsqueda las palabras “nutrición”, “rendimiento académico” y “aprendizaje” (KEY: “</w:t>
      </w:r>
      <w:r w:rsidR="00483A6C" w:rsidRPr="00A46CE6">
        <w:rPr>
          <w:rFonts w:ascii="Arial" w:eastAsia="Calibri" w:hAnsi="Arial" w:cs="Times New Roman"/>
          <w:kern w:val="0"/>
          <w:szCs w:val="24"/>
          <w:lang w:val="es-419"/>
          <w14:ligatures w14:val="none"/>
        </w:rPr>
        <w:t>NUTRICIÓN” + “</w:t>
      </w:r>
      <w:r w:rsidRPr="00A46CE6">
        <w:rPr>
          <w:rFonts w:ascii="Arial" w:eastAsia="Calibri" w:hAnsi="Arial" w:cs="Times New Roman"/>
          <w:kern w:val="0"/>
          <w:szCs w:val="24"/>
          <w:lang w:val="es-419"/>
          <w14:ligatures w14:val="none"/>
        </w:rPr>
        <w:t xml:space="preserve">RENDIMIENTO </w:t>
      </w:r>
      <w:r w:rsidR="00483A6C" w:rsidRPr="00A46CE6">
        <w:rPr>
          <w:rFonts w:ascii="Arial" w:eastAsia="Calibri" w:hAnsi="Arial" w:cs="Times New Roman"/>
          <w:kern w:val="0"/>
          <w:szCs w:val="24"/>
          <w:lang w:val="es-419"/>
          <w14:ligatures w14:val="none"/>
        </w:rPr>
        <w:t>ACADÉMICO” + “</w:t>
      </w:r>
      <w:r w:rsidRPr="00A46CE6">
        <w:rPr>
          <w:rFonts w:ascii="Arial" w:eastAsia="Calibri" w:hAnsi="Arial" w:cs="Times New Roman"/>
          <w:kern w:val="0"/>
          <w:szCs w:val="24"/>
          <w:lang w:val="es-419"/>
          <w14:ligatures w14:val="none"/>
        </w:rPr>
        <w:t xml:space="preserve">APRENDIZAJE”), conforme a la propuesta metodológica para revisiones temáticas planteada por Petticrew y Roberts </w:t>
      </w:r>
      <w:sdt>
        <w:sdtPr>
          <w:rPr>
            <w:rFonts w:ascii="Arial" w:eastAsia="Calibri" w:hAnsi="Arial" w:cs="Times New Roman"/>
            <w:kern w:val="0"/>
            <w:szCs w:val="24"/>
            <w:lang w:val="es-419"/>
            <w14:ligatures w14:val="none"/>
          </w:rPr>
          <w:id w:val="278375337"/>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Pet21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7D0EB831" w14:textId="6CE73B0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Inicialmente, se aplicó un primer filtro general basado en títulos, resúmenes y relevancia temática directa, en el marco de la propuesta de Snyder </w:t>
      </w:r>
      <w:sdt>
        <w:sdtPr>
          <w:rPr>
            <w:rFonts w:ascii="Arial" w:eastAsia="Calibri" w:hAnsi="Arial" w:cs="Times New Roman"/>
            <w:kern w:val="0"/>
            <w:szCs w:val="24"/>
            <w:lang w:val="es-419"/>
            <w14:ligatures w14:val="none"/>
          </w:rPr>
          <w:id w:val="-37668511"/>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Sny20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(2020)</w:t>
          </w:r>
          <w:r w:rsidRPr="00A46CE6">
            <w:rPr>
              <w:rFonts w:ascii="Arial" w:eastAsia="Calibri" w:hAnsi="Arial" w:cs="Times New Roman"/>
              <w:kern w:val="0"/>
              <w:szCs w:val="24"/>
              <w:lang w:val="es-419"/>
              <w14:ligatures w14:val="none"/>
            </w:rPr>
            <w:fldChar w:fldCharType="end"/>
          </w:r>
        </w:sdtContent>
      </w:sdt>
      <w:r w:rsidR="00483A6C">
        <w:rPr>
          <w:rFonts w:ascii="Arial" w:eastAsia="Calibri" w:hAnsi="Arial" w:cs="Times New Roman"/>
          <w:kern w:val="0"/>
          <w:szCs w:val="24"/>
          <w:lang w:val="es-419"/>
          <w14:ligatures w14:val="none"/>
        </w:rPr>
        <w:t>,</w:t>
      </w:r>
      <w:r w:rsidRPr="00A46CE6">
        <w:rPr>
          <w:rFonts w:ascii="Arial" w:eastAsia="Calibri" w:hAnsi="Arial" w:cs="Times New Roman"/>
          <w:kern w:val="0"/>
          <w:szCs w:val="24"/>
          <w:lang w:val="es-419"/>
          <w14:ligatures w14:val="none"/>
        </w:rPr>
        <w:t xml:space="preserve"> para revisiones narrativas. Posteriormente, se establecieron criterios de inclusión específicos: enfoque explícito sobre factores nutricionales relacionados directamente con la cognición o rendimiento académica y que las poblaciones estudiadas fueran claramente identificadas como estudiantes en contextos educativos. Tras aplicar estos filtros metodológicos, se aisló una data compuesta por cincuenta (50) documentos, predominando la tipología de artículos científicos, revisiones sistemáticas y metaanálisis.</w:t>
      </w:r>
    </w:p>
    <w:p w14:paraId="5DC30ED1" w14:textId="77777777" w:rsidR="00483A6C" w:rsidRDefault="00483A6C" w:rsidP="00A46CE6">
      <w:pPr>
        <w:spacing w:after="0" w:line="480" w:lineRule="auto"/>
        <w:ind w:firstLine="720"/>
        <w:rPr>
          <w:rFonts w:ascii="Arial" w:eastAsia="Calibri" w:hAnsi="Arial" w:cs="Times New Roman"/>
          <w:kern w:val="0"/>
          <w:szCs w:val="24"/>
          <w:lang w:val="es-419"/>
          <w14:ligatures w14:val="none"/>
        </w:rPr>
      </w:pPr>
      <w:r>
        <w:rPr>
          <w:rFonts w:ascii="Arial" w:eastAsia="Calibri" w:hAnsi="Arial" w:cs="Times New Roman"/>
          <w:kern w:val="0"/>
          <w:szCs w:val="24"/>
          <w:lang w:val="es-419"/>
          <w14:ligatures w14:val="none"/>
        </w:rPr>
        <w:t>En l</w:t>
      </w:r>
      <w:r w:rsidR="00A46CE6" w:rsidRPr="00A46CE6">
        <w:rPr>
          <w:rFonts w:ascii="Arial" w:eastAsia="Calibri" w:hAnsi="Arial" w:cs="Times New Roman"/>
          <w:kern w:val="0"/>
          <w:szCs w:val="24"/>
          <w:lang w:val="es-419"/>
          <w14:ligatures w14:val="none"/>
        </w:rPr>
        <w:t xml:space="preserve">a agrupación de los datos recabados se llevó a cabo mediante un análisis temático minucioso en el cual se siguieron las orientaciones de por Braun y Clarke </w:t>
      </w:r>
      <w:sdt>
        <w:sdtPr>
          <w:rPr>
            <w:rFonts w:ascii="Arial" w:eastAsia="Calibri" w:hAnsi="Arial" w:cs="Times New Roman"/>
            <w:kern w:val="0"/>
            <w:szCs w:val="24"/>
            <w:lang w:val="es-419"/>
            <w14:ligatures w14:val="none"/>
          </w:rPr>
          <w:id w:val="596843122"/>
          <w:citation/>
        </w:sdtPr>
        <w:sdtContent>
          <w:r w:rsidR="00A46CE6" w:rsidRPr="00A46CE6">
            <w:rPr>
              <w:rFonts w:ascii="Arial" w:eastAsia="Calibri" w:hAnsi="Arial" w:cs="Times New Roman"/>
              <w:kern w:val="0"/>
              <w:szCs w:val="24"/>
              <w:lang w:val="es-419"/>
              <w14:ligatures w14:val="none"/>
            </w:rPr>
            <w:fldChar w:fldCharType="begin"/>
          </w:r>
          <w:r w:rsidR="00A46CE6" w:rsidRPr="00A46CE6">
            <w:rPr>
              <w:rFonts w:ascii="Arial" w:eastAsia="Calibri" w:hAnsi="Arial" w:cs="Times New Roman"/>
              <w:kern w:val="0"/>
              <w:szCs w:val="24"/>
              <w14:ligatures w14:val="none"/>
            </w:rPr>
            <w:instrText xml:space="preserve">CITATION Bra21 \n  \t  \l 9226 </w:instrText>
          </w:r>
          <w:r w:rsidR="00A46CE6" w:rsidRPr="00A46CE6">
            <w:rPr>
              <w:rFonts w:ascii="Arial" w:eastAsia="Calibri" w:hAnsi="Arial" w:cs="Times New Roman"/>
              <w:kern w:val="0"/>
              <w:szCs w:val="24"/>
              <w:lang w:val="es-419"/>
              <w14:ligatures w14:val="none"/>
            </w:rPr>
            <w:fldChar w:fldCharType="separate"/>
          </w:r>
          <w:r w:rsidR="00A46CE6" w:rsidRPr="00A46CE6">
            <w:rPr>
              <w:rFonts w:ascii="Arial" w:eastAsia="Calibri" w:hAnsi="Arial" w:cs="Times New Roman"/>
              <w:noProof/>
              <w:kern w:val="0"/>
              <w:szCs w:val="24"/>
              <w14:ligatures w14:val="none"/>
            </w:rPr>
            <w:t>(2021)</w:t>
          </w:r>
          <w:r w:rsidR="00A46CE6" w:rsidRPr="00A46CE6">
            <w:rPr>
              <w:rFonts w:ascii="Arial" w:eastAsia="Calibri" w:hAnsi="Arial" w:cs="Times New Roman"/>
              <w:kern w:val="0"/>
              <w:szCs w:val="24"/>
              <w:lang w:val="es-419"/>
              <w14:ligatures w14:val="none"/>
            </w:rPr>
            <w:fldChar w:fldCharType="end"/>
          </w:r>
        </w:sdtContent>
      </w:sdt>
      <w:r>
        <w:rPr>
          <w:rFonts w:ascii="Arial" w:eastAsia="Calibri" w:hAnsi="Arial" w:cs="Times New Roman"/>
          <w:kern w:val="0"/>
          <w:szCs w:val="24"/>
          <w:lang w:val="es-419"/>
          <w14:ligatures w14:val="none"/>
        </w:rPr>
        <w:t xml:space="preserve">, </w:t>
      </w:r>
      <w:r w:rsidR="00A46CE6" w:rsidRPr="00A46CE6">
        <w:rPr>
          <w:rFonts w:ascii="Arial" w:eastAsia="Calibri" w:hAnsi="Arial" w:cs="Times New Roman"/>
          <w:kern w:val="0"/>
          <w:szCs w:val="24"/>
          <w:lang w:val="es-419"/>
          <w14:ligatures w14:val="none"/>
        </w:rPr>
        <w:lastRenderedPageBreak/>
        <w:t xml:space="preserve">de este modo fue posible organizar sistemáticamente las contribuciones por categorías emergentes claramente definidas. </w:t>
      </w:r>
    </w:p>
    <w:p w14:paraId="38BD3D1E" w14:textId="72BD2861"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Finalmente, el análisis se estructuró en secciones temáticas diferenciadas con el fin de brindar, posteriormente, una discusión sólida y conclusiones bien estructuradas conforme a la guía metodológica propuesta por Torraco </w:t>
      </w:r>
      <w:sdt>
        <w:sdtPr>
          <w:rPr>
            <w:rFonts w:ascii="Arial" w:eastAsia="Calibri" w:hAnsi="Arial" w:cs="Times New Roman"/>
            <w:kern w:val="0"/>
            <w:szCs w:val="24"/>
            <w:lang w:val="es-419"/>
            <w14:ligatures w14:val="none"/>
          </w:rPr>
          <w:id w:val="-425807818"/>
          <w:citation/>
        </w:sdtPr>
        <w:sdtContent>
          <w:r w:rsidRPr="00A46CE6">
            <w:rPr>
              <w:rFonts w:ascii="Arial" w:eastAsia="Calibri" w:hAnsi="Arial" w:cs="Times New Roman"/>
              <w:kern w:val="0"/>
              <w:szCs w:val="24"/>
              <w:lang w:val="es-419"/>
              <w14:ligatures w14:val="none"/>
            </w:rPr>
            <w:fldChar w:fldCharType="begin"/>
          </w:r>
          <w:r w:rsidRPr="00A46CE6">
            <w:rPr>
              <w:rFonts w:ascii="Arial" w:eastAsia="Calibri" w:hAnsi="Arial" w:cs="Times New Roman"/>
              <w:kern w:val="0"/>
              <w:szCs w:val="24"/>
              <w14:ligatures w14:val="none"/>
            </w:rPr>
            <w:instrText xml:space="preserve">CITATION Tor213 \n  \t  \l 9226 </w:instrText>
          </w:r>
          <w:r w:rsidRPr="00A46CE6">
            <w:rPr>
              <w:rFonts w:ascii="Arial" w:eastAsia="Calibri" w:hAnsi="Arial" w:cs="Times New Roman"/>
              <w:kern w:val="0"/>
              <w:szCs w:val="24"/>
              <w:lang w:val="es-419"/>
              <w14:ligatures w14:val="none"/>
            </w:rPr>
            <w:fldChar w:fldCharType="separate"/>
          </w:r>
          <w:r w:rsidRPr="00A46CE6">
            <w:rPr>
              <w:rFonts w:ascii="Arial" w:eastAsia="Calibri" w:hAnsi="Arial" w:cs="Times New Roman"/>
              <w:noProof/>
              <w:kern w:val="0"/>
              <w:szCs w:val="24"/>
              <w14:ligatures w14:val="none"/>
            </w:rPr>
            <w:t>(2021)</w:t>
          </w:r>
          <w:r w:rsidRPr="00A46CE6">
            <w:rPr>
              <w:rFonts w:ascii="Arial" w:eastAsia="Calibri" w:hAnsi="Arial" w:cs="Times New Roman"/>
              <w:kern w:val="0"/>
              <w:szCs w:val="24"/>
              <w:lang w:val="es-419"/>
              <w14:ligatures w14:val="none"/>
            </w:rPr>
            <w:fldChar w:fldCharType="end"/>
          </w:r>
        </w:sdtContent>
      </w:sdt>
      <w:r w:rsidRPr="00A46CE6">
        <w:rPr>
          <w:rFonts w:ascii="Arial" w:eastAsia="Calibri" w:hAnsi="Arial" w:cs="Times New Roman"/>
          <w:kern w:val="0"/>
          <w:szCs w:val="24"/>
          <w:lang w:val="es-419"/>
          <w14:ligatures w14:val="none"/>
        </w:rPr>
        <w:t>.</w:t>
      </w:r>
    </w:p>
    <w:p w14:paraId="1C8C316D" w14:textId="77777777" w:rsidR="00483A6C" w:rsidRPr="00A46CE6" w:rsidRDefault="00483A6C" w:rsidP="00A46CE6">
      <w:pPr>
        <w:spacing w:after="0" w:line="480" w:lineRule="auto"/>
        <w:ind w:firstLine="720"/>
        <w:rPr>
          <w:rFonts w:ascii="Arial" w:eastAsia="Calibri" w:hAnsi="Arial" w:cs="Times New Roman"/>
          <w:kern w:val="0"/>
          <w:szCs w:val="24"/>
          <w:lang w:val="es-419"/>
          <w14:ligatures w14:val="none"/>
        </w:rPr>
      </w:pPr>
    </w:p>
    <w:p w14:paraId="4EDE718D" w14:textId="77777777" w:rsidR="00A46CE6" w:rsidRPr="00A46CE6" w:rsidRDefault="00A46CE6" w:rsidP="00A46CE6">
      <w:pPr>
        <w:keepNext/>
        <w:keepLines/>
        <w:spacing w:after="0" w:line="480" w:lineRule="auto"/>
        <w:jc w:val="center"/>
        <w:outlineLvl w:val="0"/>
        <w:rPr>
          <w:rFonts w:ascii="Arial" w:eastAsia="Times New Roman" w:hAnsi="Arial" w:cs="Times New Roman"/>
          <w:b/>
          <w:kern w:val="0"/>
          <w:szCs w:val="32"/>
          <w:lang w:val="es-ES"/>
          <w14:ligatures w14:val="none"/>
        </w:rPr>
      </w:pPr>
      <w:r w:rsidRPr="00A46CE6">
        <w:rPr>
          <w:rFonts w:ascii="Arial" w:eastAsia="Times New Roman" w:hAnsi="Arial" w:cs="Times New Roman"/>
          <w:b/>
          <w:kern w:val="0"/>
          <w:szCs w:val="32"/>
          <w:lang w:val="es-ES"/>
          <w14:ligatures w14:val="none"/>
        </w:rPr>
        <w:t>Resultados</w:t>
      </w:r>
    </w:p>
    <w:p w14:paraId="46B71D44" w14:textId="77777777" w:rsidR="00A46CE6" w:rsidRPr="00A46CE6" w:rsidRDefault="00A46CE6" w:rsidP="00483A6C">
      <w:pPr>
        <w:spacing w:after="0" w:line="480" w:lineRule="auto"/>
        <w:ind w:firstLine="708"/>
        <w:rPr>
          <w:rFonts w:ascii="Arial" w:eastAsia="Calibri" w:hAnsi="Arial" w:cs="Times New Roman"/>
          <w:kern w:val="0"/>
          <w:szCs w:val="24"/>
          <w:lang w:val="es-ES"/>
          <w14:ligatures w14:val="none"/>
        </w:rPr>
      </w:pPr>
      <w:r w:rsidRPr="00A46CE6">
        <w:rPr>
          <w:rFonts w:ascii="Arial" w:eastAsia="Calibri" w:hAnsi="Arial" w:cs="Times New Roman"/>
          <w:kern w:val="0"/>
          <w:szCs w:val="24"/>
          <w:lang w:val="es-419"/>
          <w14:ligatures w14:val="none"/>
        </w:rPr>
        <w:t xml:space="preserve">La revisión sistemática realizada permitió identificar trabajos </w:t>
      </w:r>
      <w:r w:rsidRPr="00A46CE6">
        <w:rPr>
          <w:rFonts w:ascii="Arial" w:eastAsia="Calibri" w:hAnsi="Arial" w:cs="Times New Roman"/>
          <w:kern w:val="0"/>
          <w:szCs w:val="24"/>
          <w:lang w:val="es-ES"/>
          <w14:ligatures w14:val="none"/>
        </w:rPr>
        <w:t xml:space="preserve">altamente trascendentes y representativos de la temática abordada. Su consideración constituye un aporte fundamental para futuras intervenciones educativas y nutricionales destinadas a optimizar el desempeño académico, especialmente en escenarios socioeconómicos en los que la vulnerabilidad es una realidad. Las propuestas, cuyos detalles se describen a continuación </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primero de manera general y después de modo particular</w:t>
      </w:r>
      <w:r w:rsidRPr="00A46CE6">
        <w:rPr>
          <w:rFonts w:ascii="Arial" w:eastAsia="Calibri" w:hAnsi="Arial" w:cs="Arial"/>
          <w:kern w:val="0"/>
          <w:szCs w:val="24"/>
          <w:lang w:val="es-ES"/>
          <w14:ligatures w14:val="none"/>
        </w:rPr>
        <w:t>—</w:t>
      </w:r>
      <w:r w:rsidRPr="00A46CE6">
        <w:rPr>
          <w:rFonts w:ascii="Arial" w:eastAsia="Calibri" w:hAnsi="Arial" w:cs="Times New Roman"/>
          <w:kern w:val="0"/>
          <w:szCs w:val="24"/>
          <w:lang w:val="es-ES"/>
          <w14:ligatures w14:val="none"/>
        </w:rPr>
        <w:t xml:space="preserve">, destacan la necesidad imperiosa de establecer políticas integrales en materia de nutrición escolar como prioridad educativa y social. </w:t>
      </w:r>
    </w:p>
    <w:p w14:paraId="79EA9AE2" w14:textId="77777777" w:rsidR="00A46CE6" w:rsidRPr="00A46CE6" w:rsidRDefault="00A46CE6" w:rsidP="00A46CE6">
      <w:pPr>
        <w:spacing w:after="0" w:line="480" w:lineRule="auto"/>
        <w:rPr>
          <w:rFonts w:ascii="Arial" w:eastAsia="Calibri" w:hAnsi="Arial" w:cs="Times New Roman"/>
          <w:kern w:val="0"/>
          <w:szCs w:val="24"/>
          <w:lang w:val="es-ES"/>
          <w14:ligatures w14:val="none"/>
        </w:rPr>
      </w:pPr>
    </w:p>
    <w:p w14:paraId="3844C07F" w14:textId="3F3C910A" w:rsidR="00A46CE6" w:rsidRPr="00A46CE6" w:rsidRDefault="00A46CE6" w:rsidP="00A46CE6">
      <w:pPr>
        <w:spacing w:after="0" w:line="480" w:lineRule="auto"/>
        <w:rPr>
          <w:rFonts w:ascii="Arial" w:eastAsia="Calibri" w:hAnsi="Arial" w:cs="Times New Roman"/>
          <w:b/>
          <w:bCs/>
          <w:kern w:val="0"/>
          <w:szCs w:val="24"/>
          <w:lang w:val="es-ES"/>
          <w14:ligatures w14:val="none"/>
        </w:rPr>
      </w:pPr>
      <w:r w:rsidRPr="00A46CE6">
        <w:rPr>
          <w:rFonts w:ascii="Arial" w:eastAsia="Calibri" w:hAnsi="Arial" w:cs="Times New Roman"/>
          <w:b/>
          <w:bCs/>
          <w:kern w:val="0"/>
          <w:szCs w:val="24"/>
          <w:lang w:val="es-ES"/>
          <w14:ligatures w14:val="none"/>
        </w:rPr>
        <w:t xml:space="preserve">Resultados </w:t>
      </w:r>
      <w:r w:rsidR="00483A6C">
        <w:rPr>
          <w:rFonts w:ascii="Arial" w:eastAsia="Calibri" w:hAnsi="Arial" w:cs="Times New Roman"/>
          <w:b/>
          <w:bCs/>
          <w:kern w:val="0"/>
          <w:szCs w:val="24"/>
          <w:lang w:val="es-ES"/>
          <w14:ligatures w14:val="none"/>
        </w:rPr>
        <w:t>G</w:t>
      </w:r>
      <w:r w:rsidRPr="00A46CE6">
        <w:rPr>
          <w:rFonts w:ascii="Arial" w:eastAsia="Calibri" w:hAnsi="Arial" w:cs="Times New Roman"/>
          <w:b/>
          <w:bCs/>
          <w:kern w:val="0"/>
          <w:szCs w:val="24"/>
          <w:lang w:val="es-ES"/>
          <w14:ligatures w14:val="none"/>
        </w:rPr>
        <w:t>enerales</w:t>
      </w:r>
    </w:p>
    <w:p w14:paraId="40998D4C" w14:textId="77777777" w:rsidR="00A46CE6" w:rsidRPr="00A46CE6" w:rsidRDefault="00A46CE6" w:rsidP="00483A6C">
      <w:pPr>
        <w:spacing w:after="0" w:line="480" w:lineRule="auto"/>
        <w:ind w:firstLine="708"/>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Los datos reseñados seguidamente permiten tener una visión general de las características bibliométricas de los estudios considerados. En lo que respecta a su rango temporal, la mayoría de los estudios catalogados (24%) fueron publicados en 2024, lo que da cuenta de un vigente interés investigativo en la temática abordada (ver Figura 1). </w:t>
      </w:r>
    </w:p>
    <w:p w14:paraId="5DCE692F"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602362A" w14:textId="77777777" w:rsidR="00A46CE6" w:rsidRDefault="00A46CE6" w:rsidP="00A46CE6">
      <w:pPr>
        <w:spacing w:after="0" w:line="480" w:lineRule="auto"/>
        <w:rPr>
          <w:rFonts w:ascii="Arial" w:eastAsia="Calibri" w:hAnsi="Arial" w:cs="Times New Roman"/>
          <w:kern w:val="0"/>
          <w:szCs w:val="24"/>
          <w:lang w:val="es-419"/>
          <w14:ligatures w14:val="none"/>
        </w:rPr>
      </w:pPr>
    </w:p>
    <w:p w14:paraId="51110EB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2C249C61" w14:textId="77777777" w:rsidR="00A46CE6" w:rsidRDefault="00A46CE6" w:rsidP="00A46CE6">
      <w:pPr>
        <w:spacing w:after="0" w:line="480" w:lineRule="auto"/>
        <w:rPr>
          <w:rFonts w:ascii="Arial" w:eastAsia="Calibri" w:hAnsi="Arial" w:cs="Times New Roman"/>
          <w:kern w:val="0"/>
          <w:szCs w:val="24"/>
          <w:lang w:val="es-419"/>
          <w14:ligatures w14:val="none"/>
        </w:rPr>
      </w:pPr>
    </w:p>
    <w:p w14:paraId="18DE8118" w14:textId="77777777" w:rsidR="00A46CE6" w:rsidRDefault="00A46CE6" w:rsidP="00A46CE6">
      <w:pPr>
        <w:spacing w:after="0" w:line="480" w:lineRule="auto"/>
        <w:rPr>
          <w:rFonts w:ascii="Arial" w:eastAsia="Calibri" w:hAnsi="Arial" w:cs="Times New Roman"/>
          <w:kern w:val="0"/>
          <w:szCs w:val="24"/>
          <w:lang w:val="es-419"/>
          <w14:ligatures w14:val="none"/>
        </w:rPr>
      </w:pPr>
    </w:p>
    <w:p w14:paraId="69D00B73"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52A62257"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1</w:t>
      </w:r>
    </w:p>
    <w:p w14:paraId="4A803D85"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Cantidad de trabajos publicados por año</w:t>
      </w:r>
    </w:p>
    <w:p w14:paraId="34C4EFF5"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6756255D" wp14:editId="6EE4409E">
            <wp:extent cx="5928360" cy="2419773"/>
            <wp:effectExtent l="0" t="0" r="15240" b="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sidRPr="00A46CE6">
        <w:rPr>
          <w:rFonts w:ascii="Arial" w:eastAsia="Calibri" w:hAnsi="Arial" w:cs="Times New Roman"/>
          <w:kern w:val="0"/>
          <w:szCs w:val="24"/>
          <w:lang w:val="es-419"/>
          <w14:ligatures w14:val="none"/>
        </w:rPr>
        <w:t xml:space="preserve">  </w:t>
      </w:r>
    </w:p>
    <w:p w14:paraId="02365F4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AF1CF07"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Por otro lado, en cuanto a su procedencia, los trabajos fueron aislados, principalmente en la base de datos Google Académico (58%), como se aprecia en la Figura 2. Otras fuentes de contribución importantes fueron los repositorios institucionales y las bases de datos de indexación Scielo y Dialnet. </w:t>
      </w:r>
    </w:p>
    <w:p w14:paraId="29A02E2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2E5A7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AC1725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22EE3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9055AA0"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1988FF"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7EE5A98B"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159CCB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B37264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090687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4E0DA65"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0116E988"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2</w:t>
      </w:r>
    </w:p>
    <w:p w14:paraId="6709C0B3" w14:textId="77777777" w:rsidR="00A46CE6" w:rsidRPr="00483A6C" w:rsidRDefault="00A46CE6" w:rsidP="00A46CE6">
      <w:pPr>
        <w:spacing w:after="24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Cantidad de trabajos por base de dato de aislamiento</w:t>
      </w:r>
    </w:p>
    <w:p w14:paraId="7C327901"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458FD373" wp14:editId="4BADD65E">
            <wp:extent cx="5753100" cy="3552190"/>
            <wp:effectExtent l="0" t="0" r="0" b="1016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75908D6"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6DB4BB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4993B5ED" w14:textId="4A27CD94"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Por último, en la Figura 3 se describe de manera gráfica la agrupación de los documentos consultados por su tipología particular. En este caso, se identificó una clara predominancia de los artículos de carácter científico (38%), seguidos por trabajos de grado pertinentes a nivel profesional (28%) y, en menor proporción, tesis de investigación derivadas</w:t>
      </w:r>
      <w:r w:rsidR="00483A6C">
        <w:rPr>
          <w:rFonts w:ascii="Arial" w:eastAsia="Calibri" w:hAnsi="Arial" w:cs="Times New Roman"/>
          <w:kern w:val="0"/>
          <w:szCs w:val="24"/>
          <w:lang w:val="es-419"/>
          <w14:ligatures w14:val="none"/>
        </w:rPr>
        <w:t xml:space="preserve"> de </w:t>
      </w:r>
      <w:r w:rsidRPr="00A46CE6">
        <w:rPr>
          <w:rFonts w:ascii="Arial" w:eastAsia="Calibri" w:hAnsi="Arial" w:cs="Times New Roman"/>
          <w:kern w:val="0"/>
          <w:szCs w:val="24"/>
          <w:lang w:val="es-419"/>
          <w14:ligatures w14:val="none"/>
        </w:rPr>
        <w:t xml:space="preserve"> titulaciones en el nivel de maestría.</w:t>
      </w:r>
    </w:p>
    <w:p w14:paraId="5BB751A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51B588FA"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1BCF3F74"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46A79D56"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p>
    <w:p w14:paraId="3CEE933F"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2B724A2"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3</w:t>
      </w:r>
    </w:p>
    <w:p w14:paraId="07052509"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Cantidad de trabajos por tipología</w:t>
      </w:r>
    </w:p>
    <w:p w14:paraId="6B6A7700"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282E30B1" wp14:editId="0F0EACA1">
            <wp:extent cx="5722620" cy="2758440"/>
            <wp:effectExtent l="0" t="0" r="11430" b="381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E6425B2"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30710AF" w14:textId="77777777" w:rsid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Ahora bien, en lo que concierne a su contenido, el análisis de palabras clave permitió identificar los nodos de interés que se describen en la Figura 4, con una correlación general hacia el nodo “Nutrición”. </w:t>
      </w:r>
    </w:p>
    <w:p w14:paraId="38C868C0" w14:textId="77777777" w:rsidR="00483A6C" w:rsidRPr="00A46CE6" w:rsidRDefault="00483A6C" w:rsidP="00A46CE6">
      <w:pPr>
        <w:spacing w:after="240" w:line="480" w:lineRule="auto"/>
        <w:ind w:firstLine="720"/>
        <w:rPr>
          <w:rFonts w:ascii="Arial" w:eastAsia="Calibri" w:hAnsi="Arial" w:cs="Times New Roman"/>
          <w:kern w:val="0"/>
          <w:szCs w:val="24"/>
          <w:lang w:val="es-419"/>
          <w14:ligatures w14:val="none"/>
        </w:rPr>
      </w:pPr>
    </w:p>
    <w:p w14:paraId="1117B629"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4</w:t>
      </w:r>
    </w:p>
    <w:p w14:paraId="55B3F94B"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Nodos temáticos caracterizados</w:t>
      </w:r>
    </w:p>
    <w:p w14:paraId="746F8723"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mc:AlternateContent>
          <mc:Choice Requires="wpg">
            <w:drawing>
              <wp:anchor distT="0" distB="0" distL="114300" distR="114300" simplePos="0" relativeHeight="251659264" behindDoc="0" locked="0" layoutInCell="1" allowOverlap="1" wp14:anchorId="4101440D" wp14:editId="689C7CF7">
                <wp:simplePos x="0" y="0"/>
                <wp:positionH relativeFrom="column">
                  <wp:posOffset>0</wp:posOffset>
                </wp:positionH>
                <wp:positionV relativeFrom="paragraph">
                  <wp:posOffset>36195</wp:posOffset>
                </wp:positionV>
                <wp:extent cx="5966460" cy="1996440"/>
                <wp:effectExtent l="0" t="0" r="15240" b="22860"/>
                <wp:wrapNone/>
                <wp:docPr id="1412326394" name="Grupo 10"/>
                <wp:cNvGraphicFramePr/>
                <a:graphic xmlns:a="http://schemas.openxmlformats.org/drawingml/2006/main">
                  <a:graphicData uri="http://schemas.microsoft.com/office/word/2010/wordprocessingGroup">
                    <wpg:wgp>
                      <wpg:cNvGrpSpPr/>
                      <wpg:grpSpPr>
                        <a:xfrm>
                          <a:off x="0" y="0"/>
                          <a:ext cx="5966460" cy="1996440"/>
                          <a:chOff x="0" y="0"/>
                          <a:chExt cx="5966460" cy="1996440"/>
                        </a:xfrm>
                      </wpg:grpSpPr>
                      <wps:wsp>
                        <wps:cNvPr id="1030108864" name="Cuadro de texto 2"/>
                        <wps:cNvSpPr txBox="1"/>
                        <wps:spPr>
                          <a:xfrm>
                            <a:off x="2011680" y="1676400"/>
                            <a:ext cx="1882140" cy="320040"/>
                          </a:xfrm>
                          <a:prstGeom prst="rect">
                            <a:avLst/>
                          </a:prstGeom>
                          <a:solidFill>
                            <a:sysClr val="window" lastClr="FFFFFF"/>
                          </a:solidFill>
                          <a:ln w="6350">
                            <a:solidFill>
                              <a:prstClr val="black"/>
                            </a:solidFill>
                          </a:ln>
                        </wps:spPr>
                        <wps:txbx>
                          <w:txbxContent>
                            <w:p w14:paraId="70DA03A7" w14:textId="77777777" w:rsidR="00A46CE6" w:rsidRPr="007D1E31" w:rsidRDefault="00A46CE6" w:rsidP="00A46CE6">
                              <w:pPr>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ysClr val="window" lastClr="FFFFFF"/>
                          </a:solidFill>
                          <a:ln w="6350">
                            <a:solidFill>
                              <a:prstClr val="black"/>
                            </a:solidFill>
                          </a:ln>
                        </wps:spPr>
                        <wps:txbx>
                          <w:txbxContent>
                            <w:p w14:paraId="76CB1B52" w14:textId="77777777" w:rsidR="00A46CE6" w:rsidRDefault="00A46CE6" w:rsidP="00A46CE6">
                              <w:pPr>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ysClr val="window" lastClr="FFFFFF"/>
                          </a:solidFill>
                          <a:ln w="6350">
                            <a:solidFill>
                              <a:prstClr val="black"/>
                            </a:solidFill>
                          </a:ln>
                        </wps:spPr>
                        <wps:txbx>
                          <w:txbxContent>
                            <w:p w14:paraId="68E40A27" w14:textId="77777777" w:rsidR="00A46CE6" w:rsidRDefault="00A46CE6" w:rsidP="00A46CE6">
                              <w:pPr>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ysClr val="window" lastClr="FFFFFF"/>
                          </a:solidFill>
                          <a:ln w="6350">
                            <a:solidFill>
                              <a:prstClr val="black"/>
                            </a:solidFill>
                          </a:ln>
                        </wps:spPr>
                        <wps:txbx>
                          <w:txbxContent>
                            <w:p w14:paraId="0F6673A1" w14:textId="77777777" w:rsidR="00A46CE6" w:rsidRDefault="00A46CE6" w:rsidP="00A46CE6">
                              <w:pPr>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ysClr val="window" lastClr="FFFFFF"/>
                          </a:solidFill>
                          <a:ln w="6350">
                            <a:solidFill>
                              <a:prstClr val="black"/>
                            </a:solidFill>
                          </a:ln>
                        </wps:spPr>
                        <wps:txbx>
                          <w:txbxContent>
                            <w:p w14:paraId="686EABD2" w14:textId="77777777" w:rsidR="00A46CE6" w:rsidRDefault="00A46CE6" w:rsidP="00A46CE6">
                              <w:pPr>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noFill/>
                          <a:ln w="6350" cap="flat" cmpd="sng" algn="ctr">
                            <a:solidFill>
                              <a:srgbClr val="4472C4"/>
                            </a:solidFill>
                            <a:prstDash val="solid"/>
                            <a:miter lim="800000"/>
                            <a:tailEnd type="triangle"/>
                          </a:ln>
                          <a:effectLst/>
                        </wps:spPr>
                        <wps:bodyPr/>
                      </wps:wsp>
                      <wps:wsp>
                        <wps:cNvPr id="816928019" name="Conector recto de flecha 816928019"/>
                        <wps:cNvCnPr/>
                        <wps:spPr>
                          <a:xfrm flipV="1">
                            <a:off x="2903220" y="1245870"/>
                            <a:ext cx="2175510" cy="415290"/>
                          </a:xfrm>
                          <a:prstGeom prst="straightConnector1">
                            <a:avLst/>
                          </a:prstGeom>
                          <a:noFill/>
                          <a:ln w="6350" cap="flat" cmpd="sng" algn="ctr">
                            <a:solidFill>
                              <a:srgbClr val="4472C4"/>
                            </a:solidFill>
                            <a:prstDash val="solid"/>
                            <a:miter lim="800000"/>
                            <a:tailEnd type="triangle"/>
                          </a:ln>
                          <a:effectLst/>
                        </wps:spPr>
                        <wps:bodyPr/>
                      </wps:wsp>
                      <wps:wsp>
                        <wps:cNvPr id="1941701396" name="Conector recto de flecha 1941701396"/>
                        <wps:cNvCnPr/>
                        <wps:spPr>
                          <a:xfrm flipH="1" flipV="1">
                            <a:off x="1394460" y="335280"/>
                            <a:ext cx="1508760" cy="1333500"/>
                          </a:xfrm>
                          <a:prstGeom prst="straightConnector1">
                            <a:avLst/>
                          </a:prstGeom>
                          <a:noFill/>
                          <a:ln w="6350" cap="flat" cmpd="sng" algn="ctr">
                            <a:solidFill>
                              <a:srgbClr val="4472C4"/>
                            </a:solidFill>
                            <a:prstDash val="solid"/>
                            <a:miter lim="800000"/>
                            <a:tailEnd type="triangle"/>
                          </a:ln>
                          <a:effectLst/>
                        </wps:spPr>
                        <wps:bodyPr/>
                      </wps:wsp>
                      <wps:wsp>
                        <wps:cNvPr id="1165002431" name="Conector recto de flecha 1165002431"/>
                        <wps:cNvCnPr/>
                        <wps:spPr>
                          <a:xfrm flipV="1">
                            <a:off x="2903220" y="335280"/>
                            <a:ext cx="1592580" cy="1341120"/>
                          </a:xfrm>
                          <a:prstGeom prst="straightConnector1">
                            <a:avLst/>
                          </a:prstGeom>
                          <a:noFill/>
                          <a:ln w="6350" cap="flat" cmpd="sng" algn="ctr">
                            <a:solidFill>
                              <a:srgbClr val="4472C4"/>
                            </a:solidFill>
                            <a:prstDash val="solid"/>
                            <a:miter lim="800000"/>
                            <a:tailEnd type="triangle"/>
                          </a:ln>
                          <a:effectLst/>
                        </wps:spPr>
                        <wps:bodyPr/>
                      </wps:wsp>
                      <wps:wsp>
                        <wps:cNvPr id="1377668040" name="Conector recto de flecha 1377668040"/>
                        <wps:cNvCnPr/>
                        <wps:spPr>
                          <a:xfrm>
                            <a:off x="4495800" y="335280"/>
                            <a:ext cx="582930" cy="586740"/>
                          </a:xfrm>
                          <a:prstGeom prst="straightConnector1">
                            <a:avLst/>
                          </a:prstGeom>
                          <a:noFill/>
                          <a:ln w="6350" cap="flat" cmpd="sng" algn="ctr">
                            <a:solidFill>
                              <a:srgbClr val="4472C4"/>
                            </a:solidFill>
                            <a:prstDash val="dash"/>
                            <a:miter lim="800000"/>
                            <a:tailEnd type="triangle"/>
                          </a:ln>
                          <a:effectLst/>
                        </wps:spPr>
                        <wps:bodyPr/>
                      </wps:wsp>
                      <wps:wsp>
                        <wps:cNvPr id="2072466920" name="Conector recto de flecha 2072466920"/>
                        <wps:cNvCnPr/>
                        <wps:spPr>
                          <a:xfrm flipH="1">
                            <a:off x="838200" y="335280"/>
                            <a:ext cx="560070" cy="647700"/>
                          </a:xfrm>
                          <a:prstGeom prst="straightConnector1">
                            <a:avLst/>
                          </a:prstGeom>
                          <a:noFill/>
                          <a:ln w="6350" cap="flat" cmpd="sng" algn="ctr">
                            <a:solidFill>
                              <a:srgbClr val="4472C4"/>
                            </a:solidFill>
                            <a:prstDash val="dash"/>
                            <a:miter lim="800000"/>
                            <a:tailEnd type="triangle"/>
                          </a:ln>
                          <a:effectLst/>
                        </wps:spPr>
                        <wps:bodyPr/>
                      </wps:wsp>
                      <wps:wsp>
                        <wps:cNvPr id="1717774878" name="Conector recto de flecha 1717774878"/>
                        <wps:cNvCnPr/>
                        <wps:spPr>
                          <a:xfrm>
                            <a:off x="1882140" y="1143000"/>
                            <a:ext cx="2202180" cy="0"/>
                          </a:xfrm>
                          <a:prstGeom prst="straightConnector1">
                            <a:avLst/>
                          </a:prstGeom>
                          <a:noFill/>
                          <a:ln w="6350" cap="flat" cmpd="sng" algn="ctr">
                            <a:solidFill>
                              <a:srgbClr val="4472C4"/>
                            </a:solidFill>
                            <a:prstDash val="dash"/>
                            <a:miter lim="800000"/>
                            <a:headEnd type="triangle"/>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4101440D" id="Grupo 10" o:spid="_x0000_s1026" style="position:absolute;left:0;text-align:left;margin-left:0;margin-top:2.85pt;width:469.8pt;height:157.2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" fillcolor="window" strokeweight=".5pt">
                  <v:textbox>
                    <w:txbxContent>
                      <w:p w14:paraId="70DA03A7" w14:textId="77777777" w:rsidR="00A46CE6" w:rsidRPr="007D1E31" w:rsidRDefault="00A46CE6" w:rsidP="00A46CE6">
                        <w:pPr>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" fillcolor="window" strokeweight=".5pt">
                  <v:textbox>
                    <w:txbxContent>
                      <w:p w14:paraId="76CB1B52" w14:textId="77777777" w:rsidR="00A46CE6" w:rsidRDefault="00A46CE6" w:rsidP="00A46CE6">
                        <w:pPr>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" fillcolor="window" strokeweight=".5pt">
                  <v:textbox>
                    <w:txbxContent>
                      <w:p w14:paraId="68E40A27" w14:textId="77777777" w:rsidR="00A46CE6" w:rsidRDefault="00A46CE6" w:rsidP="00A46CE6">
                        <w:pPr>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" fillcolor="window" strokeweight=".5pt">
                  <v:textbox>
                    <w:txbxContent>
                      <w:p w14:paraId="0F6673A1" w14:textId="77777777" w:rsidR="00A46CE6" w:rsidRDefault="00A46CE6" w:rsidP="00A46CE6">
                        <w:pPr>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" fillcolor="window" strokeweight=".5pt">
                  <v:textbox>
                    <w:txbxContent>
                      <w:p w14:paraId="686EABD2" w14:textId="77777777" w:rsidR="00A46CE6" w:rsidRDefault="00A46CE6" w:rsidP="00A46CE6">
                        <w:pPr>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" strokecolor="#4472c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" strokecolor="#4472c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" strokecolor="#4472c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" strokecolor="#4472c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" strokecolor="#4472c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" strokecolor="#4472c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" strokecolor="#4472c4" strokeweight=".5pt">
                  <v:stroke dashstyle="dash" startarrow="block" endarrow="block" joinstyle="miter"/>
                </v:shape>
              </v:group>
            </w:pict>
          </mc:Fallback>
        </mc:AlternateContent>
      </w:r>
      <w:r w:rsidRPr="00A46CE6">
        <w:rPr>
          <w:rFonts w:ascii="Arial" w:eastAsia="Calibri" w:hAnsi="Arial" w:cs="Times New Roman"/>
          <w:kern w:val="0"/>
          <w:szCs w:val="24"/>
          <w:lang w:val="es-419"/>
          <w14:ligatures w14:val="none"/>
        </w:rPr>
        <w:t xml:space="preserve"> </w:t>
      </w:r>
    </w:p>
    <w:p w14:paraId="75A0423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0187B5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66417AB8"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790DE02C"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245DF770"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3EA5C7A"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10EA9787"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12C3DC67" w14:textId="77777777" w:rsidR="00A46CE6" w:rsidRDefault="00A46CE6" w:rsidP="00A46CE6">
      <w:pPr>
        <w:spacing w:after="24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 xml:space="preserve">De la Figura 4 se desprende que los estudios recolectados toman como eje en común la nutrición, el cual conecta en la mayoría de los casos con el rendimiento académico y el aprendizaje. Otros elementos coincidentes de repetida aparición en relación con el nodo principal y los de apoyo son la educación nutricional y los hábitos alimenticios.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trabajos sigue una perspectiva mixta (ver Figura 5). </w:t>
      </w:r>
    </w:p>
    <w:p w14:paraId="44FE8B91" w14:textId="77777777" w:rsidR="00483A6C" w:rsidRPr="00A46CE6" w:rsidRDefault="00483A6C" w:rsidP="00A46CE6">
      <w:pPr>
        <w:spacing w:after="240" w:line="480" w:lineRule="auto"/>
        <w:ind w:firstLine="720"/>
        <w:rPr>
          <w:rFonts w:ascii="Arial" w:eastAsia="Calibri" w:hAnsi="Arial" w:cs="Times New Roman"/>
          <w:kern w:val="0"/>
          <w:szCs w:val="24"/>
          <w:lang w:val="es-419"/>
          <w14:ligatures w14:val="none"/>
        </w:rPr>
      </w:pPr>
    </w:p>
    <w:p w14:paraId="7EEB2465"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Figura 5</w:t>
      </w:r>
    </w:p>
    <w:p w14:paraId="1DE033C0"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483A6C">
        <w:rPr>
          <w:rFonts w:ascii="Arial" w:eastAsia="Calibri" w:hAnsi="Arial" w:cs="Times New Roman"/>
          <w:i/>
          <w:kern w:val="0"/>
          <w:szCs w:val="24"/>
          <w14:ligatures w14:val="none"/>
        </w:rPr>
        <w:t>Cantidad de trabajos por enfoque</w:t>
      </w:r>
    </w:p>
    <w:p w14:paraId="3D2E065F" w14:textId="77777777" w:rsidR="00A46CE6" w:rsidRPr="00A46CE6" w:rsidRDefault="00A46CE6" w:rsidP="00A46CE6">
      <w:pPr>
        <w:spacing w:after="0" w:line="240" w:lineRule="auto"/>
        <w:rPr>
          <w:rFonts w:ascii="Arial" w:eastAsia="Calibri" w:hAnsi="Arial" w:cs="Times New Roman"/>
          <w:kern w:val="0"/>
          <w:szCs w:val="24"/>
          <w:lang w:val="es-419"/>
          <w14:ligatures w14:val="none"/>
        </w:rPr>
      </w:pPr>
      <w:r w:rsidRPr="00A46CE6">
        <w:rPr>
          <w:rFonts w:ascii="Arial" w:eastAsia="Calibri" w:hAnsi="Arial" w:cs="Times New Roman"/>
          <w:noProof/>
          <w:kern w:val="0"/>
          <w:szCs w:val="24"/>
          <w14:ligatures w14:val="none"/>
        </w:rPr>
        <w:drawing>
          <wp:inline distT="0" distB="0" distL="0" distR="0" wp14:anchorId="5672EC31" wp14:editId="11DBF330">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B73824"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74F1777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6E803D5B" w14:textId="054FC5E3"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Por último, en la</w:t>
      </w:r>
      <w:r w:rsidR="007B3834">
        <w:rPr>
          <w:rFonts w:ascii="Arial" w:eastAsia="Calibri" w:hAnsi="Arial" w:cs="Times New Roman"/>
          <w:kern w:val="0"/>
          <w:szCs w:val="24"/>
          <w:lang w:val="es-419"/>
          <w14:ligatures w14:val="none"/>
        </w:rPr>
        <w:t>s</w:t>
      </w:r>
      <w:r w:rsidRPr="00A46CE6">
        <w:rPr>
          <w:rFonts w:ascii="Arial" w:eastAsia="Calibri" w:hAnsi="Arial" w:cs="Times New Roman"/>
          <w:kern w:val="0"/>
          <w:szCs w:val="24"/>
          <w:lang w:val="es-419"/>
          <w14:ligatures w14:val="none"/>
        </w:rPr>
        <w:t xml:space="preserve"> Tabla</w:t>
      </w:r>
      <w:r w:rsidR="007B3834">
        <w:rPr>
          <w:rFonts w:ascii="Arial" w:eastAsia="Calibri" w:hAnsi="Arial" w:cs="Times New Roman"/>
          <w:kern w:val="0"/>
          <w:szCs w:val="24"/>
          <w:lang w:val="es-419"/>
          <w14:ligatures w14:val="none"/>
        </w:rPr>
        <w:t>s</w:t>
      </w:r>
      <w:r w:rsidRPr="00A46CE6">
        <w:rPr>
          <w:rFonts w:ascii="Arial" w:eastAsia="Calibri" w:hAnsi="Arial" w:cs="Times New Roman"/>
          <w:kern w:val="0"/>
          <w:szCs w:val="24"/>
          <w:lang w:val="es-419"/>
          <w14:ligatures w14:val="none"/>
        </w:rPr>
        <w:t xml:space="preserve"> 1</w:t>
      </w:r>
      <w:r w:rsidR="007B3834">
        <w:rPr>
          <w:rFonts w:ascii="Arial" w:eastAsia="Calibri" w:hAnsi="Arial" w:cs="Times New Roman"/>
          <w:kern w:val="0"/>
          <w:szCs w:val="24"/>
          <w:lang w:val="es-419"/>
          <w14:ligatures w14:val="none"/>
        </w:rPr>
        <w:t xml:space="preserve"> y 2</w:t>
      </w:r>
      <w:r w:rsidRPr="00A46CE6">
        <w:rPr>
          <w:rFonts w:ascii="Arial" w:eastAsia="Calibri" w:hAnsi="Arial" w:cs="Times New Roman"/>
          <w:kern w:val="0"/>
          <w:szCs w:val="24"/>
          <w:lang w:val="es-419"/>
          <w14:ligatures w14:val="none"/>
        </w:rPr>
        <w:t xml:space="preserve"> se ofrece</w:t>
      </w:r>
      <w:r w:rsidR="007B3834">
        <w:rPr>
          <w:rFonts w:ascii="Arial" w:eastAsia="Calibri" w:hAnsi="Arial" w:cs="Times New Roman"/>
          <w:kern w:val="0"/>
          <w:szCs w:val="24"/>
          <w:lang w:val="es-419"/>
          <w14:ligatures w14:val="none"/>
        </w:rPr>
        <w:t>n</w:t>
      </w:r>
      <w:r w:rsidRPr="00A46CE6">
        <w:rPr>
          <w:rFonts w:ascii="Arial" w:eastAsia="Calibri" w:hAnsi="Arial" w:cs="Times New Roman"/>
          <w:kern w:val="0"/>
          <w:szCs w:val="24"/>
          <w:lang w:val="es-419"/>
          <w14:ligatures w14:val="none"/>
        </w:rPr>
        <w:t xml:space="preserve"> una clasificación detallada de las temáticas complementarias y de los estudios abordados que se abocan, específicamente, al análisis de los factores nutricionales. </w:t>
      </w:r>
    </w:p>
    <w:p w14:paraId="24B34D3E"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p>
    <w:p w14:paraId="48BED075"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Tabla 1</w:t>
      </w:r>
    </w:p>
    <w:p w14:paraId="5B4FF0D8"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A46CE6" w:rsidRPr="00A46CE6" w14:paraId="30A37344" w14:textId="77777777" w:rsidTr="005F7B9F">
        <w:trPr>
          <w:trHeight w:val="288"/>
        </w:trPr>
        <w:tc>
          <w:tcPr>
            <w:tcW w:w="2263" w:type="dxa"/>
            <w:tcBorders>
              <w:top w:val="single" w:sz="4" w:space="0" w:color="auto"/>
              <w:bottom w:val="single" w:sz="4" w:space="0" w:color="auto"/>
            </w:tcBorders>
            <w:shd w:val="clear" w:color="auto" w:fill="auto"/>
            <w:vAlign w:val="center"/>
            <w:hideMark/>
          </w:tcPr>
          <w:p w14:paraId="24D76E3B"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088" w:type="dxa"/>
            <w:tcBorders>
              <w:top w:val="single" w:sz="4" w:space="0" w:color="auto"/>
              <w:bottom w:val="single" w:sz="4" w:space="0" w:color="auto"/>
            </w:tcBorders>
            <w:shd w:val="clear" w:color="auto" w:fill="auto"/>
            <w:vAlign w:val="center"/>
            <w:hideMark/>
          </w:tcPr>
          <w:p w14:paraId="77AC8627"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FB444CE" w14:textId="77777777" w:rsidTr="005F7B9F">
        <w:trPr>
          <w:trHeight w:val="592"/>
        </w:trPr>
        <w:tc>
          <w:tcPr>
            <w:tcW w:w="2263" w:type="dxa"/>
            <w:vMerge w:val="restart"/>
            <w:tcBorders>
              <w:top w:val="single" w:sz="4" w:space="0" w:color="auto"/>
            </w:tcBorders>
            <w:shd w:val="clear" w:color="auto" w:fill="auto"/>
            <w:vAlign w:val="center"/>
            <w:hideMark/>
          </w:tcPr>
          <w:p w14:paraId="0989BD2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042AB65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A22F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A0EB42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12279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32A7F023" w14:textId="6ED36F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Medina y Mosquera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m</w:t>
            </w:r>
            <w:r w:rsidRPr="00A46CE6">
              <w:rPr>
                <w:rFonts w:ascii="Arial" w:eastAsia="Times New Roman" w:hAnsi="Arial" w:cs="Arial"/>
                <w:color w:val="000000"/>
                <w:kern w:val="0"/>
                <w:sz w:val="20"/>
                <w:szCs w:val="20"/>
                <w:lang w:val="es-419" w:eastAsia="es-419"/>
                <w14:ligatures w14:val="none"/>
              </w:rPr>
              <w:t>uestra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alimentación influye en el desempeño escolar en estudiantes de transición.</w:t>
            </w:r>
          </w:p>
        </w:tc>
      </w:tr>
      <w:tr w:rsidR="00A46CE6" w:rsidRPr="00A46CE6" w14:paraId="2D83EC50" w14:textId="77777777" w:rsidTr="005F7B9F">
        <w:trPr>
          <w:trHeight w:val="700"/>
        </w:trPr>
        <w:tc>
          <w:tcPr>
            <w:tcW w:w="2263" w:type="dxa"/>
            <w:vMerge/>
            <w:shd w:val="clear" w:color="auto" w:fill="auto"/>
            <w:vAlign w:val="center"/>
            <w:hideMark/>
          </w:tcPr>
          <w:p w14:paraId="71C087B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0223ABD6" w14:textId="6A3030C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Velázquez et al. (2022)</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valúa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calidad del servicio de alimentación escolar identificando aspectos críticos y áreas de mejora.</w:t>
            </w:r>
          </w:p>
        </w:tc>
      </w:tr>
      <w:tr w:rsidR="00A46CE6" w:rsidRPr="00A46CE6" w14:paraId="65D8BEE3" w14:textId="77777777" w:rsidTr="005F7B9F">
        <w:trPr>
          <w:trHeight w:val="555"/>
        </w:trPr>
        <w:tc>
          <w:tcPr>
            <w:tcW w:w="2263" w:type="dxa"/>
            <w:vMerge/>
            <w:shd w:val="clear" w:color="auto" w:fill="auto"/>
            <w:vAlign w:val="center"/>
            <w:hideMark/>
          </w:tcPr>
          <w:p w14:paraId="390D7C0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555CD809" w14:textId="77627661"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Calisto y Díaz (2019)</w:t>
            </w:r>
            <w:r w:rsidR="007B3834">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uestiona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adecuación nutricional del programa JUNAEB en Chile y su impacto en el desarrollo cognitivo temprano.</w:t>
            </w:r>
          </w:p>
        </w:tc>
      </w:tr>
      <w:tr w:rsidR="00A46CE6" w:rsidRPr="00A46CE6" w14:paraId="57DD28AD" w14:textId="77777777" w:rsidTr="005F7B9F">
        <w:trPr>
          <w:trHeight w:val="549"/>
        </w:trPr>
        <w:tc>
          <w:tcPr>
            <w:tcW w:w="2263" w:type="dxa"/>
            <w:vMerge/>
            <w:shd w:val="clear" w:color="auto" w:fill="auto"/>
            <w:vAlign w:val="center"/>
            <w:hideMark/>
          </w:tcPr>
          <w:p w14:paraId="472000B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C7C4FF" w14:textId="71F90E7F"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Días et al. (2023)</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valúa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aceptabilidad alimentaria según la diversidad social en Brasil.</w:t>
            </w:r>
          </w:p>
        </w:tc>
      </w:tr>
      <w:tr w:rsidR="00A46CE6" w:rsidRPr="00A46CE6" w14:paraId="4BF4A6C2" w14:textId="77777777" w:rsidTr="005F7B9F">
        <w:trPr>
          <w:trHeight w:val="699"/>
        </w:trPr>
        <w:tc>
          <w:tcPr>
            <w:tcW w:w="2263" w:type="dxa"/>
            <w:vMerge/>
            <w:tcBorders>
              <w:bottom w:val="single" w:sz="4" w:space="0" w:color="auto"/>
            </w:tcBorders>
            <w:shd w:val="clear" w:color="auto" w:fill="auto"/>
            <w:vAlign w:val="center"/>
            <w:hideMark/>
          </w:tcPr>
          <w:p w14:paraId="5A6E5DF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5717ED3A" w14:textId="772305BB"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Salguero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estaca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estrategias de gestión en inocuidad y calidad alimentaria post COVID-19 en Tolima.</w:t>
            </w:r>
          </w:p>
        </w:tc>
      </w:tr>
      <w:tr w:rsidR="00A46CE6" w:rsidRPr="00A46CE6" w14:paraId="7149DE8D" w14:textId="77777777" w:rsidTr="005F7B9F">
        <w:trPr>
          <w:trHeight w:val="595"/>
        </w:trPr>
        <w:tc>
          <w:tcPr>
            <w:tcW w:w="2263" w:type="dxa"/>
            <w:vMerge w:val="restart"/>
            <w:tcBorders>
              <w:top w:val="single" w:sz="4" w:space="0" w:color="auto"/>
            </w:tcBorders>
            <w:shd w:val="clear" w:color="auto" w:fill="auto"/>
            <w:vAlign w:val="center"/>
            <w:hideMark/>
          </w:tcPr>
          <w:p w14:paraId="03AE2E6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C36FBA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4615ED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680D6F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7C2BE3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508BFB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BB09B7C" w14:textId="7B31BA7A"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Romero y Peña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studia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el efecto de loncheras saludables sobre el rendimiento escolar inicial.</w:t>
            </w:r>
          </w:p>
        </w:tc>
      </w:tr>
      <w:tr w:rsidR="00A46CE6" w:rsidRPr="00A46CE6" w14:paraId="5B522B33" w14:textId="77777777" w:rsidTr="005F7B9F">
        <w:trPr>
          <w:trHeight w:val="570"/>
        </w:trPr>
        <w:tc>
          <w:tcPr>
            <w:tcW w:w="2263" w:type="dxa"/>
            <w:vMerge/>
            <w:shd w:val="clear" w:color="auto" w:fill="auto"/>
            <w:vAlign w:val="center"/>
            <w:hideMark/>
          </w:tcPr>
          <w:p w14:paraId="39EBC6D4"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5377362" w14:textId="53DBF4E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León et al.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Sintetiza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literatura existente sobre nutrición y rendimiento académico.</w:t>
            </w:r>
          </w:p>
        </w:tc>
      </w:tr>
      <w:tr w:rsidR="00A46CE6" w:rsidRPr="00A46CE6" w14:paraId="1F9C6109" w14:textId="77777777" w:rsidTr="005F7B9F">
        <w:trPr>
          <w:trHeight w:val="565"/>
        </w:trPr>
        <w:tc>
          <w:tcPr>
            <w:tcW w:w="2263" w:type="dxa"/>
            <w:vMerge/>
            <w:shd w:val="clear" w:color="auto" w:fill="auto"/>
            <w:vAlign w:val="center"/>
            <w:hideMark/>
          </w:tcPr>
          <w:p w14:paraId="7A5030F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71748EEF" w14:textId="183DA43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etalla el impacto directo de calidad nutricional en desarrollo cognitivo.</w:t>
            </w:r>
          </w:p>
        </w:tc>
      </w:tr>
      <w:tr w:rsidR="00A46CE6" w:rsidRPr="00A46CE6" w14:paraId="49EB1068" w14:textId="77777777" w:rsidTr="005F7B9F">
        <w:trPr>
          <w:trHeight w:val="573"/>
        </w:trPr>
        <w:tc>
          <w:tcPr>
            <w:tcW w:w="2263" w:type="dxa"/>
            <w:vMerge/>
            <w:shd w:val="clear" w:color="auto" w:fill="auto"/>
            <w:vAlign w:val="center"/>
            <w:hideMark/>
          </w:tcPr>
          <w:p w14:paraId="4D4353A3"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2AEC64FD" w14:textId="659D2B5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Fernández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socia hábitos alimenticios saludables con mejor desempeño académico.</w:t>
            </w:r>
          </w:p>
        </w:tc>
      </w:tr>
      <w:tr w:rsidR="00A46CE6" w:rsidRPr="00A46CE6" w14:paraId="425BFE7B" w14:textId="77777777" w:rsidTr="005F7B9F">
        <w:trPr>
          <w:trHeight w:val="566"/>
        </w:trPr>
        <w:tc>
          <w:tcPr>
            <w:tcW w:w="2263" w:type="dxa"/>
            <w:vMerge/>
            <w:shd w:val="clear" w:color="auto" w:fill="auto"/>
            <w:vAlign w:val="center"/>
            <w:hideMark/>
          </w:tcPr>
          <w:p w14:paraId="59E13F1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13E6957" w14:textId="048BCFD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Cardozo y Ramírez (2025)</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nfatiza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importancia crítica de la alimentación infantil para aprendizaje escolar temprano.</w:t>
            </w:r>
          </w:p>
        </w:tc>
      </w:tr>
      <w:tr w:rsidR="00A46CE6" w:rsidRPr="00A46CE6" w14:paraId="1FE2CADC" w14:textId="77777777" w:rsidTr="005F7B9F">
        <w:trPr>
          <w:trHeight w:val="561"/>
        </w:trPr>
        <w:tc>
          <w:tcPr>
            <w:tcW w:w="2263" w:type="dxa"/>
            <w:vMerge/>
            <w:tcBorders>
              <w:bottom w:val="single" w:sz="4" w:space="0" w:color="auto"/>
            </w:tcBorders>
            <w:shd w:val="clear" w:color="auto" w:fill="auto"/>
            <w:vAlign w:val="center"/>
            <w:hideMark/>
          </w:tcPr>
          <w:p w14:paraId="5E3E804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1ECC54ED" w14:textId="77D0139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Lema (2022)</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xplora cómo la educación alimentaria temprana afecta el desarrollo cognitivo infantil.</w:t>
            </w:r>
          </w:p>
        </w:tc>
      </w:tr>
      <w:tr w:rsidR="00A46CE6" w:rsidRPr="00A46CE6" w14:paraId="2D46E91D" w14:textId="77777777" w:rsidTr="005F7B9F">
        <w:trPr>
          <w:trHeight w:val="558"/>
        </w:trPr>
        <w:tc>
          <w:tcPr>
            <w:tcW w:w="2263" w:type="dxa"/>
            <w:vMerge w:val="restart"/>
            <w:tcBorders>
              <w:top w:val="single" w:sz="4" w:space="0" w:color="auto"/>
            </w:tcBorders>
            <w:shd w:val="clear" w:color="auto" w:fill="auto"/>
            <w:vAlign w:val="center"/>
            <w:hideMark/>
          </w:tcPr>
          <w:p w14:paraId="5A8D2DB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p w14:paraId="751EBBF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71EA6D6"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2DF335FC"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088" w:type="dxa"/>
            <w:tcBorders>
              <w:top w:val="single" w:sz="4" w:space="0" w:color="auto"/>
            </w:tcBorders>
            <w:shd w:val="clear" w:color="auto" w:fill="auto"/>
            <w:vAlign w:val="center"/>
            <w:hideMark/>
          </w:tcPr>
          <w:p w14:paraId="666AE102" w14:textId="7AE623F9"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Altamirano y Hetz (2024)</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xplora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creencias culturales sobre obesidad infantil en comunidades mapuches y no mapuches.</w:t>
            </w:r>
          </w:p>
        </w:tc>
      </w:tr>
      <w:tr w:rsidR="00A46CE6" w:rsidRPr="00A46CE6" w14:paraId="6AEB246F" w14:textId="77777777" w:rsidTr="005F7B9F">
        <w:trPr>
          <w:trHeight w:val="576"/>
        </w:trPr>
        <w:tc>
          <w:tcPr>
            <w:tcW w:w="2263" w:type="dxa"/>
            <w:vMerge/>
            <w:shd w:val="clear" w:color="auto" w:fill="auto"/>
            <w:vAlign w:val="center"/>
            <w:hideMark/>
          </w:tcPr>
          <w:p w14:paraId="1469B9C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3708E2A2" w14:textId="3102B32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xml:space="preserve">Merchán et al. (2024):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consecuencias integrales de la desnutrición infantil en América Latina.</w:t>
            </w:r>
          </w:p>
        </w:tc>
      </w:tr>
      <w:tr w:rsidR="00A46CE6" w:rsidRPr="00A46CE6" w14:paraId="0AFC7CB6" w14:textId="77777777" w:rsidTr="005F7B9F">
        <w:trPr>
          <w:trHeight w:val="556"/>
        </w:trPr>
        <w:tc>
          <w:tcPr>
            <w:tcW w:w="2263" w:type="dxa"/>
            <w:vMerge/>
            <w:shd w:val="clear" w:color="auto" w:fill="auto"/>
            <w:vAlign w:val="center"/>
            <w:hideMark/>
          </w:tcPr>
          <w:p w14:paraId="59E1B06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088" w:type="dxa"/>
            <w:tcBorders>
              <w:top w:val="nil"/>
            </w:tcBorders>
            <w:shd w:val="clear" w:color="auto" w:fill="auto"/>
            <w:vAlign w:val="center"/>
            <w:hideMark/>
          </w:tcPr>
          <w:p w14:paraId="42387565" w14:textId="71EA4BD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Ocaña-Noriega y Sagñay-Llinin (2020)</w:t>
            </w:r>
            <w:r w:rsidR="007B3834">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xamina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efectos de malnutrición en desarrollo cognitivo temprano.</w:t>
            </w:r>
          </w:p>
        </w:tc>
      </w:tr>
      <w:tr w:rsidR="00A46CE6" w:rsidRPr="00A46CE6" w14:paraId="01FE7D08" w14:textId="77777777" w:rsidTr="005F7B9F">
        <w:trPr>
          <w:trHeight w:val="579"/>
        </w:trPr>
        <w:tc>
          <w:tcPr>
            <w:tcW w:w="2263" w:type="dxa"/>
            <w:vMerge/>
            <w:tcBorders>
              <w:bottom w:val="single" w:sz="4" w:space="0" w:color="auto"/>
            </w:tcBorders>
            <w:shd w:val="clear" w:color="auto" w:fill="auto"/>
            <w:vAlign w:val="center"/>
            <w:hideMark/>
          </w:tcPr>
          <w:p w14:paraId="1348FD8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088" w:type="dxa"/>
            <w:tcBorders>
              <w:top w:val="nil"/>
              <w:bottom w:val="single" w:sz="4" w:space="0" w:color="auto"/>
            </w:tcBorders>
            <w:shd w:val="clear" w:color="auto" w:fill="auto"/>
            <w:vAlign w:val="center"/>
            <w:hideMark/>
          </w:tcPr>
          <w:p w14:paraId="7231F7DB" w14:textId="446B98E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Franco et al.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xplora</w:t>
            </w:r>
            <w:r w:rsidR="007B3834">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efectos de déficits nutricionales en rendimiento escolar en comunidades rurales latinoamericanas.</w:t>
            </w:r>
          </w:p>
        </w:tc>
      </w:tr>
      <w:tr w:rsidR="00A46CE6" w:rsidRPr="00A46CE6" w14:paraId="208409B9" w14:textId="77777777" w:rsidTr="005F7B9F">
        <w:trPr>
          <w:trHeight w:val="563"/>
        </w:trPr>
        <w:tc>
          <w:tcPr>
            <w:tcW w:w="2263" w:type="dxa"/>
            <w:tcBorders>
              <w:top w:val="single" w:sz="4" w:space="0" w:color="auto"/>
              <w:bottom w:val="single" w:sz="4" w:space="0" w:color="auto"/>
            </w:tcBorders>
            <w:shd w:val="clear" w:color="auto" w:fill="auto"/>
            <w:vAlign w:val="center"/>
            <w:hideMark/>
          </w:tcPr>
          <w:p w14:paraId="1B0F41BF"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335A0BD0" w14:textId="7AAA4A1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Montealegre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emuestra relación entre estado nutricional, condición física y rendimiento académico universitario.</w:t>
            </w:r>
          </w:p>
        </w:tc>
      </w:tr>
      <w:tr w:rsidR="00A46CE6" w:rsidRPr="00A46CE6" w14:paraId="7B410801" w14:textId="77777777" w:rsidTr="005F7B9F">
        <w:trPr>
          <w:trHeight w:val="398"/>
        </w:trPr>
        <w:tc>
          <w:tcPr>
            <w:tcW w:w="2263" w:type="dxa"/>
            <w:tcBorders>
              <w:top w:val="single" w:sz="4" w:space="0" w:color="auto"/>
              <w:bottom w:val="single" w:sz="4" w:space="0" w:color="auto"/>
            </w:tcBorders>
            <w:shd w:val="clear" w:color="auto" w:fill="auto"/>
            <w:vAlign w:val="center"/>
            <w:hideMark/>
          </w:tcPr>
          <w:p w14:paraId="0475CBE9"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Sobrepeso; Obesidad</w:t>
            </w:r>
          </w:p>
        </w:tc>
        <w:tc>
          <w:tcPr>
            <w:tcW w:w="7088" w:type="dxa"/>
            <w:tcBorders>
              <w:top w:val="single" w:sz="4" w:space="0" w:color="auto"/>
              <w:bottom w:val="single" w:sz="4" w:space="0" w:color="auto"/>
            </w:tcBorders>
            <w:shd w:val="clear" w:color="auto" w:fill="auto"/>
            <w:vAlign w:val="center"/>
            <w:hideMark/>
          </w:tcPr>
          <w:p w14:paraId="361C6AFC" w14:textId="44D39FF5"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Almanza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i</w:t>
            </w:r>
            <w:r w:rsidRPr="00A46CE6">
              <w:rPr>
                <w:rFonts w:ascii="Arial" w:eastAsia="Times New Roman" w:hAnsi="Arial" w:cs="Arial"/>
                <w:color w:val="000000"/>
                <w:kern w:val="0"/>
                <w:sz w:val="20"/>
                <w:szCs w:val="20"/>
                <w:lang w:val="es-419" w:eastAsia="es-419"/>
                <w14:ligatures w14:val="none"/>
              </w:rPr>
              <w:t>dentifica prevalencia de sobrepeso y obesidad en escolares y hábitos alimentarios negativos en México.</w:t>
            </w:r>
          </w:p>
        </w:tc>
      </w:tr>
    </w:tbl>
    <w:p w14:paraId="733E300D" w14:textId="41D0F7D8" w:rsidR="007B3834"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242E3ADF" w14:textId="77777777" w:rsid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iCs/>
          <w:kern w:val="0"/>
          <w:szCs w:val="24"/>
          <w:lang w:val="es-419"/>
          <w14:ligatures w14:val="none"/>
        </w:rPr>
        <w:t xml:space="preserve">Ahora bien, en la Tabla 2 se comparten </w:t>
      </w:r>
      <w:r w:rsidRPr="00A46CE6">
        <w:rPr>
          <w:rFonts w:ascii="Arial" w:eastAsia="Calibri" w:hAnsi="Arial" w:cs="Times New Roman"/>
          <w:kern w:val="0"/>
          <w:szCs w:val="24"/>
          <w:lang w:val="es-419"/>
          <w14:ligatures w14:val="none"/>
        </w:rPr>
        <w:t xml:space="preserve">las temáticas complementarias y de los estudios abordados que se abocan, por otra parte, al análisis del rendimiento académico. </w:t>
      </w:r>
    </w:p>
    <w:p w14:paraId="3C7EC6D4" w14:textId="77777777" w:rsidR="00A46CE6" w:rsidRPr="00A46CE6" w:rsidRDefault="00A46CE6" w:rsidP="007B3834">
      <w:pPr>
        <w:spacing w:after="0" w:line="480" w:lineRule="auto"/>
        <w:rPr>
          <w:rFonts w:ascii="Arial" w:eastAsia="Calibri" w:hAnsi="Arial" w:cs="Times New Roman"/>
          <w:kern w:val="0"/>
          <w:szCs w:val="24"/>
          <w:lang w:val="es-419"/>
          <w14:ligatures w14:val="none"/>
        </w:rPr>
      </w:pPr>
    </w:p>
    <w:p w14:paraId="1C953104" w14:textId="77777777" w:rsidR="00A46CE6" w:rsidRPr="00483A6C" w:rsidRDefault="00A46CE6" w:rsidP="00A46CE6">
      <w:pPr>
        <w:spacing w:after="0" w:line="480" w:lineRule="auto"/>
        <w:rPr>
          <w:rFonts w:ascii="Arial" w:eastAsia="Calibri" w:hAnsi="Arial" w:cs="Times New Roman"/>
          <w:b/>
          <w:kern w:val="0"/>
          <w:szCs w:val="24"/>
          <w14:ligatures w14:val="none"/>
        </w:rPr>
      </w:pPr>
      <w:r w:rsidRPr="00483A6C">
        <w:rPr>
          <w:rFonts w:ascii="Arial" w:eastAsia="Calibri" w:hAnsi="Arial" w:cs="Times New Roman"/>
          <w:b/>
          <w:kern w:val="0"/>
          <w:szCs w:val="24"/>
          <w14:ligatures w14:val="none"/>
        </w:rPr>
        <w:t>Tabla 2</w:t>
      </w:r>
    </w:p>
    <w:p w14:paraId="22861C2E" w14:textId="77777777" w:rsidR="00A46CE6" w:rsidRPr="00483A6C" w:rsidRDefault="00A46CE6" w:rsidP="00A46CE6">
      <w:pPr>
        <w:spacing w:after="0" w:line="480" w:lineRule="auto"/>
        <w:rPr>
          <w:rFonts w:ascii="Arial" w:eastAsia="Calibri" w:hAnsi="Arial" w:cs="Times New Roman"/>
          <w:i/>
          <w:kern w:val="0"/>
          <w:szCs w:val="24"/>
          <w14:ligatures w14:val="none"/>
        </w:rPr>
      </w:pPr>
      <w:r w:rsidRPr="00483A6C">
        <w:rPr>
          <w:rFonts w:ascii="Arial" w:eastAsia="Calibri" w:hAnsi="Arial" w:cs="Times New Roman"/>
          <w:i/>
          <w:kern w:val="0"/>
          <w:szCs w:val="24"/>
          <w14:ligatures w14:val="none"/>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A46CE6" w:rsidRPr="00A46CE6" w14:paraId="31291355" w14:textId="77777777" w:rsidTr="005F7B9F">
        <w:trPr>
          <w:trHeight w:val="281"/>
          <w:tblHeader/>
        </w:trPr>
        <w:tc>
          <w:tcPr>
            <w:tcW w:w="2127" w:type="dxa"/>
            <w:tcBorders>
              <w:top w:val="single" w:sz="4" w:space="0" w:color="auto"/>
              <w:bottom w:val="single" w:sz="4" w:space="0" w:color="auto"/>
            </w:tcBorders>
            <w:shd w:val="clear" w:color="auto" w:fill="auto"/>
            <w:vAlign w:val="center"/>
            <w:hideMark/>
          </w:tcPr>
          <w:p w14:paraId="0DF3CD42"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Temática(s) complementaria(s)</w:t>
            </w:r>
          </w:p>
        </w:tc>
        <w:tc>
          <w:tcPr>
            <w:tcW w:w="7371" w:type="dxa"/>
            <w:tcBorders>
              <w:top w:val="single" w:sz="4" w:space="0" w:color="auto"/>
              <w:bottom w:val="single" w:sz="4" w:space="0" w:color="auto"/>
            </w:tcBorders>
            <w:shd w:val="clear" w:color="auto" w:fill="auto"/>
            <w:vAlign w:val="center"/>
            <w:hideMark/>
          </w:tcPr>
          <w:p w14:paraId="5D160776" w14:textId="77777777" w:rsidR="00A46CE6" w:rsidRPr="00A46CE6" w:rsidRDefault="00A46CE6" w:rsidP="00A46CE6">
            <w:pPr>
              <w:spacing w:after="0" w:line="240" w:lineRule="auto"/>
              <w:jc w:val="center"/>
              <w:rPr>
                <w:rFonts w:ascii="Arial" w:eastAsia="Times New Roman" w:hAnsi="Arial" w:cs="Arial"/>
                <w:b/>
                <w:bCs/>
                <w:color w:val="000000"/>
                <w:kern w:val="0"/>
                <w:sz w:val="20"/>
                <w:szCs w:val="20"/>
                <w:lang w:val="es-419" w:eastAsia="es-419"/>
                <w14:ligatures w14:val="none"/>
              </w:rPr>
            </w:pPr>
            <w:r w:rsidRPr="00A46CE6">
              <w:rPr>
                <w:rFonts w:ascii="Arial" w:eastAsia="Times New Roman" w:hAnsi="Arial" w:cs="Arial"/>
                <w:b/>
                <w:bCs/>
                <w:color w:val="000000"/>
                <w:kern w:val="0"/>
                <w:sz w:val="20"/>
                <w:szCs w:val="20"/>
                <w:lang w:val="es-419" w:eastAsia="es-419"/>
                <w14:ligatures w14:val="none"/>
              </w:rPr>
              <w:t>Autor(es)/Aporte del estudio</w:t>
            </w:r>
          </w:p>
        </w:tc>
      </w:tr>
      <w:tr w:rsidR="00A46CE6" w:rsidRPr="00A46CE6" w14:paraId="6A7A4439" w14:textId="77777777" w:rsidTr="005F7B9F">
        <w:trPr>
          <w:trHeight w:val="607"/>
        </w:trPr>
        <w:tc>
          <w:tcPr>
            <w:tcW w:w="2127" w:type="dxa"/>
            <w:vMerge w:val="restart"/>
            <w:tcBorders>
              <w:top w:val="single" w:sz="4" w:space="0" w:color="auto"/>
            </w:tcBorders>
            <w:shd w:val="clear" w:color="auto" w:fill="auto"/>
            <w:vAlign w:val="center"/>
            <w:hideMark/>
          </w:tcPr>
          <w:p w14:paraId="0FD77913"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Comedor escolar; Alimentación escolar</w:t>
            </w:r>
          </w:p>
          <w:p w14:paraId="584C95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D117520"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1C7039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7AE2D109" w14:textId="6D376FE3"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Moreno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B3834">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 cómo el Plan de Alimentación Escolar influye en la calidad educativa en Tunja.</w:t>
            </w:r>
          </w:p>
        </w:tc>
      </w:tr>
      <w:tr w:rsidR="00A46CE6" w:rsidRPr="00A46CE6" w14:paraId="3EAF27C6" w14:textId="77777777" w:rsidTr="005F7B9F">
        <w:trPr>
          <w:trHeight w:val="686"/>
        </w:trPr>
        <w:tc>
          <w:tcPr>
            <w:tcW w:w="2127" w:type="dxa"/>
            <w:vMerge/>
            <w:shd w:val="clear" w:color="auto" w:fill="auto"/>
            <w:vAlign w:val="center"/>
            <w:hideMark/>
          </w:tcPr>
          <w:p w14:paraId="6F98259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AE6AE07" w14:textId="53EDDB5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xplora percepciones de docentes de educación física sobre el Programa de Alimentación Escolar, destacando fortalezas y debilidades.</w:t>
            </w:r>
          </w:p>
        </w:tc>
      </w:tr>
      <w:tr w:rsidR="00A46CE6" w:rsidRPr="00A46CE6" w14:paraId="4FDAF856" w14:textId="77777777" w:rsidTr="005F7B9F">
        <w:trPr>
          <w:trHeight w:val="696"/>
        </w:trPr>
        <w:tc>
          <w:tcPr>
            <w:tcW w:w="2127" w:type="dxa"/>
            <w:vMerge/>
            <w:shd w:val="clear" w:color="auto" w:fill="auto"/>
            <w:vAlign w:val="center"/>
            <w:hideMark/>
          </w:tcPr>
          <w:p w14:paraId="6095999D"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6330F33" w14:textId="152A8DA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Porras y Rojas (2024)</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i</w:t>
            </w:r>
            <w:r w:rsidRPr="00A46CE6">
              <w:rPr>
                <w:rFonts w:ascii="Arial" w:eastAsia="Times New Roman" w:hAnsi="Arial" w:cs="Arial"/>
                <w:color w:val="000000"/>
                <w:kern w:val="0"/>
                <w:sz w:val="20"/>
                <w:szCs w:val="20"/>
                <w:lang w:val="es-419" w:eastAsia="es-419"/>
                <w14:ligatures w14:val="none"/>
              </w:rPr>
              <w:t>nvestiga el impacto directo del PAE sobre el rendimiento académico en pruebas estandarizadas colombianas.</w:t>
            </w:r>
          </w:p>
        </w:tc>
      </w:tr>
      <w:tr w:rsidR="00A46CE6" w:rsidRPr="00A46CE6" w14:paraId="7D38854A" w14:textId="77777777" w:rsidTr="005F7B9F">
        <w:trPr>
          <w:trHeight w:val="564"/>
        </w:trPr>
        <w:tc>
          <w:tcPr>
            <w:tcW w:w="2127" w:type="dxa"/>
            <w:vMerge/>
            <w:tcBorders>
              <w:bottom w:val="single" w:sz="4" w:space="0" w:color="auto"/>
            </w:tcBorders>
            <w:shd w:val="clear" w:color="auto" w:fill="auto"/>
            <w:vAlign w:val="center"/>
            <w:hideMark/>
          </w:tcPr>
          <w:p w14:paraId="1E75C8C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7A4ED83" w14:textId="5A3624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Collante, Rodríguez y Sánchez (2022)</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videncia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los refrigerios escolares potencian resultados educativos en Colombia.</w:t>
            </w:r>
          </w:p>
        </w:tc>
      </w:tr>
      <w:tr w:rsidR="00A46CE6" w:rsidRPr="00A46CE6" w14:paraId="6563C09C" w14:textId="77777777" w:rsidTr="005F7B9F">
        <w:trPr>
          <w:trHeight w:val="558"/>
        </w:trPr>
        <w:tc>
          <w:tcPr>
            <w:tcW w:w="2127" w:type="dxa"/>
            <w:vMerge w:val="restart"/>
            <w:tcBorders>
              <w:top w:val="single" w:sz="4" w:space="0" w:color="auto"/>
            </w:tcBorders>
            <w:shd w:val="clear" w:color="auto" w:fill="auto"/>
            <w:vAlign w:val="center"/>
            <w:hideMark/>
          </w:tcPr>
          <w:p w14:paraId="7C5E6BC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Alimentación</w:t>
            </w:r>
          </w:p>
          <w:p w14:paraId="4D58BF54"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0B0C8DD"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916ADD5"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7617C5A1"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09059812"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6A79147"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557D271C"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3D52409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17852F3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6B70E73B" w14:textId="4FFF94E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Acosta et al. (2021)</w:t>
            </w:r>
            <w:r w:rsidR="007B3834">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s</w:t>
            </w:r>
            <w:r w:rsidRPr="00A46CE6">
              <w:rPr>
                <w:rFonts w:ascii="Arial" w:eastAsia="Times New Roman" w:hAnsi="Arial" w:cs="Arial"/>
                <w:color w:val="000000"/>
                <w:kern w:val="0"/>
                <w:sz w:val="20"/>
                <w:szCs w:val="20"/>
                <w:lang w:val="es-419" w:eastAsia="es-419"/>
                <w14:ligatures w14:val="none"/>
              </w:rPr>
              <w:t>istematiza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evidencia sobre incidencia directa de la alimentación en rendimiento escolar infantil inicial.</w:t>
            </w:r>
          </w:p>
        </w:tc>
      </w:tr>
      <w:tr w:rsidR="00A46CE6" w:rsidRPr="00A46CE6" w14:paraId="787BEB4E" w14:textId="77777777" w:rsidTr="005F7B9F">
        <w:trPr>
          <w:trHeight w:val="552"/>
        </w:trPr>
        <w:tc>
          <w:tcPr>
            <w:tcW w:w="2127" w:type="dxa"/>
            <w:vMerge/>
            <w:shd w:val="clear" w:color="auto" w:fill="auto"/>
            <w:vAlign w:val="center"/>
            <w:hideMark/>
          </w:tcPr>
          <w:p w14:paraId="3EE11C61"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D0A8ACE" w14:textId="352B9578"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Durán et al. (2023)</w:t>
            </w:r>
            <w:r w:rsidR="007B3834">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r</w:t>
            </w:r>
            <w:r w:rsidRPr="00A46CE6">
              <w:rPr>
                <w:rFonts w:ascii="Arial" w:eastAsia="Times New Roman" w:hAnsi="Arial" w:cs="Arial"/>
                <w:color w:val="000000"/>
                <w:kern w:val="0"/>
                <w:sz w:val="20"/>
                <w:szCs w:val="20"/>
                <w:lang w:val="es-419" w:eastAsia="es-419"/>
                <w14:ligatures w14:val="none"/>
              </w:rPr>
              <w:t>elaciona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factores nutricionales con rendimiento académico en contexto universitario.</w:t>
            </w:r>
          </w:p>
        </w:tc>
      </w:tr>
      <w:tr w:rsidR="00A46CE6" w:rsidRPr="00A46CE6" w14:paraId="283435FF" w14:textId="77777777" w:rsidTr="005F7B9F">
        <w:trPr>
          <w:trHeight w:val="560"/>
        </w:trPr>
        <w:tc>
          <w:tcPr>
            <w:tcW w:w="2127" w:type="dxa"/>
            <w:vMerge/>
            <w:shd w:val="clear" w:color="auto" w:fill="auto"/>
            <w:vAlign w:val="center"/>
            <w:hideMark/>
          </w:tcPr>
          <w:p w14:paraId="44FF13CF"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08A7CB70" w14:textId="7AA15A5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xml:space="preserve">González (2021):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xamina cómo el estado nutricional afecta al rendimiento académico general.</w:t>
            </w:r>
          </w:p>
        </w:tc>
      </w:tr>
      <w:tr w:rsidR="00A46CE6" w:rsidRPr="00A46CE6" w14:paraId="4577956E" w14:textId="77777777" w:rsidTr="005F7B9F">
        <w:trPr>
          <w:trHeight w:val="554"/>
        </w:trPr>
        <w:tc>
          <w:tcPr>
            <w:tcW w:w="2127" w:type="dxa"/>
            <w:vMerge/>
            <w:shd w:val="clear" w:color="auto" w:fill="auto"/>
            <w:vAlign w:val="center"/>
            <w:hideMark/>
          </w:tcPr>
          <w:p w14:paraId="760834DA"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3E07865" w14:textId="6311893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Santos y Barros (2022)</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a</w:t>
            </w:r>
            <w:r w:rsidRPr="00A46CE6">
              <w:rPr>
                <w:rFonts w:ascii="Arial" w:eastAsia="Times New Roman" w:hAnsi="Arial" w:cs="Arial"/>
                <w:color w:val="000000"/>
                <w:kern w:val="0"/>
                <w:sz w:val="20"/>
                <w:szCs w:val="20"/>
                <w:lang w:val="es-419" w:eastAsia="es-419"/>
                <w14:ligatures w14:val="none"/>
              </w:rPr>
              <w:t>naliza la influencia nutricional sobre el desempeño escolar específico en una institución educativa.</w:t>
            </w:r>
          </w:p>
        </w:tc>
      </w:tr>
      <w:tr w:rsidR="00A46CE6" w:rsidRPr="00A46CE6" w14:paraId="113924B1" w14:textId="77777777" w:rsidTr="005F7B9F">
        <w:trPr>
          <w:trHeight w:val="562"/>
        </w:trPr>
        <w:tc>
          <w:tcPr>
            <w:tcW w:w="2127" w:type="dxa"/>
            <w:vMerge/>
            <w:shd w:val="clear" w:color="auto" w:fill="auto"/>
            <w:vAlign w:val="center"/>
            <w:hideMark/>
          </w:tcPr>
          <w:p w14:paraId="17AC7587"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E258A58" w14:textId="681E9120"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Ceme (2021)</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stablece una relación directa entre hábitos alimenticios y desarrollo cognitivo infantil.</w:t>
            </w:r>
          </w:p>
        </w:tc>
      </w:tr>
      <w:tr w:rsidR="00A46CE6" w:rsidRPr="00A46CE6" w14:paraId="6CD00B61" w14:textId="77777777" w:rsidTr="005F7B9F">
        <w:trPr>
          <w:trHeight w:val="556"/>
        </w:trPr>
        <w:tc>
          <w:tcPr>
            <w:tcW w:w="2127" w:type="dxa"/>
            <w:vMerge/>
            <w:shd w:val="clear" w:color="auto" w:fill="auto"/>
            <w:vAlign w:val="center"/>
            <w:hideMark/>
          </w:tcPr>
          <w:p w14:paraId="584162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5F5F79C9" w14:textId="12B40174"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Pugo y Zhinin (2020)</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vi</w:t>
            </w:r>
            <w:r w:rsidRPr="00A46CE6">
              <w:rPr>
                <w:rFonts w:ascii="Arial" w:eastAsia="Times New Roman" w:hAnsi="Arial" w:cs="Arial"/>
                <w:color w:val="000000"/>
                <w:kern w:val="0"/>
                <w:sz w:val="20"/>
                <w:szCs w:val="20"/>
                <w:lang w:val="es-419" w:eastAsia="es-419"/>
                <w14:ligatures w14:val="none"/>
              </w:rPr>
              <w:t>ncula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hábitos nutricionales con desempeño académico en escolares ecuatorianos.</w:t>
            </w:r>
          </w:p>
        </w:tc>
      </w:tr>
      <w:tr w:rsidR="00A46CE6" w:rsidRPr="00A46CE6" w14:paraId="57D830C9" w14:textId="77777777" w:rsidTr="005F7B9F">
        <w:trPr>
          <w:trHeight w:val="564"/>
        </w:trPr>
        <w:tc>
          <w:tcPr>
            <w:tcW w:w="2127" w:type="dxa"/>
            <w:vMerge/>
            <w:shd w:val="clear" w:color="auto" w:fill="auto"/>
            <w:vAlign w:val="center"/>
            <w:hideMark/>
          </w:tcPr>
          <w:p w14:paraId="04516FA5"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334B388" w14:textId="4F847E5D"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Huamani (2021)</w:t>
            </w:r>
            <w:r w:rsidR="007242E8">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onfirma la influencia del estado nutricional en el rendimiento académico escolar específico.</w:t>
            </w:r>
          </w:p>
        </w:tc>
      </w:tr>
      <w:tr w:rsidR="00A46CE6" w:rsidRPr="00A46CE6" w14:paraId="0E9FBF97" w14:textId="77777777" w:rsidTr="005F7B9F">
        <w:trPr>
          <w:trHeight w:val="544"/>
        </w:trPr>
        <w:tc>
          <w:tcPr>
            <w:tcW w:w="2127" w:type="dxa"/>
            <w:vMerge/>
            <w:shd w:val="clear" w:color="auto" w:fill="auto"/>
            <w:vAlign w:val="center"/>
            <w:hideMark/>
          </w:tcPr>
          <w:p w14:paraId="1BD47AB2"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173B2D0" w14:textId="3EE59658"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García y Cristina (2024)</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e</w:t>
            </w:r>
            <w:r w:rsidRPr="00A46CE6">
              <w:rPr>
                <w:rFonts w:ascii="Arial" w:eastAsia="Times New Roman" w:hAnsi="Arial" w:cs="Arial"/>
                <w:color w:val="000000"/>
                <w:kern w:val="0"/>
                <w:sz w:val="20"/>
                <w:szCs w:val="20"/>
                <w:lang w:val="es-419" w:eastAsia="es-419"/>
                <w14:ligatures w14:val="none"/>
              </w:rPr>
              <w:t>xamina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relación entre nutrición y desempeño académico adolescente.</w:t>
            </w:r>
          </w:p>
        </w:tc>
      </w:tr>
      <w:tr w:rsidR="00A46CE6" w:rsidRPr="00A46CE6" w14:paraId="0E9CCC6A" w14:textId="77777777" w:rsidTr="005F7B9F">
        <w:trPr>
          <w:trHeight w:val="566"/>
        </w:trPr>
        <w:tc>
          <w:tcPr>
            <w:tcW w:w="2127" w:type="dxa"/>
            <w:vMerge/>
            <w:shd w:val="clear" w:color="auto" w:fill="auto"/>
            <w:vAlign w:val="center"/>
            <w:hideMark/>
          </w:tcPr>
          <w:p w14:paraId="2185B828"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21F6A821" w14:textId="4712582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Sáez y Guillermo (2022)</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v</w:t>
            </w:r>
            <w:r w:rsidRPr="00A46CE6">
              <w:rPr>
                <w:rFonts w:ascii="Arial" w:eastAsia="Times New Roman" w:hAnsi="Arial" w:cs="Arial"/>
                <w:color w:val="000000"/>
                <w:kern w:val="0"/>
                <w:sz w:val="20"/>
                <w:szCs w:val="20"/>
                <w:lang w:val="es-419" w:eastAsia="es-419"/>
                <w14:ligatures w14:val="none"/>
              </w:rPr>
              <w:t>incula estilos de vida con rendimiento académico universitario.</w:t>
            </w:r>
          </w:p>
        </w:tc>
      </w:tr>
      <w:tr w:rsidR="00A46CE6" w:rsidRPr="00A46CE6" w14:paraId="65F3FAAA" w14:textId="77777777" w:rsidTr="005F7B9F">
        <w:trPr>
          <w:trHeight w:val="560"/>
        </w:trPr>
        <w:tc>
          <w:tcPr>
            <w:tcW w:w="2127" w:type="dxa"/>
            <w:vMerge/>
            <w:tcBorders>
              <w:bottom w:val="single" w:sz="4" w:space="0" w:color="auto"/>
            </w:tcBorders>
            <w:shd w:val="clear" w:color="auto" w:fill="auto"/>
            <w:vAlign w:val="center"/>
            <w:hideMark/>
          </w:tcPr>
          <w:p w14:paraId="305AAA7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214B6F27" w14:textId="3763C3E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Forero et al. (2023)</w:t>
            </w:r>
            <w:r w:rsidR="007242E8">
              <w:rPr>
                <w:rFonts w:ascii="Arial" w:eastAsia="Times New Roman" w:hAnsi="Arial" w:cs="Arial"/>
                <w:color w:val="000000"/>
                <w:kern w:val="0"/>
                <w:sz w:val="20"/>
                <w:szCs w:val="20"/>
                <w:lang w:val="es-419" w:eastAsia="es-419"/>
                <w14:ligatures w14:val="none"/>
              </w:rPr>
              <w:t>, a</w:t>
            </w:r>
            <w:r w:rsidRPr="00A46CE6">
              <w:rPr>
                <w:rFonts w:ascii="Arial" w:eastAsia="Times New Roman" w:hAnsi="Arial" w:cs="Arial"/>
                <w:color w:val="000000"/>
                <w:kern w:val="0"/>
                <w:sz w:val="20"/>
                <w:szCs w:val="20"/>
                <w:lang w:val="es-419" w:eastAsia="es-419"/>
                <w14:ligatures w14:val="none"/>
              </w:rPr>
              <w:t>naliza la relación general entre hábitos alimenticios y rendimiento escolar en América Latina.</w:t>
            </w:r>
          </w:p>
        </w:tc>
      </w:tr>
      <w:tr w:rsidR="00A46CE6" w:rsidRPr="00A46CE6" w14:paraId="3D939020" w14:textId="77777777" w:rsidTr="005F7B9F">
        <w:trPr>
          <w:trHeight w:val="540"/>
        </w:trPr>
        <w:tc>
          <w:tcPr>
            <w:tcW w:w="2127" w:type="dxa"/>
            <w:vMerge w:val="restart"/>
            <w:tcBorders>
              <w:top w:val="single" w:sz="4" w:space="0" w:color="auto"/>
              <w:bottom w:val="single" w:sz="4" w:space="0" w:color="auto"/>
            </w:tcBorders>
            <w:shd w:val="clear" w:color="auto" w:fill="auto"/>
            <w:vAlign w:val="center"/>
            <w:hideMark/>
          </w:tcPr>
          <w:p w14:paraId="5BE4413E"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lastRenderedPageBreak/>
              <w:t>Crecimiento y desarrollo</w:t>
            </w:r>
          </w:p>
          <w:p w14:paraId="5EA7E08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695DA8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p w14:paraId="491C1A69"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 </w:t>
            </w:r>
          </w:p>
        </w:tc>
        <w:tc>
          <w:tcPr>
            <w:tcW w:w="7371" w:type="dxa"/>
            <w:tcBorders>
              <w:top w:val="single" w:sz="4" w:space="0" w:color="auto"/>
            </w:tcBorders>
            <w:shd w:val="clear" w:color="auto" w:fill="auto"/>
            <w:vAlign w:val="center"/>
            <w:hideMark/>
          </w:tcPr>
          <w:p w14:paraId="562DFEC4" w14:textId="2A554C62"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Merchán et al. (2024)</w:t>
            </w:r>
            <w:r w:rsidR="007242E8">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videncia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desnutrición limita desarrollo integral infantil en América Latina.</w:t>
            </w:r>
          </w:p>
        </w:tc>
      </w:tr>
      <w:tr w:rsidR="00A46CE6" w:rsidRPr="00A46CE6" w14:paraId="6F57BD0B" w14:textId="77777777" w:rsidTr="005F7B9F">
        <w:trPr>
          <w:trHeight w:val="576"/>
        </w:trPr>
        <w:tc>
          <w:tcPr>
            <w:tcW w:w="2127" w:type="dxa"/>
            <w:vMerge/>
            <w:tcBorders>
              <w:bottom w:val="single" w:sz="4" w:space="0" w:color="auto"/>
            </w:tcBorders>
            <w:shd w:val="clear" w:color="auto" w:fill="auto"/>
            <w:vAlign w:val="center"/>
            <w:hideMark/>
          </w:tcPr>
          <w:p w14:paraId="610CFD2E"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A59BA95" w14:textId="2560176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Cruz et al. (2024)</w:t>
            </w:r>
            <w:r w:rsidR="007242E8">
              <w:rPr>
                <w:rFonts w:ascii="Arial" w:eastAsia="Times New Roman" w:hAnsi="Arial" w:cs="Arial"/>
                <w:color w:val="000000"/>
                <w:kern w:val="0"/>
                <w:sz w:val="20"/>
                <w:szCs w:val="20"/>
                <w:lang w:val="es-419" w:eastAsia="es-419"/>
                <w14:ligatures w14:val="none"/>
              </w:rPr>
              <w:t>, v</w:t>
            </w:r>
            <w:r w:rsidRPr="00A46CE6">
              <w:rPr>
                <w:rFonts w:ascii="Arial" w:eastAsia="Times New Roman" w:hAnsi="Arial" w:cs="Arial"/>
                <w:color w:val="000000"/>
                <w:kern w:val="0"/>
                <w:sz w:val="20"/>
                <w:szCs w:val="20"/>
                <w:lang w:val="es-419" w:eastAsia="es-419"/>
                <w14:ligatures w14:val="none"/>
              </w:rPr>
              <w:t>incula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directamente nutrición con desarrollo físico-cognitivo en preescolares ecuatorianos.</w:t>
            </w:r>
          </w:p>
        </w:tc>
      </w:tr>
      <w:tr w:rsidR="00A46CE6" w:rsidRPr="00A46CE6" w14:paraId="69A86368" w14:textId="77777777" w:rsidTr="005F7B9F">
        <w:trPr>
          <w:trHeight w:val="556"/>
        </w:trPr>
        <w:tc>
          <w:tcPr>
            <w:tcW w:w="2127" w:type="dxa"/>
            <w:vMerge/>
            <w:tcBorders>
              <w:bottom w:val="single" w:sz="4" w:space="0" w:color="auto"/>
            </w:tcBorders>
            <w:shd w:val="clear" w:color="auto" w:fill="auto"/>
            <w:vAlign w:val="center"/>
            <w:hideMark/>
          </w:tcPr>
          <w:p w14:paraId="13FC43D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4FC23CEE" w14:textId="30858F0C"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Amaya y Agudelo (2020)</w:t>
            </w:r>
            <w:r w:rsidR="007242E8">
              <w:rPr>
                <w:rFonts w:ascii="Arial" w:eastAsia="Times New Roman" w:hAnsi="Arial" w:cs="Arial"/>
                <w:color w:val="000000"/>
                <w:kern w:val="0"/>
                <w:sz w:val="20"/>
                <w:szCs w:val="20"/>
                <w:lang w:val="es-419" w:eastAsia="es-419"/>
                <w14:ligatures w14:val="none"/>
              </w:rPr>
              <w:t>,</w:t>
            </w:r>
            <w:r w:rsidRPr="00A46CE6">
              <w:rPr>
                <w:rFonts w:ascii="Arial" w:eastAsia="Times New Roman" w:hAnsi="Arial" w:cs="Arial"/>
                <w:color w:val="000000"/>
                <w:kern w:val="0"/>
                <w:sz w:val="20"/>
                <w:szCs w:val="20"/>
                <w:lang w:val="es-419" w:eastAsia="es-419"/>
                <w14:ligatures w14:val="none"/>
              </w:rPr>
              <w:t xml:space="preserve"> </w:t>
            </w:r>
            <w:r w:rsidR="007242E8">
              <w:rPr>
                <w:rFonts w:ascii="Arial" w:eastAsia="Times New Roman" w:hAnsi="Arial" w:cs="Arial"/>
                <w:color w:val="000000"/>
                <w:kern w:val="0"/>
                <w:sz w:val="20"/>
                <w:szCs w:val="20"/>
                <w:lang w:val="es-419" w:eastAsia="es-419"/>
                <w14:ligatures w14:val="none"/>
              </w:rPr>
              <w:t>d</w:t>
            </w:r>
            <w:r w:rsidRPr="00A46CE6">
              <w:rPr>
                <w:rFonts w:ascii="Arial" w:eastAsia="Times New Roman" w:hAnsi="Arial" w:cs="Arial"/>
                <w:color w:val="000000"/>
                <w:kern w:val="0"/>
                <w:sz w:val="20"/>
                <w:szCs w:val="20"/>
                <w:lang w:val="es-419" w:eastAsia="es-419"/>
                <w14:ligatures w14:val="none"/>
              </w:rPr>
              <w:t>estaca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cómo la malnutrición afecta negativamente el desarrollo social infantil en Medellín.</w:t>
            </w:r>
          </w:p>
        </w:tc>
      </w:tr>
      <w:tr w:rsidR="00A46CE6" w:rsidRPr="00A46CE6" w14:paraId="79ADD8CE" w14:textId="77777777" w:rsidTr="005F7B9F">
        <w:trPr>
          <w:trHeight w:val="529"/>
        </w:trPr>
        <w:tc>
          <w:tcPr>
            <w:tcW w:w="2127" w:type="dxa"/>
            <w:vMerge/>
            <w:tcBorders>
              <w:bottom w:val="single" w:sz="4" w:space="0" w:color="auto"/>
            </w:tcBorders>
            <w:shd w:val="clear" w:color="auto" w:fill="auto"/>
            <w:vAlign w:val="center"/>
            <w:hideMark/>
          </w:tcPr>
          <w:p w14:paraId="7BFA6AA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50DAEC73" w14:textId="6019FBD6"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Cortés y Pérez (2023)</w:t>
            </w:r>
            <w:r w:rsidR="007242E8">
              <w:rPr>
                <w:rFonts w:ascii="Arial" w:eastAsia="Times New Roman" w:hAnsi="Arial" w:cs="Arial"/>
                <w:color w:val="000000"/>
                <w:kern w:val="0"/>
                <w:sz w:val="20"/>
                <w:szCs w:val="20"/>
                <w:lang w:val="es-419" w:eastAsia="es-419"/>
                <w14:ligatures w14:val="none"/>
              </w:rPr>
              <w:t>, p</w:t>
            </w:r>
            <w:r w:rsidRPr="00A46CE6">
              <w:rPr>
                <w:rFonts w:ascii="Arial" w:eastAsia="Times New Roman" w:hAnsi="Arial" w:cs="Arial"/>
                <w:color w:val="000000"/>
                <w:kern w:val="0"/>
                <w:sz w:val="20"/>
                <w:szCs w:val="20"/>
                <w:lang w:val="es-419" w:eastAsia="es-419"/>
                <w14:ligatures w14:val="none"/>
              </w:rPr>
              <w:t>rofundiza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en cómo la desnutrición crónica afecta crecimiento y desarrollo infantil.</w:t>
            </w:r>
          </w:p>
        </w:tc>
      </w:tr>
      <w:tr w:rsidR="00A46CE6" w:rsidRPr="00A46CE6" w14:paraId="6C3396E4" w14:textId="77777777" w:rsidTr="005F7B9F">
        <w:trPr>
          <w:trHeight w:val="530"/>
        </w:trPr>
        <w:tc>
          <w:tcPr>
            <w:tcW w:w="2127" w:type="dxa"/>
            <w:vMerge w:val="restart"/>
            <w:tcBorders>
              <w:top w:val="single" w:sz="4" w:space="0" w:color="auto"/>
            </w:tcBorders>
            <w:shd w:val="clear" w:color="auto" w:fill="auto"/>
            <w:vAlign w:val="center"/>
            <w:hideMark/>
          </w:tcPr>
          <w:p w14:paraId="1D635FA8"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Desnutrición; Malnutrición</w:t>
            </w:r>
          </w:p>
        </w:tc>
        <w:tc>
          <w:tcPr>
            <w:tcW w:w="7371" w:type="dxa"/>
            <w:tcBorders>
              <w:top w:val="single" w:sz="4" w:space="0" w:color="auto"/>
            </w:tcBorders>
            <w:shd w:val="clear" w:color="auto" w:fill="auto"/>
            <w:vAlign w:val="center"/>
            <w:hideMark/>
          </w:tcPr>
          <w:p w14:paraId="08597D96" w14:textId="6090878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Cantos (2020)</w:t>
            </w:r>
            <w:r w:rsidR="007242E8">
              <w:rPr>
                <w:rFonts w:ascii="Arial" w:eastAsia="Times New Roman" w:hAnsi="Arial" w:cs="Arial"/>
                <w:color w:val="000000"/>
                <w:kern w:val="0"/>
                <w:sz w:val="20"/>
                <w:szCs w:val="20"/>
                <w:lang w:val="es-419" w:eastAsia="es-419"/>
                <w14:ligatures w14:val="none"/>
              </w:rPr>
              <w:t>, i</w:t>
            </w:r>
            <w:r w:rsidRPr="00A46CE6">
              <w:rPr>
                <w:rFonts w:ascii="Arial" w:eastAsia="Times New Roman" w:hAnsi="Arial" w:cs="Arial"/>
                <w:color w:val="000000"/>
                <w:kern w:val="0"/>
                <w:sz w:val="20"/>
                <w:szCs w:val="20"/>
                <w:lang w:val="es-419" w:eastAsia="es-419"/>
                <w14:ligatures w14:val="none"/>
              </w:rPr>
              <w:t>nvestiga impacto específico de la desnutrición en el rendimiento escolar.</w:t>
            </w:r>
          </w:p>
        </w:tc>
      </w:tr>
      <w:tr w:rsidR="00A46CE6" w:rsidRPr="00A46CE6" w14:paraId="4C3F7E1D" w14:textId="77777777" w:rsidTr="005F7B9F">
        <w:trPr>
          <w:trHeight w:val="580"/>
        </w:trPr>
        <w:tc>
          <w:tcPr>
            <w:tcW w:w="2127" w:type="dxa"/>
            <w:vMerge/>
            <w:shd w:val="clear" w:color="auto" w:fill="auto"/>
            <w:vAlign w:val="center"/>
            <w:hideMark/>
          </w:tcPr>
          <w:p w14:paraId="123099E6"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D8CC3C6" w14:textId="1AC161BE"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Ticona (2021)</w:t>
            </w:r>
            <w:r w:rsidR="007242E8">
              <w:rPr>
                <w:rFonts w:ascii="Arial" w:eastAsia="Times New Roman" w:hAnsi="Arial" w:cs="Arial"/>
                <w:color w:val="000000"/>
                <w:kern w:val="0"/>
                <w:sz w:val="20"/>
                <w:szCs w:val="20"/>
                <w:lang w:val="es-419" w:eastAsia="es-419"/>
                <w14:ligatures w14:val="none"/>
              </w:rPr>
              <w:t>, r</w:t>
            </w:r>
            <w:r w:rsidRPr="00A46CE6">
              <w:rPr>
                <w:rFonts w:ascii="Arial" w:eastAsia="Times New Roman" w:hAnsi="Arial" w:cs="Arial"/>
                <w:color w:val="000000"/>
                <w:kern w:val="0"/>
                <w:sz w:val="20"/>
                <w:szCs w:val="20"/>
                <w:lang w:val="es-419" w:eastAsia="es-419"/>
                <w14:ligatures w14:val="none"/>
              </w:rPr>
              <w:t>elaciona directamente desnutrición con desempeño académico en escolares peruanos.</w:t>
            </w:r>
          </w:p>
        </w:tc>
      </w:tr>
      <w:tr w:rsidR="00A46CE6" w:rsidRPr="00A46CE6" w14:paraId="41EA5DAE" w14:textId="77777777" w:rsidTr="005F7B9F">
        <w:trPr>
          <w:trHeight w:val="524"/>
        </w:trPr>
        <w:tc>
          <w:tcPr>
            <w:tcW w:w="2127" w:type="dxa"/>
            <w:vMerge/>
            <w:shd w:val="clear" w:color="auto" w:fill="auto"/>
            <w:vAlign w:val="center"/>
            <w:hideMark/>
          </w:tcPr>
          <w:p w14:paraId="3AD5E9B0"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3B72E5E5" w14:textId="71F0FD0B"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Feijoo (2020)</w:t>
            </w:r>
            <w:r w:rsidR="007242E8">
              <w:rPr>
                <w:rFonts w:ascii="Arial" w:eastAsia="Times New Roman" w:hAnsi="Arial" w:cs="Arial"/>
                <w:color w:val="000000"/>
                <w:kern w:val="0"/>
                <w:sz w:val="20"/>
                <w:szCs w:val="20"/>
                <w:lang w:val="es-419" w:eastAsia="es-419"/>
                <w14:ligatures w14:val="none"/>
              </w:rPr>
              <w:t>, e</w:t>
            </w:r>
            <w:r w:rsidRPr="00A46CE6">
              <w:rPr>
                <w:rFonts w:ascii="Arial" w:eastAsia="Times New Roman" w:hAnsi="Arial" w:cs="Arial"/>
                <w:color w:val="000000"/>
                <w:kern w:val="0"/>
                <w:sz w:val="20"/>
                <w:szCs w:val="20"/>
                <w:lang w:val="es-419" w:eastAsia="es-419"/>
                <w14:ligatures w14:val="none"/>
              </w:rPr>
              <w:t>stablece vínculo entre desnutrición temprana y bajo rendimiento escolar preescolar.</w:t>
            </w:r>
          </w:p>
        </w:tc>
      </w:tr>
      <w:tr w:rsidR="00A46CE6" w:rsidRPr="00A46CE6" w14:paraId="3ACE2C38" w14:textId="77777777" w:rsidTr="005F7B9F">
        <w:trPr>
          <w:trHeight w:val="545"/>
        </w:trPr>
        <w:tc>
          <w:tcPr>
            <w:tcW w:w="2127" w:type="dxa"/>
            <w:vMerge/>
            <w:shd w:val="clear" w:color="auto" w:fill="auto"/>
            <w:vAlign w:val="center"/>
            <w:hideMark/>
          </w:tcPr>
          <w:p w14:paraId="5718ADBB" w14:textId="77777777" w:rsidR="00A46CE6" w:rsidRPr="00A46CE6" w:rsidRDefault="00A46CE6" w:rsidP="00A46CE6">
            <w:pPr>
              <w:spacing w:after="0" w:line="240" w:lineRule="auto"/>
              <w:ind w:firstLine="720"/>
              <w:rPr>
                <w:rFonts w:ascii="Arial" w:eastAsia="Times New Roman" w:hAnsi="Arial" w:cs="Arial"/>
                <w:color w:val="000000"/>
                <w:kern w:val="0"/>
                <w:sz w:val="20"/>
                <w:szCs w:val="20"/>
                <w:lang w:val="es-419" w:eastAsia="es-419"/>
                <w14:ligatures w14:val="none"/>
              </w:rPr>
            </w:pPr>
          </w:p>
        </w:tc>
        <w:tc>
          <w:tcPr>
            <w:tcW w:w="7371" w:type="dxa"/>
            <w:tcBorders>
              <w:top w:val="nil"/>
            </w:tcBorders>
            <w:shd w:val="clear" w:color="auto" w:fill="auto"/>
            <w:vAlign w:val="center"/>
            <w:hideMark/>
          </w:tcPr>
          <w:p w14:paraId="68CDD0BF" w14:textId="31A20301"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Trávez et al. (2024)</w:t>
            </w:r>
            <w:r w:rsidR="007242E8">
              <w:rPr>
                <w:rFonts w:ascii="Arial" w:eastAsia="Times New Roman" w:hAnsi="Arial" w:cs="Arial"/>
                <w:color w:val="000000"/>
                <w:kern w:val="0"/>
                <w:sz w:val="20"/>
                <w:szCs w:val="20"/>
                <w:lang w:val="es-419" w:eastAsia="es-419"/>
                <w14:ligatures w14:val="none"/>
              </w:rPr>
              <w:t>, c</w:t>
            </w:r>
            <w:r w:rsidRPr="00A46CE6">
              <w:rPr>
                <w:rFonts w:ascii="Arial" w:eastAsia="Times New Roman" w:hAnsi="Arial" w:cs="Arial"/>
                <w:color w:val="000000"/>
                <w:kern w:val="0"/>
                <w:sz w:val="20"/>
                <w:szCs w:val="20"/>
                <w:lang w:val="es-419" w:eastAsia="es-419"/>
                <w14:ligatures w14:val="none"/>
              </w:rPr>
              <w:t>onfirma</w:t>
            </w:r>
            <w:r w:rsidR="007242E8">
              <w:rPr>
                <w:rFonts w:ascii="Arial" w:eastAsia="Times New Roman" w:hAnsi="Arial" w:cs="Arial"/>
                <w:color w:val="000000"/>
                <w:kern w:val="0"/>
                <w:sz w:val="20"/>
                <w:szCs w:val="20"/>
                <w:lang w:val="es-419" w:eastAsia="es-419"/>
                <w14:ligatures w14:val="none"/>
              </w:rPr>
              <w:t>n</w:t>
            </w:r>
            <w:r w:rsidRPr="00A46CE6">
              <w:rPr>
                <w:rFonts w:ascii="Arial" w:eastAsia="Times New Roman" w:hAnsi="Arial" w:cs="Arial"/>
                <w:color w:val="000000"/>
                <w:kern w:val="0"/>
                <w:sz w:val="20"/>
                <w:szCs w:val="20"/>
                <w:lang w:val="es-419" w:eastAsia="es-419"/>
                <w14:ligatures w14:val="none"/>
              </w:rPr>
              <w:t xml:space="preserve"> la influencia negativa de desnutrición en desempeño académico adolescente.</w:t>
            </w:r>
          </w:p>
        </w:tc>
      </w:tr>
      <w:tr w:rsidR="00A46CE6" w:rsidRPr="00A46CE6" w14:paraId="4A6D086D" w14:textId="77777777" w:rsidTr="005F7B9F">
        <w:trPr>
          <w:trHeight w:val="573"/>
        </w:trPr>
        <w:tc>
          <w:tcPr>
            <w:tcW w:w="2127" w:type="dxa"/>
            <w:vMerge/>
            <w:tcBorders>
              <w:bottom w:val="single" w:sz="4" w:space="0" w:color="auto"/>
            </w:tcBorders>
            <w:shd w:val="clear" w:color="auto" w:fill="auto"/>
            <w:vAlign w:val="center"/>
            <w:hideMark/>
          </w:tcPr>
          <w:p w14:paraId="12832B5A" w14:textId="77777777"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p>
        </w:tc>
        <w:tc>
          <w:tcPr>
            <w:tcW w:w="7371" w:type="dxa"/>
            <w:tcBorders>
              <w:top w:val="nil"/>
              <w:bottom w:val="single" w:sz="4" w:space="0" w:color="auto"/>
            </w:tcBorders>
            <w:shd w:val="clear" w:color="auto" w:fill="auto"/>
            <w:vAlign w:val="center"/>
            <w:hideMark/>
          </w:tcPr>
          <w:p w14:paraId="4D22C85A" w14:textId="205C641A" w:rsidR="00A46CE6" w:rsidRPr="00A46CE6" w:rsidRDefault="00A46CE6" w:rsidP="00A46CE6">
            <w:pPr>
              <w:spacing w:after="0" w:line="240" w:lineRule="auto"/>
              <w:rPr>
                <w:rFonts w:ascii="Arial" w:eastAsia="Times New Roman" w:hAnsi="Arial" w:cs="Arial"/>
                <w:color w:val="000000"/>
                <w:kern w:val="0"/>
                <w:sz w:val="20"/>
                <w:szCs w:val="20"/>
                <w:lang w:val="es-419" w:eastAsia="es-419"/>
                <w14:ligatures w14:val="none"/>
              </w:rPr>
            </w:pPr>
            <w:r w:rsidRPr="00A46CE6">
              <w:rPr>
                <w:rFonts w:ascii="Arial" w:eastAsia="Times New Roman" w:hAnsi="Arial" w:cs="Arial"/>
                <w:color w:val="000000"/>
                <w:kern w:val="0"/>
                <w:sz w:val="20"/>
                <w:szCs w:val="20"/>
                <w:lang w:val="es-419" w:eastAsia="es-419"/>
                <w14:ligatures w14:val="none"/>
              </w:rPr>
              <w:t>Santisteban (2021)</w:t>
            </w:r>
            <w:r w:rsidR="007242E8">
              <w:rPr>
                <w:rFonts w:ascii="Arial" w:eastAsia="Times New Roman" w:hAnsi="Arial" w:cs="Arial"/>
                <w:color w:val="000000"/>
                <w:kern w:val="0"/>
                <w:sz w:val="20"/>
                <w:szCs w:val="20"/>
                <w:lang w:val="es-419" w:eastAsia="es-419"/>
                <w14:ligatures w14:val="none"/>
              </w:rPr>
              <w:t>, r</w:t>
            </w:r>
            <w:r w:rsidRPr="00A46CE6">
              <w:rPr>
                <w:rFonts w:ascii="Arial" w:eastAsia="Times New Roman" w:hAnsi="Arial" w:cs="Arial"/>
                <w:color w:val="000000"/>
                <w:kern w:val="0"/>
                <w:sz w:val="20"/>
                <w:szCs w:val="20"/>
                <w:lang w:val="es-419" w:eastAsia="es-419"/>
                <w14:ligatures w14:val="none"/>
              </w:rPr>
              <w:t>elaciona desnutrición infantil con dificultades específicas de aprendizaje inicial.</w:t>
            </w:r>
          </w:p>
        </w:tc>
      </w:tr>
    </w:tbl>
    <w:p w14:paraId="53E90E5F" w14:textId="77777777" w:rsidR="00A46CE6" w:rsidRPr="00A46CE6" w:rsidRDefault="00A46CE6" w:rsidP="00A46CE6">
      <w:pPr>
        <w:spacing w:after="240" w:line="480" w:lineRule="auto"/>
        <w:rPr>
          <w:rFonts w:ascii="Arial" w:eastAsia="Calibri" w:hAnsi="Arial" w:cs="Times New Roman"/>
          <w:kern w:val="0"/>
          <w:szCs w:val="24"/>
          <w:lang w:val="es-419"/>
          <w14:ligatures w14:val="none"/>
        </w:rPr>
      </w:pPr>
      <w:r w:rsidRPr="00A46CE6">
        <w:rPr>
          <w:rFonts w:ascii="Arial" w:eastAsia="Calibri" w:hAnsi="Arial" w:cs="Times New Roman"/>
          <w:i/>
          <w:iCs/>
          <w:kern w:val="0"/>
          <w:szCs w:val="24"/>
          <w:lang w:val="es-419"/>
          <w14:ligatures w14:val="none"/>
        </w:rPr>
        <w:t xml:space="preserve">Nota. </w:t>
      </w:r>
      <w:r w:rsidRPr="00A46CE6">
        <w:rPr>
          <w:rFonts w:ascii="Arial" w:eastAsia="Calibri" w:hAnsi="Arial" w:cs="Times New Roman"/>
          <w:kern w:val="0"/>
          <w:szCs w:val="24"/>
          <w:lang w:val="es-419"/>
          <w14:ligatures w14:val="none"/>
        </w:rPr>
        <w:t>Fuente: elaboración propia (2025).</w:t>
      </w:r>
    </w:p>
    <w:p w14:paraId="2ED92502"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Resulta especialmente interesante que el mayor porcentaje de publicaciones recopiladas se concentre en el año 2024, lo que evidencia un interés creciente y vigente en investigar la relación entre nutrición y desempeño escolar. Tal concentración da cuenta de la actualidad del tema y de la urgencia e importancia social y académica que adquiere en escenarios contemporáneos. Asimismo, el hecho de que la mayoría de los estudios provengan del motor de búsqueda Google Académico indica que gran parte de la producción científica sobre esta problemática está disponible en fuentes abiertas, es decir, están al alcance de los ámbitos académicos, políticos y escolares. En tanto, el equilibrio metodológico entre enfoques cualitativos y cuantitativos, sumado al uso también habitual de métodos mixtos, potencia la trascendencia de estos resultados al integrar diferentes dimensiones del problema nutricional-académico desde múltiples perspectivas investigativas.</w:t>
      </w:r>
    </w:p>
    <w:p w14:paraId="5B6D970A"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lastRenderedPageBreak/>
        <w:t>Por otro lado, la predominancia clara de la tipología de artículos científicos en la data sugiere una valoración rigurosa y sistemática en la investigación del fenómeno estudiado, lo que consolida una base empírica interesante que refuerza su validez científica y aplicabilidad práctica. Ahora bien, desde el punto de vista temático, la revisión reveló que la nutrición aparece como un eje central ampliamente consensuado, vinculado estrechamente con el rendimiento académico y el 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p>
    <w:p w14:paraId="16484841" w14:textId="77777777" w:rsidR="00A46CE6" w:rsidRPr="00A46CE6" w:rsidRDefault="00A46CE6" w:rsidP="00A46CE6">
      <w:pPr>
        <w:spacing w:after="0" w:line="480" w:lineRule="auto"/>
        <w:ind w:firstLine="720"/>
        <w:rPr>
          <w:rFonts w:ascii="Arial" w:eastAsia="Calibri" w:hAnsi="Arial" w:cs="Times New Roman"/>
          <w:kern w:val="0"/>
          <w:szCs w:val="24"/>
          <w:lang w:val="es-419"/>
          <w14:ligatures w14:val="none"/>
        </w:rPr>
      </w:pPr>
      <w:r w:rsidRPr="00A46CE6">
        <w:rPr>
          <w:rFonts w:ascii="Arial" w:eastAsia="Calibri" w:hAnsi="Arial" w:cs="Times New Roman"/>
          <w:kern w:val="0"/>
          <w:szCs w:val="24"/>
          <w:lang w:val="es-419"/>
          <w14:ligatures w14:val="none"/>
        </w:rPr>
        <w:t>Finalmente, las temáticas complementarias que se hicieron evidentes en la búsqueda (desnutrición, malnutrición, obesidad, programas escolares de alimentación, condición física y factores socioeconómicos) permiten identificar claramente ámbitos específicos de intervención educativa y social. La presencia amplia de estudios latinoamericanos destaca la relevancia regional y la necesidad urgente de atender estos factores nutricionales en el territorio.</w:t>
      </w:r>
    </w:p>
    <w:p w14:paraId="6E08B57C" w14:textId="77777777" w:rsidR="00A46CE6" w:rsidRPr="00A46CE6" w:rsidRDefault="00A46CE6" w:rsidP="00A46CE6">
      <w:pPr>
        <w:spacing w:after="0" w:line="480" w:lineRule="auto"/>
        <w:rPr>
          <w:rFonts w:ascii="Arial" w:eastAsia="Calibri" w:hAnsi="Arial" w:cs="Times New Roman"/>
          <w:kern w:val="0"/>
          <w:szCs w:val="24"/>
          <w:lang w:val="es-419"/>
          <w14:ligatures w14:val="none"/>
        </w:rPr>
      </w:pPr>
    </w:p>
    <w:p w14:paraId="3A144E6F" w14:textId="77777777" w:rsidR="001963DD" w:rsidRDefault="001963DD"/>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6"/>
    <w:rsid w:val="001963DD"/>
    <w:rsid w:val="001D46CB"/>
    <w:rsid w:val="002942DB"/>
    <w:rsid w:val="00483A6C"/>
    <w:rsid w:val="004B524D"/>
    <w:rsid w:val="005E3097"/>
    <w:rsid w:val="007242E8"/>
    <w:rsid w:val="007B3834"/>
    <w:rsid w:val="00A46CE6"/>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AF03"/>
  <w15:chartTrackingRefBased/>
  <w15:docId w15:val="{711F7B9A-4AB2-43A6-8783-2E8183E8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6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6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6C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6C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6C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6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C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C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6C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6C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6C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6C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6C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6C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6C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6CE6"/>
    <w:rPr>
      <w:rFonts w:eastAsiaTheme="majorEastAsia" w:cstheme="majorBidi"/>
      <w:color w:val="272727" w:themeColor="text1" w:themeTint="D8"/>
    </w:rPr>
  </w:style>
  <w:style w:type="paragraph" w:styleId="Ttulo">
    <w:name w:val="Title"/>
    <w:basedOn w:val="Normal"/>
    <w:next w:val="Normal"/>
    <w:link w:val="TtuloCar"/>
    <w:uiPriority w:val="10"/>
    <w:qFormat/>
    <w:rsid w:val="00A46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6C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C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6CE6"/>
    <w:pPr>
      <w:spacing w:before="160"/>
      <w:jc w:val="center"/>
    </w:pPr>
    <w:rPr>
      <w:i/>
      <w:iCs/>
      <w:color w:val="404040" w:themeColor="text1" w:themeTint="BF"/>
    </w:rPr>
  </w:style>
  <w:style w:type="character" w:customStyle="1" w:styleId="CitaCar">
    <w:name w:val="Cita Car"/>
    <w:basedOn w:val="Fuentedeprrafopredeter"/>
    <w:link w:val="Cita"/>
    <w:uiPriority w:val="29"/>
    <w:rsid w:val="00A46CE6"/>
    <w:rPr>
      <w:i/>
      <w:iCs/>
      <w:color w:val="404040" w:themeColor="text1" w:themeTint="BF"/>
    </w:rPr>
  </w:style>
  <w:style w:type="paragraph" w:styleId="Prrafodelista">
    <w:name w:val="List Paragraph"/>
    <w:basedOn w:val="Normal"/>
    <w:uiPriority w:val="34"/>
    <w:qFormat/>
    <w:rsid w:val="00A46CE6"/>
    <w:pPr>
      <w:ind w:left="720"/>
      <w:contextualSpacing/>
    </w:pPr>
  </w:style>
  <w:style w:type="character" w:styleId="nfasisintenso">
    <w:name w:val="Intense Emphasis"/>
    <w:basedOn w:val="Fuentedeprrafopredeter"/>
    <w:uiPriority w:val="21"/>
    <w:qFormat/>
    <w:rsid w:val="00A46CE6"/>
    <w:rPr>
      <w:i/>
      <w:iCs/>
      <w:color w:val="2F5496" w:themeColor="accent1" w:themeShade="BF"/>
    </w:rPr>
  </w:style>
  <w:style w:type="paragraph" w:styleId="Citadestacada">
    <w:name w:val="Intense Quote"/>
    <w:basedOn w:val="Normal"/>
    <w:next w:val="Normal"/>
    <w:link w:val="CitadestacadaCar"/>
    <w:uiPriority w:val="30"/>
    <w:qFormat/>
    <w:rsid w:val="00A46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6CE6"/>
    <w:rPr>
      <w:i/>
      <w:iCs/>
      <w:color w:val="2F5496" w:themeColor="accent1" w:themeShade="BF"/>
    </w:rPr>
  </w:style>
  <w:style w:type="character" w:styleId="Referenciaintensa">
    <w:name w:val="Intense Reference"/>
    <w:basedOn w:val="Fuentedeprrafopredeter"/>
    <w:uiPriority w:val="32"/>
    <w:qFormat/>
    <w:rsid w:val="00A46CE6"/>
    <w:rPr>
      <w:b/>
      <w:bCs/>
      <w:smallCaps/>
      <w:color w:val="2F5496" w:themeColor="accent1" w:themeShade="BF"/>
      <w:spacing w:val="5"/>
    </w:rPr>
  </w:style>
  <w:style w:type="paragraph" w:customStyle="1" w:styleId="Autores">
    <w:name w:val="Autores"/>
    <w:basedOn w:val="Normal"/>
    <w:qFormat/>
    <w:rsid w:val="00A46CE6"/>
    <w:pPr>
      <w:spacing w:after="0" w:line="480" w:lineRule="auto"/>
      <w:jc w:val="center"/>
    </w:pPr>
    <w:rPr>
      <w:rFonts w:ascii="Arial" w:hAnsi="Arial"/>
      <w:kern w:val="0"/>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ivand\AppData\Local\Microsoft\Windows\INetCache\IE\QFT7NA6X\Matriz%20de%20An&#225;lisis%20-%20UNAC%20(Jorge%20Hoyos)%20(1)%20(1)%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D555-4F04-8219-A24A6D4BF034}"/>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1CF3-400C-97E6-83D5F654760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AEF5-4F9B-8845-C056DDCF24E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B390-4AA9-86DA-81486F6C7408}"/>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s>
</file>

<file path=customXml/itemProps1.xml><?xml version="1.0" encoding="utf-8"?>
<ds:datastoreItem xmlns:ds="http://schemas.openxmlformats.org/officeDocument/2006/customXml" ds:itemID="{C561DDFF-D42D-4F35-86E4-7A24DEFFD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2059</Words>
  <Characters>11329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Sonia Vargas</cp:lastModifiedBy>
  <cp:revision>3</cp:revision>
  <cp:lastPrinted>2025-04-03T22:31:00Z</cp:lastPrinted>
  <dcterms:created xsi:type="dcterms:W3CDTF">2025-04-03T22:33:00Z</dcterms:created>
  <dcterms:modified xsi:type="dcterms:W3CDTF">2025-04-03T22:33:00Z</dcterms:modified>
</cp:coreProperties>
</file>