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8FE5" w14:textId="573E2950" w:rsidR="00A46CE6" w:rsidRDefault="00A46CE6" w:rsidP="00A46CE6">
      <w:pPr>
        <w:pStyle w:val="Autores"/>
        <w:rPr>
          <w:rFonts w:eastAsiaTheme="majorEastAsia" w:cstheme="majorBidi"/>
          <w:b/>
          <w:bCs/>
          <w:szCs w:val="32"/>
          <w:lang w:val="es-419"/>
        </w:rPr>
      </w:pPr>
      <w:r w:rsidRPr="00873809">
        <w:rPr>
          <w:rFonts w:eastAsiaTheme="majorEastAsia" w:cstheme="majorBidi"/>
          <w:b/>
          <w:bCs/>
          <w:szCs w:val="32"/>
          <w:lang w:val="es-419"/>
        </w:rPr>
        <w:t xml:space="preserve">Factores </w:t>
      </w:r>
      <w:r w:rsidR="00483A6C">
        <w:rPr>
          <w:rFonts w:eastAsiaTheme="majorEastAsia" w:cstheme="majorBidi"/>
          <w:b/>
          <w:bCs/>
          <w:szCs w:val="32"/>
          <w:lang w:val="es-419"/>
        </w:rPr>
        <w:t>N</w:t>
      </w:r>
      <w:r w:rsidRPr="00873809">
        <w:rPr>
          <w:rFonts w:eastAsiaTheme="majorEastAsia" w:cstheme="majorBidi"/>
          <w:b/>
          <w:bCs/>
          <w:szCs w:val="32"/>
          <w:lang w:val="es-419"/>
        </w:rPr>
        <w:t xml:space="preserve">utricionales que </w:t>
      </w:r>
      <w:r w:rsidR="00483A6C">
        <w:rPr>
          <w:rFonts w:eastAsiaTheme="majorEastAsia" w:cstheme="majorBidi"/>
          <w:b/>
          <w:bCs/>
          <w:szCs w:val="32"/>
          <w:lang w:val="es-419"/>
        </w:rPr>
        <w:t>I</w:t>
      </w:r>
      <w:r w:rsidRPr="00873809">
        <w:rPr>
          <w:rFonts w:eastAsiaTheme="majorEastAsia" w:cstheme="majorBidi"/>
          <w:b/>
          <w:bCs/>
          <w:szCs w:val="32"/>
          <w:lang w:val="es-419"/>
        </w:rPr>
        <w:t xml:space="preserve">nciden en el </w:t>
      </w:r>
      <w:r w:rsidR="00483A6C">
        <w:rPr>
          <w:rFonts w:eastAsiaTheme="majorEastAsia" w:cstheme="majorBidi"/>
          <w:b/>
          <w:bCs/>
          <w:szCs w:val="32"/>
          <w:lang w:val="es-419"/>
        </w:rPr>
        <w:t>R</w:t>
      </w:r>
      <w:r w:rsidRPr="00873809">
        <w:rPr>
          <w:rFonts w:eastAsiaTheme="majorEastAsia" w:cstheme="majorBidi"/>
          <w:b/>
          <w:bCs/>
          <w:szCs w:val="32"/>
          <w:lang w:val="es-419"/>
        </w:rPr>
        <w:t xml:space="preserve">endimiento </w:t>
      </w:r>
      <w:r w:rsidR="00483A6C">
        <w:rPr>
          <w:rFonts w:eastAsiaTheme="majorEastAsia" w:cstheme="majorBidi"/>
          <w:b/>
          <w:bCs/>
          <w:szCs w:val="32"/>
          <w:lang w:val="es-419"/>
        </w:rPr>
        <w:t>E</w:t>
      </w:r>
      <w:r w:rsidRPr="00873809">
        <w:rPr>
          <w:rFonts w:eastAsiaTheme="majorEastAsia" w:cstheme="majorBidi"/>
          <w:b/>
          <w:bCs/>
          <w:szCs w:val="32"/>
          <w:lang w:val="es-419"/>
        </w:rPr>
        <w:t xml:space="preserve">scolar: </w:t>
      </w:r>
      <w:r w:rsidRPr="00873809">
        <w:rPr>
          <w:rFonts w:eastAsiaTheme="majorEastAsia" w:cstheme="majorBidi"/>
          <w:b/>
          <w:bCs/>
          <w:szCs w:val="32"/>
          <w:lang w:val="es-419"/>
        </w:rPr>
        <w:br/>
        <w:t xml:space="preserve">Una revisión de la </w:t>
      </w:r>
      <w:r w:rsidR="00483A6C">
        <w:rPr>
          <w:rFonts w:eastAsiaTheme="majorEastAsia" w:cstheme="majorBidi"/>
          <w:b/>
          <w:bCs/>
          <w:szCs w:val="32"/>
          <w:lang w:val="es-419"/>
        </w:rPr>
        <w:t>L</w:t>
      </w:r>
      <w:r w:rsidRPr="00873809">
        <w:rPr>
          <w:rFonts w:eastAsiaTheme="majorEastAsia" w:cstheme="majorBidi"/>
          <w:b/>
          <w:bCs/>
          <w:szCs w:val="32"/>
          <w:lang w:val="es-419"/>
        </w:rPr>
        <w:t xml:space="preserve">iteratura </w:t>
      </w:r>
      <w:r w:rsidR="00483A6C">
        <w:rPr>
          <w:rFonts w:eastAsiaTheme="majorEastAsia" w:cstheme="majorBidi"/>
          <w:b/>
          <w:bCs/>
          <w:szCs w:val="32"/>
          <w:lang w:val="es-419"/>
        </w:rPr>
        <w:t>E</w:t>
      </w:r>
      <w:r w:rsidRPr="00873809">
        <w:rPr>
          <w:rFonts w:eastAsiaTheme="majorEastAsia" w:cstheme="majorBidi"/>
          <w:b/>
          <w:bCs/>
          <w:szCs w:val="32"/>
          <w:lang w:val="es-419"/>
        </w:rPr>
        <w:t>ntre 2020-2025</w:t>
      </w:r>
    </w:p>
    <w:p w14:paraId="21EC11F9" w14:textId="77777777" w:rsidR="00483A6C" w:rsidRPr="00873809" w:rsidRDefault="00483A6C" w:rsidP="00A46CE6">
      <w:pPr>
        <w:pStyle w:val="Autores"/>
        <w:rPr>
          <w:rFonts w:eastAsiaTheme="majorEastAsia" w:cstheme="majorBidi"/>
          <w:b/>
          <w:bCs/>
          <w:szCs w:val="32"/>
          <w:lang w:val="es-419"/>
        </w:rPr>
      </w:pPr>
    </w:p>
    <w:p w14:paraId="78C28A4D" w14:textId="77777777" w:rsidR="00A46CE6" w:rsidRPr="00A46CE6" w:rsidRDefault="00A46CE6" w:rsidP="00A46CE6">
      <w:pPr>
        <w:keepNext/>
        <w:keepLines/>
        <w:spacing w:after="0" w:line="480" w:lineRule="auto"/>
        <w:jc w:val="center"/>
        <w:outlineLvl w:val="0"/>
        <w:rPr>
          <w:rFonts w:ascii="Arial" w:eastAsia="Times New Roman" w:hAnsi="Arial" w:cs="Times New Roman"/>
          <w:b/>
          <w:kern w:val="0"/>
          <w:szCs w:val="32"/>
          <w:lang w:val="es-ES"/>
          <w14:ligatures w14:val="none"/>
        </w:rPr>
      </w:pPr>
      <w:r w:rsidRPr="00A46CE6">
        <w:rPr>
          <w:rFonts w:ascii="Arial" w:eastAsia="Times New Roman" w:hAnsi="Arial" w:cs="Times New Roman"/>
          <w:b/>
          <w:kern w:val="0"/>
          <w:szCs w:val="32"/>
          <w:lang w:val="es-ES"/>
          <w14:ligatures w14:val="none"/>
        </w:rPr>
        <w:t>Metodología</w:t>
      </w:r>
    </w:p>
    <w:p w14:paraId="4E639874" w14:textId="77777777" w:rsidR="00483A6C" w:rsidRDefault="00A46CE6" w:rsidP="00483A6C">
      <w:pPr>
        <w:spacing w:after="0" w:line="480" w:lineRule="auto"/>
        <w:ind w:firstLine="708"/>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w:t>
      </w:r>
      <w:r w:rsidR="00483A6C">
        <w:rPr>
          <w:rFonts w:ascii="Arial" w:eastAsia="Calibri" w:hAnsi="Arial" w:cs="Times New Roman"/>
          <w:kern w:val="0"/>
          <w:szCs w:val="24"/>
          <w:lang w:val="es-419"/>
          <w14:ligatures w14:val="none"/>
        </w:rPr>
        <w:t>á</w:t>
      </w:r>
      <w:r w:rsidRPr="00A46CE6">
        <w:rPr>
          <w:rFonts w:ascii="Arial" w:eastAsia="Calibri" w:hAnsi="Arial" w:cs="Times New Roman"/>
          <w:kern w:val="0"/>
          <w:szCs w:val="24"/>
          <w:lang w:val="es-419"/>
          <w14:ligatures w14:val="none"/>
        </w:rPr>
        <w:t xml:space="preserve">n los factores nutricionales incidentes en la función cognitiva y, por ende, en el rendimiento académico estudiantil. </w:t>
      </w:r>
    </w:p>
    <w:p w14:paraId="5A40A535" w14:textId="00B860B1" w:rsidR="00A46CE6" w:rsidRPr="00A46CE6" w:rsidRDefault="00A46CE6" w:rsidP="00483A6C">
      <w:pPr>
        <w:spacing w:after="0" w:line="480" w:lineRule="auto"/>
        <w:ind w:firstLine="708"/>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Para tal efecto, se consultaron bases de datos reconocidas y especializadas como Dialnet, Scielo y Google Académico, además de repositorios institucionales, siguiendo las recomendaciones metodológicas de Higgins et al. </w:t>
      </w:r>
      <w:sdt>
        <w:sdtPr>
          <w:rPr>
            <w:rFonts w:ascii="Arial" w:eastAsia="Calibri" w:hAnsi="Arial" w:cs="Times New Roman"/>
            <w:kern w:val="0"/>
            <w:szCs w:val="24"/>
            <w:lang w:val="es-419"/>
            <w14:ligatures w14:val="none"/>
          </w:rPr>
          <w:id w:val="-1076511798"/>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Hig22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(2022)</w:t>
          </w:r>
          <w:r w:rsidRPr="00A46CE6">
            <w:rPr>
              <w:rFonts w:ascii="Arial" w:eastAsia="Calibri" w:hAnsi="Arial" w:cs="Times New Roman"/>
              <w:kern w:val="0"/>
              <w:szCs w:val="24"/>
              <w:lang w:val="es-419"/>
              <w14:ligatures w14:val="none"/>
            </w:rPr>
            <w:fldChar w:fldCharType="end"/>
          </w:r>
        </w:sdtContent>
      </w:sdt>
      <w:r w:rsidR="00483A6C">
        <w:rPr>
          <w:rFonts w:ascii="Arial" w:eastAsia="Calibri" w:hAnsi="Arial" w:cs="Times New Roman"/>
          <w:kern w:val="0"/>
          <w:szCs w:val="24"/>
          <w:lang w:val="es-419"/>
          <w14:ligatures w14:val="none"/>
        </w:rPr>
        <w:t>,</w:t>
      </w:r>
      <w:r w:rsidRPr="00A46CE6">
        <w:rPr>
          <w:rFonts w:ascii="Arial" w:eastAsia="Calibri" w:hAnsi="Arial" w:cs="Times New Roman"/>
          <w:kern w:val="0"/>
          <w:szCs w:val="24"/>
          <w:lang w:val="es-419"/>
          <w14:ligatures w14:val="none"/>
        </w:rPr>
        <w:t xml:space="preserve"> para garantizar rigor en la selección y análisis de los documentos. Se utilizaron como predictores clave de búsqueda las palabras “nutrición”, “rendimiento académico” y “aprendizaje” (KEY: “</w:t>
      </w:r>
      <w:r w:rsidR="00483A6C" w:rsidRPr="00A46CE6">
        <w:rPr>
          <w:rFonts w:ascii="Arial" w:eastAsia="Calibri" w:hAnsi="Arial" w:cs="Times New Roman"/>
          <w:kern w:val="0"/>
          <w:szCs w:val="24"/>
          <w:lang w:val="es-419"/>
          <w14:ligatures w14:val="none"/>
        </w:rPr>
        <w:t>NUTRICIÓN” + “</w:t>
      </w:r>
      <w:r w:rsidRPr="00A46CE6">
        <w:rPr>
          <w:rFonts w:ascii="Arial" w:eastAsia="Calibri" w:hAnsi="Arial" w:cs="Times New Roman"/>
          <w:kern w:val="0"/>
          <w:szCs w:val="24"/>
          <w:lang w:val="es-419"/>
          <w14:ligatures w14:val="none"/>
        </w:rPr>
        <w:t xml:space="preserve">RENDIMIENTO </w:t>
      </w:r>
      <w:r w:rsidR="00483A6C" w:rsidRPr="00A46CE6">
        <w:rPr>
          <w:rFonts w:ascii="Arial" w:eastAsia="Calibri" w:hAnsi="Arial" w:cs="Times New Roman"/>
          <w:kern w:val="0"/>
          <w:szCs w:val="24"/>
          <w:lang w:val="es-419"/>
          <w14:ligatures w14:val="none"/>
        </w:rPr>
        <w:t>ACADÉMICO” + “</w:t>
      </w:r>
      <w:r w:rsidRPr="00A46CE6">
        <w:rPr>
          <w:rFonts w:ascii="Arial" w:eastAsia="Calibri" w:hAnsi="Arial" w:cs="Times New Roman"/>
          <w:kern w:val="0"/>
          <w:szCs w:val="24"/>
          <w:lang w:val="es-419"/>
          <w14:ligatures w14:val="none"/>
        </w:rPr>
        <w:t xml:space="preserve">APRENDIZAJE”), conforme a la propuesta metodológica para revisiones temáticas planteada por Petticrew y Roberts </w:t>
      </w:r>
      <w:sdt>
        <w:sdtPr>
          <w:rPr>
            <w:rFonts w:ascii="Arial" w:eastAsia="Calibri" w:hAnsi="Arial" w:cs="Times New Roman"/>
            <w:kern w:val="0"/>
            <w:szCs w:val="24"/>
            <w:lang w:val="es-419"/>
            <w14:ligatures w14:val="none"/>
          </w:rPr>
          <w:id w:val="278375337"/>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Pet21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(2021)</w:t>
          </w:r>
          <w:r w:rsidRPr="00A46CE6">
            <w:rPr>
              <w:rFonts w:ascii="Arial" w:eastAsia="Calibri" w:hAnsi="Arial" w:cs="Times New Roman"/>
              <w:kern w:val="0"/>
              <w:szCs w:val="24"/>
              <w:lang w:val="es-419"/>
              <w14:ligatures w14:val="none"/>
            </w:rPr>
            <w:fldChar w:fldCharType="end"/>
          </w:r>
        </w:sdtContent>
      </w:sdt>
      <w:r w:rsidRPr="00A46CE6">
        <w:rPr>
          <w:rFonts w:ascii="Arial" w:eastAsia="Calibri" w:hAnsi="Arial" w:cs="Times New Roman"/>
          <w:kern w:val="0"/>
          <w:szCs w:val="24"/>
          <w:lang w:val="es-419"/>
          <w14:ligatures w14:val="none"/>
        </w:rPr>
        <w:t>.</w:t>
      </w:r>
    </w:p>
    <w:p w14:paraId="7D0EB831" w14:textId="6CE73B0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Inicialmente, se aplicó un primer filtro general basado en títulos, resúmenes y relevancia temática directa, en el marco de la propuesta de Snyder </w:t>
      </w:r>
      <w:sdt>
        <w:sdtPr>
          <w:rPr>
            <w:rFonts w:ascii="Arial" w:eastAsia="Calibri" w:hAnsi="Arial" w:cs="Times New Roman"/>
            <w:kern w:val="0"/>
            <w:szCs w:val="24"/>
            <w:lang w:val="es-419"/>
            <w14:ligatures w14:val="none"/>
          </w:rPr>
          <w:id w:val="-37668511"/>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Sny20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(2020)</w:t>
          </w:r>
          <w:r w:rsidRPr="00A46CE6">
            <w:rPr>
              <w:rFonts w:ascii="Arial" w:eastAsia="Calibri" w:hAnsi="Arial" w:cs="Times New Roman"/>
              <w:kern w:val="0"/>
              <w:szCs w:val="24"/>
              <w:lang w:val="es-419"/>
              <w14:ligatures w14:val="none"/>
            </w:rPr>
            <w:fldChar w:fldCharType="end"/>
          </w:r>
        </w:sdtContent>
      </w:sdt>
      <w:r w:rsidR="00483A6C">
        <w:rPr>
          <w:rFonts w:ascii="Arial" w:eastAsia="Calibri" w:hAnsi="Arial" w:cs="Times New Roman"/>
          <w:kern w:val="0"/>
          <w:szCs w:val="24"/>
          <w:lang w:val="es-419"/>
          <w14:ligatures w14:val="none"/>
        </w:rPr>
        <w:t>,</w:t>
      </w:r>
      <w:r w:rsidRPr="00A46CE6">
        <w:rPr>
          <w:rFonts w:ascii="Arial" w:eastAsia="Calibri" w:hAnsi="Arial" w:cs="Times New Roman"/>
          <w:kern w:val="0"/>
          <w:szCs w:val="24"/>
          <w:lang w:val="es-419"/>
          <w14:ligatures w14:val="none"/>
        </w:rPr>
        <w:t xml:space="preserve"> para revisiones narrativas. Posteriormente, se establecieron criterios de inclusión específicos: enfoque explícito sobre factores nutricionales relacionados directamente con la cognición o rendimiento académica y que las poblaciones estudiadas fueran claramente identificadas como estudiantes en contextos educativos. Tras aplicar estos filtros metodológicos, se aisló una data compuesta por cincuenta (50) documentos, predominando la tipología de artículos científicos, revisiones sistemáticas y metaanálisis.</w:t>
      </w:r>
    </w:p>
    <w:p w14:paraId="5DC30ED1" w14:textId="77777777" w:rsidR="00483A6C" w:rsidRDefault="00483A6C" w:rsidP="00A46CE6">
      <w:pPr>
        <w:spacing w:after="0" w:line="480" w:lineRule="auto"/>
        <w:ind w:firstLine="720"/>
        <w:rPr>
          <w:rFonts w:ascii="Arial" w:eastAsia="Calibri" w:hAnsi="Arial" w:cs="Times New Roman"/>
          <w:kern w:val="0"/>
          <w:szCs w:val="24"/>
          <w:lang w:val="es-419"/>
          <w14:ligatures w14:val="none"/>
        </w:rPr>
      </w:pPr>
      <w:r>
        <w:rPr>
          <w:rFonts w:ascii="Arial" w:eastAsia="Calibri" w:hAnsi="Arial" w:cs="Times New Roman"/>
          <w:kern w:val="0"/>
          <w:szCs w:val="24"/>
          <w:lang w:val="es-419"/>
          <w14:ligatures w14:val="none"/>
        </w:rPr>
        <w:t>En l</w:t>
      </w:r>
      <w:r w:rsidR="00A46CE6" w:rsidRPr="00A46CE6">
        <w:rPr>
          <w:rFonts w:ascii="Arial" w:eastAsia="Calibri" w:hAnsi="Arial" w:cs="Times New Roman"/>
          <w:kern w:val="0"/>
          <w:szCs w:val="24"/>
          <w:lang w:val="es-419"/>
          <w14:ligatures w14:val="none"/>
        </w:rPr>
        <w:t xml:space="preserve">a agrupación de los datos recabados se llevó a cabo mediante un análisis temático minucioso en el cual se siguieron las orientaciones de por Braun y Clarke </w:t>
      </w:r>
      <w:sdt>
        <w:sdtPr>
          <w:rPr>
            <w:rFonts w:ascii="Arial" w:eastAsia="Calibri" w:hAnsi="Arial" w:cs="Times New Roman"/>
            <w:kern w:val="0"/>
            <w:szCs w:val="24"/>
            <w:lang w:val="es-419"/>
            <w14:ligatures w14:val="none"/>
          </w:rPr>
          <w:id w:val="596843122"/>
          <w:citation/>
        </w:sdtPr>
        <w:sdtContent>
          <w:r w:rsidR="00A46CE6" w:rsidRPr="00A46CE6">
            <w:rPr>
              <w:rFonts w:ascii="Arial" w:eastAsia="Calibri" w:hAnsi="Arial" w:cs="Times New Roman"/>
              <w:kern w:val="0"/>
              <w:szCs w:val="24"/>
              <w:lang w:val="es-419"/>
              <w14:ligatures w14:val="none"/>
            </w:rPr>
            <w:fldChar w:fldCharType="begin"/>
          </w:r>
          <w:r w:rsidR="00A46CE6" w:rsidRPr="00A46CE6">
            <w:rPr>
              <w:rFonts w:ascii="Arial" w:eastAsia="Calibri" w:hAnsi="Arial" w:cs="Times New Roman"/>
              <w:kern w:val="0"/>
              <w:szCs w:val="24"/>
              <w14:ligatures w14:val="none"/>
            </w:rPr>
            <w:instrText xml:space="preserve">CITATION Bra21 \n  \t  \l 9226 </w:instrText>
          </w:r>
          <w:r w:rsidR="00A46CE6" w:rsidRPr="00A46CE6">
            <w:rPr>
              <w:rFonts w:ascii="Arial" w:eastAsia="Calibri" w:hAnsi="Arial" w:cs="Times New Roman"/>
              <w:kern w:val="0"/>
              <w:szCs w:val="24"/>
              <w:lang w:val="es-419"/>
              <w14:ligatures w14:val="none"/>
            </w:rPr>
            <w:fldChar w:fldCharType="separate"/>
          </w:r>
          <w:r w:rsidR="00A46CE6" w:rsidRPr="00A46CE6">
            <w:rPr>
              <w:rFonts w:ascii="Arial" w:eastAsia="Calibri" w:hAnsi="Arial" w:cs="Times New Roman"/>
              <w:noProof/>
              <w:kern w:val="0"/>
              <w:szCs w:val="24"/>
              <w14:ligatures w14:val="none"/>
            </w:rPr>
            <w:t>(2021)</w:t>
          </w:r>
          <w:r w:rsidR="00A46CE6" w:rsidRPr="00A46CE6">
            <w:rPr>
              <w:rFonts w:ascii="Arial" w:eastAsia="Calibri" w:hAnsi="Arial" w:cs="Times New Roman"/>
              <w:kern w:val="0"/>
              <w:szCs w:val="24"/>
              <w:lang w:val="es-419"/>
              <w14:ligatures w14:val="none"/>
            </w:rPr>
            <w:fldChar w:fldCharType="end"/>
          </w:r>
        </w:sdtContent>
      </w:sdt>
      <w:r>
        <w:rPr>
          <w:rFonts w:ascii="Arial" w:eastAsia="Calibri" w:hAnsi="Arial" w:cs="Times New Roman"/>
          <w:kern w:val="0"/>
          <w:szCs w:val="24"/>
          <w:lang w:val="es-419"/>
          <w14:ligatures w14:val="none"/>
        </w:rPr>
        <w:t xml:space="preserve">, </w:t>
      </w:r>
      <w:r w:rsidR="00A46CE6" w:rsidRPr="00A46CE6">
        <w:rPr>
          <w:rFonts w:ascii="Arial" w:eastAsia="Calibri" w:hAnsi="Arial" w:cs="Times New Roman"/>
          <w:kern w:val="0"/>
          <w:szCs w:val="24"/>
          <w:lang w:val="es-419"/>
          <w14:ligatures w14:val="none"/>
        </w:rPr>
        <w:lastRenderedPageBreak/>
        <w:t xml:space="preserve">de este modo fue posible organizar sistemáticamente las contribuciones por categorías emergentes claramente definidas. </w:t>
      </w:r>
    </w:p>
    <w:p w14:paraId="38BD3D1E" w14:textId="72BD2861" w:rsid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Finalmente, el análisis se estructuró en secciones temáticas diferenciadas con el fin de brindar, posteriormente, una discusión sólida y conclusiones bien estructuradas conforme a la guía metodológica propuesta por Torraco </w:t>
      </w:r>
      <w:sdt>
        <w:sdtPr>
          <w:rPr>
            <w:rFonts w:ascii="Arial" w:eastAsia="Calibri" w:hAnsi="Arial" w:cs="Times New Roman"/>
            <w:kern w:val="0"/>
            <w:szCs w:val="24"/>
            <w:lang w:val="es-419"/>
            <w14:ligatures w14:val="none"/>
          </w:rPr>
          <w:id w:val="-425807818"/>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Tor213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(2021)</w:t>
          </w:r>
          <w:r w:rsidRPr="00A46CE6">
            <w:rPr>
              <w:rFonts w:ascii="Arial" w:eastAsia="Calibri" w:hAnsi="Arial" w:cs="Times New Roman"/>
              <w:kern w:val="0"/>
              <w:szCs w:val="24"/>
              <w:lang w:val="es-419"/>
              <w14:ligatures w14:val="none"/>
            </w:rPr>
            <w:fldChar w:fldCharType="end"/>
          </w:r>
        </w:sdtContent>
      </w:sdt>
      <w:r w:rsidRPr="00A46CE6">
        <w:rPr>
          <w:rFonts w:ascii="Arial" w:eastAsia="Calibri" w:hAnsi="Arial" w:cs="Times New Roman"/>
          <w:kern w:val="0"/>
          <w:szCs w:val="24"/>
          <w:lang w:val="es-419"/>
          <w14:ligatures w14:val="none"/>
        </w:rPr>
        <w:t>.</w:t>
      </w:r>
    </w:p>
    <w:p w14:paraId="1C8C316D" w14:textId="77777777" w:rsidR="00483A6C" w:rsidRPr="00A46CE6" w:rsidRDefault="00483A6C" w:rsidP="00A46CE6">
      <w:pPr>
        <w:spacing w:after="0" w:line="480" w:lineRule="auto"/>
        <w:ind w:firstLine="720"/>
        <w:rPr>
          <w:rFonts w:ascii="Arial" w:eastAsia="Calibri" w:hAnsi="Arial" w:cs="Times New Roman"/>
          <w:kern w:val="0"/>
          <w:szCs w:val="24"/>
          <w:lang w:val="es-419"/>
          <w14:ligatures w14:val="none"/>
        </w:rPr>
      </w:pPr>
    </w:p>
    <w:p w14:paraId="4EDE718D" w14:textId="77777777" w:rsidR="00A46CE6" w:rsidRPr="00A46CE6" w:rsidRDefault="00A46CE6" w:rsidP="00A46CE6">
      <w:pPr>
        <w:keepNext/>
        <w:keepLines/>
        <w:spacing w:after="0" w:line="480" w:lineRule="auto"/>
        <w:jc w:val="center"/>
        <w:outlineLvl w:val="0"/>
        <w:rPr>
          <w:rFonts w:ascii="Arial" w:eastAsia="Times New Roman" w:hAnsi="Arial" w:cs="Times New Roman"/>
          <w:b/>
          <w:kern w:val="0"/>
          <w:szCs w:val="32"/>
          <w:lang w:val="es-ES"/>
          <w14:ligatures w14:val="none"/>
        </w:rPr>
      </w:pPr>
      <w:r w:rsidRPr="00A46CE6">
        <w:rPr>
          <w:rFonts w:ascii="Arial" w:eastAsia="Times New Roman" w:hAnsi="Arial" w:cs="Times New Roman"/>
          <w:b/>
          <w:kern w:val="0"/>
          <w:szCs w:val="32"/>
          <w:lang w:val="es-ES"/>
          <w14:ligatures w14:val="none"/>
        </w:rPr>
        <w:t>Resultados</w:t>
      </w:r>
    </w:p>
    <w:p w14:paraId="46B71D44" w14:textId="77777777" w:rsidR="00A46CE6" w:rsidRPr="00A46CE6" w:rsidRDefault="00A46CE6" w:rsidP="00483A6C">
      <w:pPr>
        <w:spacing w:after="0" w:line="480" w:lineRule="auto"/>
        <w:ind w:firstLine="708"/>
        <w:rPr>
          <w:rFonts w:ascii="Arial" w:eastAsia="Calibri" w:hAnsi="Arial" w:cs="Times New Roman"/>
          <w:kern w:val="0"/>
          <w:szCs w:val="24"/>
          <w:lang w:val="es-ES"/>
          <w14:ligatures w14:val="none"/>
        </w:rPr>
      </w:pPr>
      <w:r w:rsidRPr="00A46CE6">
        <w:rPr>
          <w:rFonts w:ascii="Arial" w:eastAsia="Calibri" w:hAnsi="Arial" w:cs="Times New Roman"/>
          <w:kern w:val="0"/>
          <w:szCs w:val="24"/>
          <w:lang w:val="es-419"/>
          <w14:ligatures w14:val="none"/>
        </w:rPr>
        <w:t xml:space="preserve">La revisión sistemática realizada permitió identificar trabajos </w:t>
      </w:r>
      <w:r w:rsidRPr="00A46CE6">
        <w:rPr>
          <w:rFonts w:ascii="Arial" w:eastAsia="Calibri" w:hAnsi="Arial" w:cs="Times New Roman"/>
          <w:kern w:val="0"/>
          <w:szCs w:val="24"/>
          <w:lang w:val="es-ES"/>
          <w14:ligatures w14:val="none"/>
        </w:rPr>
        <w:t xml:space="preserve">altamente trascendentes y representativos de la temática abordada. Su consideración constituye un aporte fundamental para futuras intervenciones educativas y nutricionales destinadas a optimizar el desempeño académico, especialmente en escenarios socioeconómicos en los que la vulnerabilidad es una realidad. Las propuestas, cuyos detalles se describen a continuación </w:t>
      </w:r>
      <w:r w:rsidRPr="00A46CE6">
        <w:rPr>
          <w:rFonts w:ascii="Arial" w:eastAsia="Calibri" w:hAnsi="Arial" w:cs="Arial"/>
          <w:kern w:val="0"/>
          <w:szCs w:val="24"/>
          <w:lang w:val="es-ES"/>
          <w14:ligatures w14:val="none"/>
        </w:rPr>
        <w:t>—</w:t>
      </w:r>
      <w:r w:rsidRPr="00A46CE6">
        <w:rPr>
          <w:rFonts w:ascii="Arial" w:eastAsia="Calibri" w:hAnsi="Arial" w:cs="Times New Roman"/>
          <w:kern w:val="0"/>
          <w:szCs w:val="24"/>
          <w:lang w:val="es-ES"/>
          <w14:ligatures w14:val="none"/>
        </w:rPr>
        <w:t>primero de manera general y después de modo particular</w:t>
      </w:r>
      <w:r w:rsidRPr="00A46CE6">
        <w:rPr>
          <w:rFonts w:ascii="Arial" w:eastAsia="Calibri" w:hAnsi="Arial" w:cs="Arial"/>
          <w:kern w:val="0"/>
          <w:szCs w:val="24"/>
          <w:lang w:val="es-ES"/>
          <w14:ligatures w14:val="none"/>
        </w:rPr>
        <w:t>—</w:t>
      </w:r>
      <w:r w:rsidRPr="00A46CE6">
        <w:rPr>
          <w:rFonts w:ascii="Arial" w:eastAsia="Calibri" w:hAnsi="Arial" w:cs="Times New Roman"/>
          <w:kern w:val="0"/>
          <w:szCs w:val="24"/>
          <w:lang w:val="es-ES"/>
          <w14:ligatures w14:val="none"/>
        </w:rPr>
        <w:t xml:space="preserve">, destacan la necesidad imperiosa de establecer políticas integrales en materia de nutrición escolar como prioridad educativa y social. </w:t>
      </w:r>
    </w:p>
    <w:p w14:paraId="79EA9AE2" w14:textId="77777777" w:rsidR="00A46CE6" w:rsidRPr="00A46CE6" w:rsidRDefault="00A46CE6" w:rsidP="00A46CE6">
      <w:pPr>
        <w:spacing w:after="0" w:line="480" w:lineRule="auto"/>
        <w:rPr>
          <w:rFonts w:ascii="Arial" w:eastAsia="Calibri" w:hAnsi="Arial" w:cs="Times New Roman"/>
          <w:kern w:val="0"/>
          <w:szCs w:val="24"/>
          <w:lang w:val="es-ES"/>
          <w14:ligatures w14:val="none"/>
        </w:rPr>
      </w:pPr>
    </w:p>
    <w:p w14:paraId="3844C07F" w14:textId="3F3C910A" w:rsidR="00A46CE6" w:rsidRPr="00A46CE6" w:rsidRDefault="00A46CE6" w:rsidP="00A46CE6">
      <w:pPr>
        <w:spacing w:after="0" w:line="480" w:lineRule="auto"/>
        <w:rPr>
          <w:rFonts w:ascii="Arial" w:eastAsia="Calibri" w:hAnsi="Arial" w:cs="Times New Roman"/>
          <w:b/>
          <w:bCs/>
          <w:kern w:val="0"/>
          <w:szCs w:val="24"/>
          <w:lang w:val="es-ES"/>
          <w14:ligatures w14:val="none"/>
        </w:rPr>
      </w:pPr>
      <w:r w:rsidRPr="00A46CE6">
        <w:rPr>
          <w:rFonts w:ascii="Arial" w:eastAsia="Calibri" w:hAnsi="Arial" w:cs="Times New Roman"/>
          <w:b/>
          <w:bCs/>
          <w:kern w:val="0"/>
          <w:szCs w:val="24"/>
          <w:lang w:val="es-ES"/>
          <w14:ligatures w14:val="none"/>
        </w:rPr>
        <w:t xml:space="preserve">Resultados </w:t>
      </w:r>
      <w:r w:rsidR="00483A6C">
        <w:rPr>
          <w:rFonts w:ascii="Arial" w:eastAsia="Calibri" w:hAnsi="Arial" w:cs="Times New Roman"/>
          <w:b/>
          <w:bCs/>
          <w:kern w:val="0"/>
          <w:szCs w:val="24"/>
          <w:lang w:val="es-ES"/>
          <w14:ligatures w14:val="none"/>
        </w:rPr>
        <w:t>G</w:t>
      </w:r>
      <w:r w:rsidRPr="00A46CE6">
        <w:rPr>
          <w:rFonts w:ascii="Arial" w:eastAsia="Calibri" w:hAnsi="Arial" w:cs="Times New Roman"/>
          <w:b/>
          <w:bCs/>
          <w:kern w:val="0"/>
          <w:szCs w:val="24"/>
          <w:lang w:val="es-ES"/>
          <w14:ligatures w14:val="none"/>
        </w:rPr>
        <w:t>enerales</w:t>
      </w:r>
    </w:p>
    <w:p w14:paraId="40998D4C" w14:textId="77777777" w:rsidR="00A46CE6" w:rsidRPr="00A46CE6" w:rsidRDefault="00A46CE6" w:rsidP="00483A6C">
      <w:pPr>
        <w:spacing w:after="0" w:line="480" w:lineRule="auto"/>
        <w:ind w:firstLine="708"/>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Los datos reseñados seguidamente permiten tener una visión general de las características bibliométricas de los estudios considerados. En lo que respecta a su rango temporal, la mayoría de los estudios catalogados (24%) fueron publicados en 2024, lo que da cuenta de un vigente interés investigativo en la temática abordada (ver Figura 1). </w:t>
      </w:r>
    </w:p>
    <w:p w14:paraId="5DCE692F" w14:textId="77777777" w:rsidR="00A46CE6" w:rsidRDefault="00A46CE6" w:rsidP="00A46CE6">
      <w:pPr>
        <w:spacing w:after="0" w:line="480" w:lineRule="auto"/>
        <w:rPr>
          <w:rFonts w:ascii="Arial" w:eastAsia="Calibri" w:hAnsi="Arial" w:cs="Times New Roman"/>
          <w:kern w:val="0"/>
          <w:szCs w:val="24"/>
          <w:lang w:val="es-419"/>
          <w14:ligatures w14:val="none"/>
        </w:rPr>
      </w:pPr>
    </w:p>
    <w:p w14:paraId="6602362A" w14:textId="77777777" w:rsidR="00A46CE6" w:rsidRDefault="00A46CE6" w:rsidP="00A46CE6">
      <w:pPr>
        <w:spacing w:after="0" w:line="480" w:lineRule="auto"/>
        <w:rPr>
          <w:rFonts w:ascii="Arial" w:eastAsia="Calibri" w:hAnsi="Arial" w:cs="Times New Roman"/>
          <w:kern w:val="0"/>
          <w:szCs w:val="24"/>
          <w:lang w:val="es-419"/>
          <w14:ligatures w14:val="none"/>
        </w:rPr>
      </w:pPr>
    </w:p>
    <w:p w14:paraId="51110EB8" w14:textId="77777777" w:rsidR="00A46CE6" w:rsidRDefault="00A46CE6" w:rsidP="00A46CE6">
      <w:pPr>
        <w:spacing w:after="0" w:line="480" w:lineRule="auto"/>
        <w:rPr>
          <w:rFonts w:ascii="Arial" w:eastAsia="Calibri" w:hAnsi="Arial" w:cs="Times New Roman"/>
          <w:kern w:val="0"/>
          <w:szCs w:val="24"/>
          <w:lang w:val="es-419"/>
          <w14:ligatures w14:val="none"/>
        </w:rPr>
      </w:pPr>
    </w:p>
    <w:p w14:paraId="2C249C61" w14:textId="77777777" w:rsidR="00A46CE6" w:rsidRDefault="00A46CE6" w:rsidP="00A46CE6">
      <w:pPr>
        <w:spacing w:after="0" w:line="480" w:lineRule="auto"/>
        <w:rPr>
          <w:rFonts w:ascii="Arial" w:eastAsia="Calibri" w:hAnsi="Arial" w:cs="Times New Roman"/>
          <w:kern w:val="0"/>
          <w:szCs w:val="24"/>
          <w:lang w:val="es-419"/>
          <w14:ligatures w14:val="none"/>
        </w:rPr>
      </w:pPr>
    </w:p>
    <w:p w14:paraId="18DE8118" w14:textId="77777777" w:rsidR="00A46CE6" w:rsidRDefault="00A46CE6" w:rsidP="00A46CE6">
      <w:pPr>
        <w:spacing w:after="0" w:line="480" w:lineRule="auto"/>
        <w:rPr>
          <w:rFonts w:ascii="Arial" w:eastAsia="Calibri" w:hAnsi="Arial" w:cs="Times New Roman"/>
          <w:kern w:val="0"/>
          <w:szCs w:val="24"/>
          <w:lang w:val="es-419"/>
          <w14:ligatures w14:val="none"/>
        </w:rPr>
      </w:pPr>
    </w:p>
    <w:p w14:paraId="69D00B73"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p>
    <w:p w14:paraId="52A62257"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Figura 1</w:t>
      </w:r>
    </w:p>
    <w:p w14:paraId="4A803D85" w14:textId="77777777" w:rsidR="00A46CE6" w:rsidRPr="00483A6C" w:rsidRDefault="00A46CE6" w:rsidP="00A46CE6">
      <w:pPr>
        <w:spacing w:after="0" w:line="480" w:lineRule="auto"/>
        <w:rPr>
          <w:rFonts w:ascii="Arial" w:eastAsia="Calibri" w:hAnsi="Arial" w:cs="Times New Roman"/>
          <w:i/>
          <w:kern w:val="0"/>
          <w:szCs w:val="24"/>
          <w14:ligatures w14:val="none"/>
        </w:rPr>
      </w:pPr>
      <w:r w:rsidRPr="00483A6C">
        <w:rPr>
          <w:rFonts w:ascii="Arial" w:eastAsia="Calibri" w:hAnsi="Arial" w:cs="Times New Roman"/>
          <w:i/>
          <w:kern w:val="0"/>
          <w:szCs w:val="24"/>
          <w14:ligatures w14:val="none"/>
        </w:rPr>
        <w:t>Cantidad de trabajos publicados por año</w:t>
      </w:r>
    </w:p>
    <w:p w14:paraId="34C4EFF5"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6756255D" wp14:editId="6EE4409E">
            <wp:extent cx="5928360" cy="2419773"/>
            <wp:effectExtent l="0" t="0" r="15240" b="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sidRPr="00A46CE6">
        <w:rPr>
          <w:rFonts w:ascii="Arial" w:eastAsia="Calibri" w:hAnsi="Arial" w:cs="Times New Roman"/>
          <w:kern w:val="0"/>
          <w:szCs w:val="24"/>
          <w:lang w:val="es-419"/>
          <w14:ligatures w14:val="none"/>
        </w:rPr>
        <w:t xml:space="preserve">  </w:t>
      </w:r>
    </w:p>
    <w:p w14:paraId="02365F47"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7AF1CF07"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Por otro lado, en cuanto a su procedencia, los trabajos fueron aislados, principalmente en la base de datos Google Académico (58%), como se aprecia en la Figura 2. Otras fuentes de contribución importantes fueron los repositorios institucionales y las bases de datos de indexación Scielo y Dialnet. </w:t>
      </w:r>
    </w:p>
    <w:p w14:paraId="29A02E2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512E5A76"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AC1725B"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22EE3A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79055AA0"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01988FF"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7EE5A98B"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159CCB6"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3B37264A"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090687A"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4E0DA65"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0116E988"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Figura 2</w:t>
      </w:r>
    </w:p>
    <w:p w14:paraId="6709C0B3" w14:textId="77777777" w:rsidR="00A46CE6" w:rsidRPr="00483A6C" w:rsidRDefault="00A46CE6" w:rsidP="00A46CE6">
      <w:pPr>
        <w:spacing w:after="240" w:line="480" w:lineRule="auto"/>
        <w:rPr>
          <w:rFonts w:ascii="Arial" w:eastAsia="Calibri" w:hAnsi="Arial" w:cs="Times New Roman"/>
          <w:i/>
          <w:kern w:val="0"/>
          <w:szCs w:val="24"/>
          <w14:ligatures w14:val="none"/>
        </w:rPr>
      </w:pPr>
      <w:r w:rsidRPr="00483A6C">
        <w:rPr>
          <w:rFonts w:ascii="Arial" w:eastAsia="Calibri" w:hAnsi="Arial" w:cs="Times New Roman"/>
          <w:i/>
          <w:kern w:val="0"/>
          <w:szCs w:val="24"/>
          <w14:ligatures w14:val="none"/>
        </w:rPr>
        <w:t>Cantidad de trabajos por base de dato de aislamiento</w:t>
      </w:r>
    </w:p>
    <w:p w14:paraId="7C327901"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458FD373" wp14:editId="4BADD65E">
            <wp:extent cx="5753100" cy="3552190"/>
            <wp:effectExtent l="0" t="0" r="0" b="1016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75908D6"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6DB4BBC0"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p>
    <w:p w14:paraId="4993B5ED" w14:textId="2C3967C1" w:rsid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Por último, en la Figura 3 se describe de manera gráfica la agrupación de los documentos consultados por su tipología particular. En este caso, se identificó una clara predominancia de los artículos de carácter científico (38%), seguidos por trabajos de grado pertinentes a nivel profesional (28%) y, en menor proporción, tesis de investigación derivadas</w:t>
      </w:r>
      <w:r w:rsidR="00483A6C">
        <w:rPr>
          <w:rFonts w:ascii="Arial" w:eastAsia="Calibri" w:hAnsi="Arial" w:cs="Times New Roman"/>
          <w:kern w:val="0"/>
          <w:szCs w:val="24"/>
          <w:lang w:val="es-419"/>
          <w14:ligatures w14:val="none"/>
        </w:rPr>
        <w:t xml:space="preserve"> </w:t>
      </w:r>
      <w:r w:rsidR="00A02900">
        <w:rPr>
          <w:rFonts w:ascii="Arial" w:eastAsia="Calibri" w:hAnsi="Arial" w:cs="Times New Roman"/>
          <w:kern w:val="0"/>
          <w:szCs w:val="24"/>
          <w:lang w:val="es-419"/>
          <w14:ligatures w14:val="none"/>
        </w:rPr>
        <w:t xml:space="preserve">de </w:t>
      </w:r>
      <w:r w:rsidR="00A02900" w:rsidRPr="00A46CE6">
        <w:rPr>
          <w:rFonts w:ascii="Arial" w:eastAsia="Calibri" w:hAnsi="Arial" w:cs="Times New Roman"/>
          <w:kern w:val="0"/>
          <w:szCs w:val="24"/>
          <w:lang w:val="es-419"/>
          <w14:ligatures w14:val="none"/>
        </w:rPr>
        <w:t>titulaciones</w:t>
      </w:r>
      <w:r w:rsidRPr="00A46CE6">
        <w:rPr>
          <w:rFonts w:ascii="Arial" w:eastAsia="Calibri" w:hAnsi="Arial" w:cs="Times New Roman"/>
          <w:kern w:val="0"/>
          <w:szCs w:val="24"/>
          <w:lang w:val="es-419"/>
          <w14:ligatures w14:val="none"/>
        </w:rPr>
        <w:t xml:space="preserve"> en el nivel de maestría.</w:t>
      </w:r>
    </w:p>
    <w:p w14:paraId="5BB751A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51B588FA"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BCF3F7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6A79D56"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3CEE933F"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42B724A2"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Figura 3</w:t>
      </w:r>
    </w:p>
    <w:p w14:paraId="07052509"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483A6C">
        <w:rPr>
          <w:rFonts w:ascii="Arial" w:eastAsia="Calibri" w:hAnsi="Arial" w:cs="Times New Roman"/>
          <w:i/>
          <w:kern w:val="0"/>
          <w:szCs w:val="24"/>
          <w14:ligatures w14:val="none"/>
        </w:rPr>
        <w:t>Cantidad de trabajos por tipología</w:t>
      </w:r>
    </w:p>
    <w:p w14:paraId="6B6A7700"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282E30B1" wp14:editId="0F0EACA1">
            <wp:extent cx="5722620" cy="2758440"/>
            <wp:effectExtent l="0" t="0" r="11430" b="381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E6425B2" w14:textId="77777777" w:rsidR="00A46CE6" w:rsidRPr="00A46CE6" w:rsidRDefault="00A46CE6" w:rsidP="00A46CE6">
      <w:pPr>
        <w:spacing w:after="24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130710AF" w14:textId="77777777" w:rsidR="00A46CE6" w:rsidRDefault="00A46CE6" w:rsidP="00A46CE6">
      <w:pPr>
        <w:spacing w:after="24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Ahora bien, en lo que concierne a su contenido, el análisis de palabras clave permitió identificar los nodos de interés que se describen en la Figura 4, con una correlación general hacia el nodo “Nutrición”. </w:t>
      </w:r>
    </w:p>
    <w:p w14:paraId="38C868C0" w14:textId="77777777" w:rsidR="00483A6C" w:rsidRPr="00A46CE6" w:rsidRDefault="00483A6C" w:rsidP="00A46CE6">
      <w:pPr>
        <w:spacing w:after="240" w:line="480" w:lineRule="auto"/>
        <w:ind w:firstLine="720"/>
        <w:rPr>
          <w:rFonts w:ascii="Arial" w:eastAsia="Calibri" w:hAnsi="Arial" w:cs="Times New Roman"/>
          <w:kern w:val="0"/>
          <w:szCs w:val="24"/>
          <w:lang w:val="es-419"/>
          <w14:ligatures w14:val="none"/>
        </w:rPr>
      </w:pPr>
    </w:p>
    <w:p w14:paraId="1117B629"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Figura 4</w:t>
      </w:r>
    </w:p>
    <w:p w14:paraId="55B3F94B"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483A6C">
        <w:rPr>
          <w:rFonts w:ascii="Arial" w:eastAsia="Calibri" w:hAnsi="Arial" w:cs="Times New Roman"/>
          <w:i/>
          <w:kern w:val="0"/>
          <w:szCs w:val="24"/>
          <w14:ligatures w14:val="none"/>
        </w:rPr>
        <w:t>Nodos temáticos caracterizados</w:t>
      </w:r>
    </w:p>
    <w:p w14:paraId="746F8723"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mc:AlternateContent>
          <mc:Choice Requires="wpg">
            <w:drawing>
              <wp:anchor distT="0" distB="0" distL="114300" distR="114300" simplePos="0" relativeHeight="251659264" behindDoc="0" locked="0" layoutInCell="1" allowOverlap="1" wp14:anchorId="4101440D" wp14:editId="689C7CF7">
                <wp:simplePos x="0" y="0"/>
                <wp:positionH relativeFrom="column">
                  <wp:posOffset>0</wp:posOffset>
                </wp:positionH>
                <wp:positionV relativeFrom="paragraph">
                  <wp:posOffset>36195</wp:posOffset>
                </wp:positionV>
                <wp:extent cx="5966460" cy="1996440"/>
                <wp:effectExtent l="0" t="0" r="15240" b="22860"/>
                <wp:wrapNone/>
                <wp:docPr id="1412326394" name="Grupo 10"/>
                <wp:cNvGraphicFramePr/>
                <a:graphic xmlns:a="http://schemas.openxmlformats.org/drawingml/2006/main">
                  <a:graphicData uri="http://schemas.microsoft.com/office/word/2010/wordprocessingGroup">
                    <wpg:wgp>
                      <wpg:cNvGrpSpPr/>
                      <wpg:grpSpPr>
                        <a:xfrm>
                          <a:off x="0" y="0"/>
                          <a:ext cx="5966460" cy="1996440"/>
                          <a:chOff x="0" y="0"/>
                          <a:chExt cx="5966460" cy="1996440"/>
                        </a:xfrm>
                      </wpg:grpSpPr>
                      <wps:wsp>
                        <wps:cNvPr id="1030108864" name="Cuadro de texto 2"/>
                        <wps:cNvSpPr txBox="1"/>
                        <wps:spPr>
                          <a:xfrm>
                            <a:off x="2011680" y="1676400"/>
                            <a:ext cx="1882140" cy="320040"/>
                          </a:xfrm>
                          <a:prstGeom prst="rect">
                            <a:avLst/>
                          </a:prstGeom>
                          <a:solidFill>
                            <a:sysClr val="window" lastClr="FFFFFF"/>
                          </a:solidFill>
                          <a:ln w="6350">
                            <a:solidFill>
                              <a:prstClr val="black"/>
                            </a:solidFill>
                          </a:ln>
                        </wps:spPr>
                        <wps:txbx>
                          <w:txbxContent>
                            <w:p w14:paraId="70DA03A7" w14:textId="77777777" w:rsidR="00A46CE6" w:rsidRPr="007D1E31" w:rsidRDefault="00A46CE6" w:rsidP="00A46CE6">
                              <w:pPr>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ysClr val="window" lastClr="FFFFFF"/>
                          </a:solidFill>
                          <a:ln w="6350">
                            <a:solidFill>
                              <a:prstClr val="black"/>
                            </a:solidFill>
                          </a:ln>
                        </wps:spPr>
                        <wps:txbx>
                          <w:txbxContent>
                            <w:p w14:paraId="76CB1B52" w14:textId="77777777" w:rsidR="00A46CE6" w:rsidRDefault="00A46CE6" w:rsidP="00A46CE6">
                              <w:pPr>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ysClr val="window" lastClr="FFFFFF"/>
                          </a:solidFill>
                          <a:ln w="6350">
                            <a:solidFill>
                              <a:prstClr val="black"/>
                            </a:solidFill>
                          </a:ln>
                        </wps:spPr>
                        <wps:txbx>
                          <w:txbxContent>
                            <w:p w14:paraId="68E40A27" w14:textId="77777777" w:rsidR="00A46CE6" w:rsidRDefault="00A46CE6" w:rsidP="00A46CE6">
                              <w:pPr>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ysClr val="window" lastClr="FFFFFF"/>
                          </a:solidFill>
                          <a:ln w="6350">
                            <a:solidFill>
                              <a:prstClr val="black"/>
                            </a:solidFill>
                          </a:ln>
                        </wps:spPr>
                        <wps:txbx>
                          <w:txbxContent>
                            <w:p w14:paraId="0F6673A1" w14:textId="77777777" w:rsidR="00A46CE6" w:rsidRDefault="00A46CE6" w:rsidP="00A46CE6">
                              <w:pPr>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ysClr val="window" lastClr="FFFFFF"/>
                          </a:solidFill>
                          <a:ln w="6350">
                            <a:solidFill>
                              <a:prstClr val="black"/>
                            </a:solidFill>
                          </a:ln>
                        </wps:spPr>
                        <wps:txbx>
                          <w:txbxContent>
                            <w:p w14:paraId="686EABD2" w14:textId="77777777" w:rsidR="00A46CE6" w:rsidRDefault="00A46CE6" w:rsidP="00A46CE6">
                              <w:pPr>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noFill/>
                          <a:ln w="6350" cap="flat" cmpd="sng" algn="ctr">
                            <a:solidFill>
                              <a:srgbClr val="4472C4"/>
                            </a:solidFill>
                            <a:prstDash val="solid"/>
                            <a:miter lim="800000"/>
                            <a:tailEnd type="triangle"/>
                          </a:ln>
                          <a:effectLst/>
                        </wps:spPr>
                        <wps:bodyPr/>
                      </wps:wsp>
                      <wps:wsp>
                        <wps:cNvPr id="816928019" name="Conector recto de flecha 816928019"/>
                        <wps:cNvCnPr/>
                        <wps:spPr>
                          <a:xfrm flipV="1">
                            <a:off x="2903220" y="1245870"/>
                            <a:ext cx="2175510" cy="415290"/>
                          </a:xfrm>
                          <a:prstGeom prst="straightConnector1">
                            <a:avLst/>
                          </a:prstGeom>
                          <a:noFill/>
                          <a:ln w="6350" cap="flat" cmpd="sng" algn="ctr">
                            <a:solidFill>
                              <a:srgbClr val="4472C4"/>
                            </a:solidFill>
                            <a:prstDash val="solid"/>
                            <a:miter lim="800000"/>
                            <a:tailEnd type="triangle"/>
                          </a:ln>
                          <a:effectLst/>
                        </wps:spPr>
                        <wps:bodyPr/>
                      </wps:wsp>
                      <wps:wsp>
                        <wps:cNvPr id="1941701396" name="Conector recto de flecha 1941701396"/>
                        <wps:cNvCnPr/>
                        <wps:spPr>
                          <a:xfrm flipH="1" flipV="1">
                            <a:off x="1394460" y="335280"/>
                            <a:ext cx="1508760" cy="1333500"/>
                          </a:xfrm>
                          <a:prstGeom prst="straightConnector1">
                            <a:avLst/>
                          </a:prstGeom>
                          <a:noFill/>
                          <a:ln w="6350" cap="flat" cmpd="sng" algn="ctr">
                            <a:solidFill>
                              <a:srgbClr val="4472C4"/>
                            </a:solidFill>
                            <a:prstDash val="solid"/>
                            <a:miter lim="800000"/>
                            <a:tailEnd type="triangle"/>
                          </a:ln>
                          <a:effectLst/>
                        </wps:spPr>
                        <wps:bodyPr/>
                      </wps:wsp>
                      <wps:wsp>
                        <wps:cNvPr id="1165002431" name="Conector recto de flecha 1165002431"/>
                        <wps:cNvCnPr/>
                        <wps:spPr>
                          <a:xfrm flipV="1">
                            <a:off x="2903220" y="335280"/>
                            <a:ext cx="1592580" cy="1341120"/>
                          </a:xfrm>
                          <a:prstGeom prst="straightConnector1">
                            <a:avLst/>
                          </a:prstGeom>
                          <a:noFill/>
                          <a:ln w="6350" cap="flat" cmpd="sng" algn="ctr">
                            <a:solidFill>
                              <a:srgbClr val="4472C4"/>
                            </a:solidFill>
                            <a:prstDash val="solid"/>
                            <a:miter lim="800000"/>
                            <a:tailEnd type="triangle"/>
                          </a:ln>
                          <a:effectLst/>
                        </wps:spPr>
                        <wps:bodyPr/>
                      </wps:wsp>
                      <wps:wsp>
                        <wps:cNvPr id="1377668040" name="Conector recto de flecha 1377668040"/>
                        <wps:cNvCnPr/>
                        <wps:spPr>
                          <a:xfrm>
                            <a:off x="4495800" y="335280"/>
                            <a:ext cx="582930" cy="586740"/>
                          </a:xfrm>
                          <a:prstGeom prst="straightConnector1">
                            <a:avLst/>
                          </a:prstGeom>
                          <a:noFill/>
                          <a:ln w="6350" cap="flat" cmpd="sng" algn="ctr">
                            <a:solidFill>
                              <a:srgbClr val="4472C4"/>
                            </a:solidFill>
                            <a:prstDash val="dash"/>
                            <a:miter lim="800000"/>
                            <a:tailEnd type="triangle"/>
                          </a:ln>
                          <a:effectLst/>
                        </wps:spPr>
                        <wps:bodyPr/>
                      </wps:wsp>
                      <wps:wsp>
                        <wps:cNvPr id="2072466920" name="Conector recto de flecha 2072466920"/>
                        <wps:cNvCnPr/>
                        <wps:spPr>
                          <a:xfrm flipH="1">
                            <a:off x="838200" y="335280"/>
                            <a:ext cx="560070" cy="647700"/>
                          </a:xfrm>
                          <a:prstGeom prst="straightConnector1">
                            <a:avLst/>
                          </a:prstGeom>
                          <a:noFill/>
                          <a:ln w="6350" cap="flat" cmpd="sng" algn="ctr">
                            <a:solidFill>
                              <a:srgbClr val="4472C4"/>
                            </a:solidFill>
                            <a:prstDash val="dash"/>
                            <a:miter lim="800000"/>
                            <a:tailEnd type="triangle"/>
                          </a:ln>
                          <a:effectLst/>
                        </wps:spPr>
                        <wps:bodyPr/>
                      </wps:wsp>
                      <wps:wsp>
                        <wps:cNvPr id="1717774878" name="Conector recto de flecha 1717774878"/>
                        <wps:cNvCnPr/>
                        <wps:spPr>
                          <a:xfrm>
                            <a:off x="1882140" y="1143000"/>
                            <a:ext cx="2202180" cy="0"/>
                          </a:xfrm>
                          <a:prstGeom prst="straightConnector1">
                            <a:avLst/>
                          </a:prstGeom>
                          <a:noFill/>
                          <a:ln w="6350" cap="flat" cmpd="sng" algn="ctr">
                            <a:solidFill>
                              <a:srgbClr val="4472C4"/>
                            </a:solidFill>
                            <a:prstDash val="dash"/>
                            <a:miter lim="800000"/>
                            <a:headEnd type="triangle"/>
                            <a:tailEnd type="triangle"/>
                          </a:ln>
                          <a:effectLst/>
                        </wps:spPr>
                        <wps:bodyPr/>
                      </wps:wsp>
                    </wpg:wgp>
                  </a:graphicData>
                </a:graphic>
                <wp14:sizeRelH relativeFrom="page">
                  <wp14:pctWidth>0</wp14:pctWidth>
                </wp14:sizeRelH>
                <wp14:sizeRelV relativeFrom="page">
                  <wp14:pctHeight>0</wp14:pctHeight>
                </wp14:sizeRelV>
              </wp:anchor>
            </w:drawing>
          </mc:Choice>
          <mc:Fallback>
            <w:pict>
              <v:group w14:anchorId="4101440D" id="Grupo 10" o:spid="_x0000_s1026" style="position:absolute;left:0;text-align:left;margin-left:0;margin-top:2.85pt;width:469.8pt;height:157.2pt;z-index:251659264" coordsize="59664,199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&#13;&#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" fillcolor="window" strokeweight=".5pt">
                  <v:textbox>
                    <w:txbxContent>
                      <w:p w14:paraId="70DA03A7" w14:textId="77777777" w:rsidR="00A46CE6" w:rsidRPr="007D1E31" w:rsidRDefault="00A46CE6" w:rsidP="00A46CE6">
                        <w:pPr>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" fillcolor="window" strokeweight=".5pt">
                  <v:textbox>
                    <w:txbxContent>
                      <w:p w14:paraId="76CB1B52" w14:textId="77777777" w:rsidR="00A46CE6" w:rsidRDefault="00A46CE6" w:rsidP="00A46CE6">
                        <w:pPr>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" fillcolor="window" strokeweight=".5pt">
                  <v:textbox>
                    <w:txbxContent>
                      <w:p w14:paraId="68E40A27" w14:textId="77777777" w:rsidR="00A46CE6" w:rsidRDefault="00A46CE6" w:rsidP="00A46CE6">
                        <w:pPr>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" fillcolor="window" strokeweight=".5pt">
                  <v:textbox>
                    <w:txbxContent>
                      <w:p w14:paraId="0F6673A1" w14:textId="77777777" w:rsidR="00A46CE6" w:rsidRDefault="00A46CE6" w:rsidP="00A46CE6">
                        <w:pPr>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" fillcolor="window" strokeweight=".5pt">
                  <v:textbox>
                    <w:txbxContent>
                      <w:p w14:paraId="686EABD2" w14:textId="77777777" w:rsidR="00A46CE6" w:rsidRDefault="00A46CE6" w:rsidP="00A46CE6">
                        <w:pPr>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" strokecolor="#4472c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" strokecolor="#4472c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" strokecolor="#4472c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" strokecolor="#4472c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" strokecolor="#4472c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" strokecolor="#4472c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" strokecolor="#4472c4" strokeweight=".5pt">
                  <v:stroke dashstyle="dash" startarrow="block" endarrow="block" joinstyle="miter"/>
                </v:shape>
              </v:group>
            </w:pict>
          </mc:Fallback>
        </mc:AlternateContent>
      </w:r>
      <w:r w:rsidRPr="00A46CE6">
        <w:rPr>
          <w:rFonts w:ascii="Arial" w:eastAsia="Calibri" w:hAnsi="Arial" w:cs="Times New Roman"/>
          <w:kern w:val="0"/>
          <w:szCs w:val="24"/>
          <w:lang w:val="es-419"/>
          <w14:ligatures w14:val="none"/>
        </w:rPr>
        <w:t xml:space="preserve"> </w:t>
      </w:r>
    </w:p>
    <w:p w14:paraId="75A04232"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20187B5E"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66417AB8"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790DE02C"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245DF770"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43EA5C7A"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10EA9787"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12C3DC67" w14:textId="77777777" w:rsidR="00A46CE6" w:rsidRDefault="00A46CE6" w:rsidP="00A46CE6">
      <w:pPr>
        <w:spacing w:after="24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De la Figura 4 se desprende que los estudios recolectados toman como eje en común la nutrición, el cual conecta en la mayoría de los casos con el rendimiento académico y el aprendizaje. Otros elementos coincidentes de repetida aparición en relación con el nodo principal y los de apoyo son la educación nutricional y los hábitos alimenticios. Son escasas las desviaciones temáticas más allá de los cinco nodos referenciados, y en la mayoría de los casos se trata de subsidiarias de las otras (obesidad, malnutrición, sobrepeso, educación, calificaciones, etc.). En cuanto a los enfoques, se identificó un equilibrio entre los abordajes cualitativos y cuantitativos (ambos con el 36%), aunque una buena cantidad de trabajos sigue una perspectiva mixta (ver Figura 5). </w:t>
      </w:r>
    </w:p>
    <w:p w14:paraId="44FE8B91" w14:textId="77777777" w:rsidR="00483A6C" w:rsidRPr="00A46CE6" w:rsidRDefault="00483A6C" w:rsidP="00A46CE6">
      <w:pPr>
        <w:spacing w:after="240" w:line="480" w:lineRule="auto"/>
        <w:ind w:firstLine="720"/>
        <w:rPr>
          <w:rFonts w:ascii="Arial" w:eastAsia="Calibri" w:hAnsi="Arial" w:cs="Times New Roman"/>
          <w:kern w:val="0"/>
          <w:szCs w:val="24"/>
          <w:lang w:val="es-419"/>
          <w14:ligatures w14:val="none"/>
        </w:rPr>
      </w:pPr>
    </w:p>
    <w:p w14:paraId="7EEB2465"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Figura 5</w:t>
      </w:r>
    </w:p>
    <w:p w14:paraId="1DE033C0"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483A6C">
        <w:rPr>
          <w:rFonts w:ascii="Arial" w:eastAsia="Calibri" w:hAnsi="Arial" w:cs="Times New Roman"/>
          <w:i/>
          <w:kern w:val="0"/>
          <w:szCs w:val="24"/>
          <w14:ligatures w14:val="none"/>
        </w:rPr>
        <w:t>Cantidad de trabajos por enfoque</w:t>
      </w:r>
    </w:p>
    <w:p w14:paraId="3D2E065F"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5672EC31" wp14:editId="11DBF330">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9B73824"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74F17772"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355899A6" w14:textId="77777777"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Resulta especialmente interesante que el mayor porcentaje de publicaciones recopiladas se concentre en el año 2024, lo que evidencia un interés creciente y vigente en investigar la relación entre nutrición y desempeño escolar. Tal concentración da cuenta de la actualidad del tema y de la urgencia e importancia social y académica que adquiere en escenarios contemporáneos. Asimismo, el hecho de que la mayoría de los estudios provengan del motor de búsqueda Google Académico indica que gran parte de la producción científica sobre esta problemática está disponible en fuentes abiertas, es decir, están al alcance de los ámbitos académicos, políticos y escolares. En tanto, el equilibrio metodológico entre enfoques cualitativos y cuantitativos, sumado al uso también habitual de métodos mixtos, potencia la trascendencia de estos resultados al integrar diferentes dimensiones del problema nutricional-académico desde múltiples perspectivas investigativas.</w:t>
      </w:r>
    </w:p>
    <w:p w14:paraId="230B3C30" w14:textId="77777777"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Por otro lado, la predominancia clara de la tipología de artículos científicos en la data sugiere una valoración rigurosa y sistemática en la investigación del fenómeno estudiado, lo que consolida una base empírica interesante que refuerza su validez científica y aplicabilidad práctica. Ahora bien, desde el punto de vista temático, la revisión reveló que la nutrición aparece como un eje central ampliamente consensuado, vinculado estrechamente con el rendimiento académico y el 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w:t>
      </w:r>
    </w:p>
    <w:p w14:paraId="6E803D5B" w14:textId="7D285B95" w:rsidR="00A46CE6"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 xml:space="preserve">Finalmente, las temáticas complementarias que se hicieron evidentes en la búsqueda (desnutrición, malnutrición, obesidad, programas escolares de alimentación, condición física y factores socioeconómicos) permiten identificar claramente ámbitos específicos de intervención educativa y social. La presencia amplia de estudios </w:t>
      </w:r>
      <w:r w:rsidRPr="00A02900">
        <w:rPr>
          <w:rFonts w:ascii="Arial" w:eastAsia="Calibri" w:hAnsi="Arial" w:cs="Times New Roman"/>
          <w:kern w:val="0"/>
          <w:szCs w:val="24"/>
          <w:lang w:val="es-419"/>
          <w14:ligatures w14:val="none"/>
        </w:rPr>
        <w:lastRenderedPageBreak/>
        <w:t>latinoamericanos destaca la relevancia regional y la necesidad urgente de atender estos factores nutricionales en el territorio.</w:t>
      </w:r>
      <w:r>
        <w:rPr>
          <w:rFonts w:ascii="Arial" w:eastAsia="Calibri" w:hAnsi="Arial" w:cs="Times New Roman"/>
          <w:kern w:val="0"/>
          <w:szCs w:val="24"/>
          <w:lang w:val="es-419"/>
          <w14:ligatures w14:val="none"/>
        </w:rPr>
        <w:t xml:space="preserve"> </w:t>
      </w:r>
      <w:r w:rsidR="00A46CE6" w:rsidRPr="00A46CE6">
        <w:rPr>
          <w:rFonts w:ascii="Arial" w:eastAsia="Calibri" w:hAnsi="Arial" w:cs="Times New Roman"/>
          <w:kern w:val="0"/>
          <w:szCs w:val="24"/>
          <w:lang w:val="es-419"/>
          <w14:ligatures w14:val="none"/>
        </w:rPr>
        <w:t>Por último, en la</w:t>
      </w:r>
      <w:r w:rsidR="007B3834">
        <w:rPr>
          <w:rFonts w:ascii="Arial" w:eastAsia="Calibri" w:hAnsi="Arial" w:cs="Times New Roman"/>
          <w:kern w:val="0"/>
          <w:szCs w:val="24"/>
          <w:lang w:val="es-419"/>
          <w14:ligatures w14:val="none"/>
        </w:rPr>
        <w:t>s</w:t>
      </w:r>
      <w:r w:rsidR="00A46CE6" w:rsidRPr="00A46CE6">
        <w:rPr>
          <w:rFonts w:ascii="Arial" w:eastAsia="Calibri" w:hAnsi="Arial" w:cs="Times New Roman"/>
          <w:kern w:val="0"/>
          <w:szCs w:val="24"/>
          <w:lang w:val="es-419"/>
          <w14:ligatures w14:val="none"/>
        </w:rPr>
        <w:t xml:space="preserve"> Tabla</w:t>
      </w:r>
      <w:r w:rsidR="007B3834">
        <w:rPr>
          <w:rFonts w:ascii="Arial" w:eastAsia="Calibri" w:hAnsi="Arial" w:cs="Times New Roman"/>
          <w:kern w:val="0"/>
          <w:szCs w:val="24"/>
          <w:lang w:val="es-419"/>
          <w14:ligatures w14:val="none"/>
        </w:rPr>
        <w:t>s</w:t>
      </w:r>
      <w:r w:rsidR="00A46CE6" w:rsidRPr="00A46CE6">
        <w:rPr>
          <w:rFonts w:ascii="Arial" w:eastAsia="Calibri" w:hAnsi="Arial" w:cs="Times New Roman"/>
          <w:kern w:val="0"/>
          <w:szCs w:val="24"/>
          <w:lang w:val="es-419"/>
          <w14:ligatures w14:val="none"/>
        </w:rPr>
        <w:t xml:space="preserve"> 1</w:t>
      </w:r>
      <w:r w:rsidR="007B3834">
        <w:rPr>
          <w:rFonts w:ascii="Arial" w:eastAsia="Calibri" w:hAnsi="Arial" w:cs="Times New Roman"/>
          <w:kern w:val="0"/>
          <w:szCs w:val="24"/>
          <w:lang w:val="es-419"/>
          <w14:ligatures w14:val="none"/>
        </w:rPr>
        <w:t xml:space="preserve"> y 2</w:t>
      </w:r>
      <w:r w:rsidR="00A46CE6" w:rsidRPr="00A46CE6">
        <w:rPr>
          <w:rFonts w:ascii="Arial" w:eastAsia="Calibri" w:hAnsi="Arial" w:cs="Times New Roman"/>
          <w:kern w:val="0"/>
          <w:szCs w:val="24"/>
          <w:lang w:val="es-419"/>
          <w14:ligatures w14:val="none"/>
        </w:rPr>
        <w:t xml:space="preserve"> se ofrece</w:t>
      </w:r>
      <w:r w:rsidR="007B3834">
        <w:rPr>
          <w:rFonts w:ascii="Arial" w:eastAsia="Calibri" w:hAnsi="Arial" w:cs="Times New Roman"/>
          <w:kern w:val="0"/>
          <w:szCs w:val="24"/>
          <w:lang w:val="es-419"/>
          <w14:ligatures w14:val="none"/>
        </w:rPr>
        <w:t>n</w:t>
      </w:r>
      <w:r w:rsidR="00A46CE6" w:rsidRPr="00A46CE6">
        <w:rPr>
          <w:rFonts w:ascii="Arial" w:eastAsia="Calibri" w:hAnsi="Arial" w:cs="Times New Roman"/>
          <w:kern w:val="0"/>
          <w:szCs w:val="24"/>
          <w:lang w:val="es-419"/>
          <w14:ligatures w14:val="none"/>
        </w:rPr>
        <w:t xml:space="preserve"> una clasificación detallada de las temáticas complementarias y de los estudios abordados que se abocan, específicamente, al análisis de los factores nutricionales. </w:t>
      </w:r>
    </w:p>
    <w:p w14:paraId="7C68FA37" w14:textId="77777777" w:rsidR="00A02900" w:rsidRDefault="00A02900" w:rsidP="00A02900">
      <w:pPr>
        <w:spacing w:after="0" w:line="480" w:lineRule="auto"/>
        <w:ind w:firstLine="720"/>
        <w:rPr>
          <w:rFonts w:ascii="Arial" w:eastAsia="Calibri" w:hAnsi="Arial" w:cs="Times New Roman"/>
          <w:kern w:val="0"/>
          <w:szCs w:val="24"/>
          <w:lang w:val="es-419"/>
          <w14:ligatures w14:val="none"/>
        </w:rPr>
      </w:pPr>
    </w:p>
    <w:p w14:paraId="6773E4B2" w14:textId="6EE904C5" w:rsidR="00A02900" w:rsidRPr="00A02900" w:rsidRDefault="00A02900" w:rsidP="00A02900">
      <w:pPr>
        <w:spacing w:after="0" w:line="480" w:lineRule="auto"/>
        <w:ind w:firstLine="720"/>
        <w:rPr>
          <w:rFonts w:ascii="Arial" w:eastAsia="Calibri" w:hAnsi="Arial" w:cs="Times New Roman"/>
          <w:b/>
          <w:bCs/>
          <w:kern w:val="0"/>
          <w:szCs w:val="24"/>
          <w:lang w:val="es-419"/>
          <w14:ligatures w14:val="none"/>
        </w:rPr>
      </w:pPr>
      <w:r w:rsidRPr="00A02900">
        <w:rPr>
          <w:rFonts w:ascii="Arial" w:eastAsia="Calibri" w:hAnsi="Arial" w:cs="Times New Roman"/>
          <w:b/>
          <w:bCs/>
          <w:kern w:val="0"/>
          <w:szCs w:val="24"/>
          <w:lang w:val="es-419"/>
          <w14:ligatures w14:val="none"/>
        </w:rPr>
        <w:t>Resultados particulares</w:t>
      </w:r>
    </w:p>
    <w:p w14:paraId="64197F11" w14:textId="4D4B74D7"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En cuanto a la clasificación temática particular de los documentos citados, en la</w:t>
      </w:r>
      <w:r>
        <w:rPr>
          <w:rFonts w:ascii="Arial" w:eastAsia="Calibri" w:hAnsi="Arial" w:cs="Times New Roman"/>
          <w:kern w:val="0"/>
          <w:szCs w:val="24"/>
          <w:lang w:val="es-419"/>
          <w14:ligatures w14:val="none"/>
        </w:rPr>
        <w:t xml:space="preserve"> </w:t>
      </w:r>
      <w:r w:rsidRPr="00A02900">
        <w:rPr>
          <w:rFonts w:ascii="Arial" w:eastAsia="Calibri" w:hAnsi="Arial" w:cs="Times New Roman"/>
          <w:kern w:val="0"/>
          <w:szCs w:val="24"/>
          <w:lang w:val="es-419"/>
          <w14:ligatures w14:val="none"/>
        </w:rPr>
        <w:t xml:space="preserve">Tabla 1 se ofrece una agrupación detallada de las áreas complementarias y de los estudios abordados que se abocan, específicamente, al análisis de los factores nutricionales que inciden en el desempeño académico estudiantil. </w:t>
      </w:r>
    </w:p>
    <w:p w14:paraId="412C996D" w14:textId="77777777"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Tabla 1</w:t>
      </w:r>
    </w:p>
    <w:p w14:paraId="715F0E09" w14:textId="6706B3CD" w:rsid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Clasificación por temáticas complementarias asociadas a los factores nutricionales</w:t>
      </w:r>
    </w:p>
    <w:p w14:paraId="24B34D3E"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48BED075"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Tabla 1</w:t>
      </w:r>
    </w:p>
    <w:p w14:paraId="5B4FF0D8" w14:textId="77777777" w:rsidR="00A46CE6" w:rsidRPr="00483A6C" w:rsidRDefault="00A46CE6" w:rsidP="00A46CE6">
      <w:pPr>
        <w:spacing w:after="0" w:line="480" w:lineRule="auto"/>
        <w:rPr>
          <w:rFonts w:ascii="Arial" w:eastAsia="Calibri" w:hAnsi="Arial" w:cs="Times New Roman"/>
          <w:i/>
          <w:kern w:val="0"/>
          <w:szCs w:val="24"/>
          <w14:ligatures w14:val="none"/>
        </w:rPr>
      </w:pPr>
      <w:r w:rsidRPr="00483A6C">
        <w:rPr>
          <w:rFonts w:ascii="Arial" w:eastAsia="Calibri" w:hAnsi="Arial" w:cs="Times New Roman"/>
          <w:i/>
          <w:kern w:val="0"/>
          <w:szCs w:val="24"/>
          <w14:ligatures w14:val="none"/>
        </w:rPr>
        <w:t>Clasificación por temáticas complementarias asociadas a los factores nutricionales</w:t>
      </w:r>
    </w:p>
    <w:tbl>
      <w:tblPr>
        <w:tblW w:w="9351" w:type="dxa"/>
        <w:tblCellMar>
          <w:left w:w="70" w:type="dxa"/>
          <w:right w:w="70" w:type="dxa"/>
        </w:tblCellMar>
        <w:tblLook w:val="04A0" w:firstRow="1" w:lastRow="0" w:firstColumn="1" w:lastColumn="0" w:noHBand="0" w:noVBand="1"/>
      </w:tblPr>
      <w:tblGrid>
        <w:gridCol w:w="2263"/>
        <w:gridCol w:w="7088"/>
      </w:tblGrid>
      <w:tr w:rsidR="00A46CE6" w:rsidRPr="00A46CE6" w14:paraId="30A37344" w14:textId="77777777" w:rsidTr="005F7B9F">
        <w:trPr>
          <w:trHeight w:val="288"/>
        </w:trPr>
        <w:tc>
          <w:tcPr>
            <w:tcW w:w="2263" w:type="dxa"/>
            <w:tcBorders>
              <w:top w:val="single" w:sz="4" w:space="0" w:color="auto"/>
              <w:bottom w:val="single" w:sz="4" w:space="0" w:color="auto"/>
            </w:tcBorders>
            <w:shd w:val="clear" w:color="auto" w:fill="auto"/>
            <w:vAlign w:val="center"/>
            <w:hideMark/>
          </w:tcPr>
          <w:p w14:paraId="24D76E3B"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Temática(s) complementaria(s)</w:t>
            </w:r>
          </w:p>
        </w:tc>
        <w:tc>
          <w:tcPr>
            <w:tcW w:w="7088" w:type="dxa"/>
            <w:tcBorders>
              <w:top w:val="single" w:sz="4" w:space="0" w:color="auto"/>
              <w:bottom w:val="single" w:sz="4" w:space="0" w:color="auto"/>
            </w:tcBorders>
            <w:shd w:val="clear" w:color="auto" w:fill="auto"/>
            <w:vAlign w:val="center"/>
            <w:hideMark/>
          </w:tcPr>
          <w:p w14:paraId="77AC8627"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Autor(es)/Aporte del estudio</w:t>
            </w:r>
          </w:p>
        </w:tc>
      </w:tr>
      <w:tr w:rsidR="00A46CE6" w:rsidRPr="00A46CE6" w14:paraId="6FB444CE" w14:textId="77777777" w:rsidTr="005F7B9F">
        <w:trPr>
          <w:trHeight w:val="592"/>
        </w:trPr>
        <w:tc>
          <w:tcPr>
            <w:tcW w:w="2263" w:type="dxa"/>
            <w:vMerge w:val="restart"/>
            <w:tcBorders>
              <w:top w:val="single" w:sz="4" w:space="0" w:color="auto"/>
            </w:tcBorders>
            <w:shd w:val="clear" w:color="auto" w:fill="auto"/>
            <w:vAlign w:val="center"/>
            <w:hideMark/>
          </w:tcPr>
          <w:p w14:paraId="0989BD2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Comedor escolar; Alimentación escolar</w:t>
            </w:r>
          </w:p>
          <w:p w14:paraId="042AB65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5A22FBF"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6A0EB42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512279D0"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088" w:type="dxa"/>
            <w:tcBorders>
              <w:top w:val="single" w:sz="4" w:space="0" w:color="auto"/>
            </w:tcBorders>
            <w:shd w:val="clear" w:color="auto" w:fill="auto"/>
            <w:vAlign w:val="center"/>
            <w:hideMark/>
          </w:tcPr>
          <w:p w14:paraId="32A7F023" w14:textId="6ED36F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Medina y Mosquera (2022)</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m</w:t>
            </w:r>
            <w:r w:rsidRPr="00A46CE6">
              <w:rPr>
                <w:rFonts w:ascii="Arial" w:eastAsia="Times New Roman" w:hAnsi="Arial" w:cs="Arial"/>
                <w:color w:val="000000"/>
                <w:kern w:val="0"/>
                <w:sz w:val="20"/>
                <w:szCs w:val="20"/>
                <w:lang w:val="es-419" w:eastAsia="es-419"/>
                <w14:ligatures w14:val="none"/>
              </w:rPr>
              <w:t>uestra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cómo la alimentación influye en el desempeño escolar en estudiantes de transición.</w:t>
            </w:r>
          </w:p>
        </w:tc>
      </w:tr>
      <w:tr w:rsidR="00A46CE6" w:rsidRPr="00A46CE6" w14:paraId="2D83EC50" w14:textId="77777777" w:rsidTr="005F7B9F">
        <w:trPr>
          <w:trHeight w:val="700"/>
        </w:trPr>
        <w:tc>
          <w:tcPr>
            <w:tcW w:w="2263" w:type="dxa"/>
            <w:vMerge/>
            <w:shd w:val="clear" w:color="auto" w:fill="auto"/>
            <w:vAlign w:val="center"/>
            <w:hideMark/>
          </w:tcPr>
          <w:p w14:paraId="71C087B9"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0223ABD6" w14:textId="6A3030C0"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Velázquez et al. (2022)</w:t>
            </w:r>
            <w:r w:rsidR="007B3834">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valúa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la calidad del servicio de alimentación escolar identificando aspectos críticos y áreas de mejora.</w:t>
            </w:r>
          </w:p>
        </w:tc>
      </w:tr>
      <w:tr w:rsidR="00A46CE6" w:rsidRPr="00A46CE6" w14:paraId="65D8BEE3" w14:textId="77777777" w:rsidTr="005F7B9F">
        <w:trPr>
          <w:trHeight w:val="555"/>
        </w:trPr>
        <w:tc>
          <w:tcPr>
            <w:tcW w:w="2263" w:type="dxa"/>
            <w:vMerge/>
            <w:shd w:val="clear" w:color="auto" w:fill="auto"/>
            <w:vAlign w:val="center"/>
            <w:hideMark/>
          </w:tcPr>
          <w:p w14:paraId="390D7C0D"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555CD809" w14:textId="77627661"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Calisto y Díaz (2019)</w:t>
            </w:r>
            <w:r w:rsidR="007B3834">
              <w:rPr>
                <w:rFonts w:ascii="Arial" w:eastAsia="Times New Roman" w:hAnsi="Arial" w:cs="Arial"/>
                <w:color w:val="000000"/>
                <w:kern w:val="0"/>
                <w:sz w:val="20"/>
                <w:szCs w:val="20"/>
                <w:lang w:val="es-419" w:eastAsia="es-419"/>
                <w14:ligatures w14:val="none"/>
              </w:rPr>
              <w:t>, c</w:t>
            </w:r>
            <w:r w:rsidRPr="00A46CE6">
              <w:rPr>
                <w:rFonts w:ascii="Arial" w:eastAsia="Times New Roman" w:hAnsi="Arial" w:cs="Arial"/>
                <w:color w:val="000000"/>
                <w:kern w:val="0"/>
                <w:sz w:val="20"/>
                <w:szCs w:val="20"/>
                <w:lang w:val="es-419" w:eastAsia="es-419"/>
                <w14:ligatures w14:val="none"/>
              </w:rPr>
              <w:t>uestiona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la adecuación nutricional del programa JUNAEB en Chile y su impacto en el desarrollo cognitivo temprano.</w:t>
            </w:r>
          </w:p>
        </w:tc>
      </w:tr>
      <w:tr w:rsidR="00A46CE6" w:rsidRPr="00A46CE6" w14:paraId="57DD28AD" w14:textId="77777777" w:rsidTr="005F7B9F">
        <w:trPr>
          <w:trHeight w:val="549"/>
        </w:trPr>
        <w:tc>
          <w:tcPr>
            <w:tcW w:w="2263" w:type="dxa"/>
            <w:vMerge/>
            <w:shd w:val="clear" w:color="auto" w:fill="auto"/>
            <w:vAlign w:val="center"/>
            <w:hideMark/>
          </w:tcPr>
          <w:p w14:paraId="472000B4"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31C7C4FF" w14:textId="71F90E7F"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Días et al. (2023)</w:t>
            </w:r>
            <w:r w:rsidR="007B3834">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valúa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la aceptabilidad alimentaria según la diversidad social en Brasil.</w:t>
            </w:r>
          </w:p>
        </w:tc>
      </w:tr>
      <w:tr w:rsidR="00A46CE6" w:rsidRPr="00A46CE6" w14:paraId="4BF4A6C2" w14:textId="77777777" w:rsidTr="005F7B9F">
        <w:trPr>
          <w:trHeight w:val="699"/>
        </w:trPr>
        <w:tc>
          <w:tcPr>
            <w:tcW w:w="2263" w:type="dxa"/>
            <w:vMerge/>
            <w:tcBorders>
              <w:bottom w:val="single" w:sz="4" w:space="0" w:color="auto"/>
            </w:tcBorders>
            <w:shd w:val="clear" w:color="auto" w:fill="auto"/>
            <w:vAlign w:val="center"/>
            <w:hideMark/>
          </w:tcPr>
          <w:p w14:paraId="5A6E5DF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088" w:type="dxa"/>
            <w:tcBorders>
              <w:top w:val="nil"/>
              <w:bottom w:val="single" w:sz="4" w:space="0" w:color="auto"/>
            </w:tcBorders>
            <w:shd w:val="clear" w:color="auto" w:fill="auto"/>
            <w:vAlign w:val="center"/>
            <w:hideMark/>
          </w:tcPr>
          <w:p w14:paraId="5717ED3A" w14:textId="772305BB"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Salguero (2022)</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d</w:t>
            </w:r>
            <w:r w:rsidRPr="00A46CE6">
              <w:rPr>
                <w:rFonts w:ascii="Arial" w:eastAsia="Times New Roman" w:hAnsi="Arial" w:cs="Arial"/>
                <w:color w:val="000000"/>
                <w:kern w:val="0"/>
                <w:sz w:val="20"/>
                <w:szCs w:val="20"/>
                <w:lang w:val="es-419" w:eastAsia="es-419"/>
                <w14:ligatures w14:val="none"/>
              </w:rPr>
              <w:t>estaca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estrategias de gestión en inocuidad y calidad alimentaria post COVID-19 en Tolima.</w:t>
            </w:r>
          </w:p>
        </w:tc>
      </w:tr>
      <w:tr w:rsidR="00A46CE6" w:rsidRPr="00A46CE6" w14:paraId="7149DE8D" w14:textId="77777777" w:rsidTr="005F7B9F">
        <w:trPr>
          <w:trHeight w:val="595"/>
        </w:trPr>
        <w:tc>
          <w:tcPr>
            <w:tcW w:w="2263" w:type="dxa"/>
            <w:vMerge w:val="restart"/>
            <w:tcBorders>
              <w:top w:val="single" w:sz="4" w:space="0" w:color="auto"/>
            </w:tcBorders>
            <w:shd w:val="clear" w:color="auto" w:fill="auto"/>
            <w:vAlign w:val="center"/>
            <w:hideMark/>
          </w:tcPr>
          <w:p w14:paraId="03AE2E6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Alimentación</w:t>
            </w:r>
          </w:p>
          <w:p w14:paraId="4C36FBA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4615ED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5680D6F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27C2BE3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508BFBD"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088" w:type="dxa"/>
            <w:tcBorders>
              <w:top w:val="single" w:sz="4" w:space="0" w:color="auto"/>
            </w:tcBorders>
            <w:shd w:val="clear" w:color="auto" w:fill="auto"/>
            <w:vAlign w:val="center"/>
            <w:hideMark/>
          </w:tcPr>
          <w:p w14:paraId="6BB09B7C" w14:textId="7B31BA7A"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Romero y Peña (2023)</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studia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el efecto de loncheras saludables sobre el rendimiento escolar inicial.</w:t>
            </w:r>
          </w:p>
        </w:tc>
      </w:tr>
      <w:tr w:rsidR="00A46CE6" w:rsidRPr="00A46CE6" w14:paraId="5B522B33" w14:textId="77777777" w:rsidTr="005F7B9F">
        <w:trPr>
          <w:trHeight w:val="570"/>
        </w:trPr>
        <w:tc>
          <w:tcPr>
            <w:tcW w:w="2263" w:type="dxa"/>
            <w:vMerge/>
            <w:shd w:val="clear" w:color="auto" w:fill="auto"/>
            <w:vAlign w:val="center"/>
            <w:hideMark/>
          </w:tcPr>
          <w:p w14:paraId="39EBC6D4"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25377362" w14:textId="53DBF4ED"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León et al. (2023)</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Sintetiza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literatura existente sobre nutrición y rendimiento académico.</w:t>
            </w:r>
          </w:p>
        </w:tc>
      </w:tr>
      <w:tr w:rsidR="00A46CE6" w:rsidRPr="00A46CE6" w14:paraId="1F9C6109" w14:textId="77777777" w:rsidTr="005F7B9F">
        <w:trPr>
          <w:trHeight w:val="565"/>
        </w:trPr>
        <w:tc>
          <w:tcPr>
            <w:tcW w:w="2263" w:type="dxa"/>
            <w:vMerge/>
            <w:shd w:val="clear" w:color="auto" w:fill="auto"/>
            <w:vAlign w:val="center"/>
            <w:hideMark/>
          </w:tcPr>
          <w:p w14:paraId="7A5030FF"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71748EEF" w14:textId="183DA43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Fernández (2024</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D</w:t>
            </w:r>
            <w:r w:rsidRPr="00A46CE6">
              <w:rPr>
                <w:rFonts w:ascii="Arial" w:eastAsia="Times New Roman" w:hAnsi="Arial" w:cs="Arial"/>
                <w:color w:val="000000"/>
                <w:kern w:val="0"/>
                <w:sz w:val="20"/>
                <w:szCs w:val="20"/>
                <w:lang w:val="es-419" w:eastAsia="es-419"/>
                <w14:ligatures w14:val="none"/>
              </w:rPr>
              <w:t>etalla el impacto directo de calidad nutricional en desarrollo cognitivo.</w:t>
            </w:r>
          </w:p>
        </w:tc>
      </w:tr>
      <w:tr w:rsidR="00A46CE6" w:rsidRPr="00A46CE6" w14:paraId="49EB1068" w14:textId="77777777" w:rsidTr="005F7B9F">
        <w:trPr>
          <w:trHeight w:val="573"/>
        </w:trPr>
        <w:tc>
          <w:tcPr>
            <w:tcW w:w="2263" w:type="dxa"/>
            <w:vMerge/>
            <w:shd w:val="clear" w:color="auto" w:fill="auto"/>
            <w:vAlign w:val="center"/>
            <w:hideMark/>
          </w:tcPr>
          <w:p w14:paraId="4D4353A3"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2AEC64FD" w14:textId="659D2B54"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Fernández (2024)</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a</w:t>
            </w:r>
            <w:r w:rsidRPr="00A46CE6">
              <w:rPr>
                <w:rFonts w:ascii="Arial" w:eastAsia="Times New Roman" w:hAnsi="Arial" w:cs="Arial"/>
                <w:color w:val="000000"/>
                <w:kern w:val="0"/>
                <w:sz w:val="20"/>
                <w:szCs w:val="20"/>
                <w:lang w:val="es-419" w:eastAsia="es-419"/>
                <w14:ligatures w14:val="none"/>
              </w:rPr>
              <w:t>socia hábitos alimenticios saludables con mejor desempeño académico.</w:t>
            </w:r>
          </w:p>
        </w:tc>
      </w:tr>
      <w:tr w:rsidR="00A46CE6" w:rsidRPr="00A46CE6" w14:paraId="425BFE7B" w14:textId="77777777" w:rsidTr="005F7B9F">
        <w:trPr>
          <w:trHeight w:val="566"/>
        </w:trPr>
        <w:tc>
          <w:tcPr>
            <w:tcW w:w="2263" w:type="dxa"/>
            <w:vMerge/>
            <w:shd w:val="clear" w:color="auto" w:fill="auto"/>
            <w:vAlign w:val="center"/>
            <w:hideMark/>
          </w:tcPr>
          <w:p w14:paraId="59E13F1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313E6957" w14:textId="048BCFD0"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Cardozo y Ramírez (2025)</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nfatiza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la importancia crítica de la alimentación infantil para aprendizaje escolar temprano.</w:t>
            </w:r>
          </w:p>
        </w:tc>
      </w:tr>
      <w:tr w:rsidR="00A46CE6" w:rsidRPr="00A46CE6" w14:paraId="1FE2CADC" w14:textId="77777777" w:rsidTr="005F7B9F">
        <w:trPr>
          <w:trHeight w:val="561"/>
        </w:trPr>
        <w:tc>
          <w:tcPr>
            <w:tcW w:w="2263" w:type="dxa"/>
            <w:vMerge/>
            <w:tcBorders>
              <w:bottom w:val="single" w:sz="4" w:space="0" w:color="auto"/>
            </w:tcBorders>
            <w:shd w:val="clear" w:color="auto" w:fill="auto"/>
            <w:vAlign w:val="center"/>
            <w:hideMark/>
          </w:tcPr>
          <w:p w14:paraId="5E3E804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088" w:type="dxa"/>
            <w:tcBorders>
              <w:top w:val="nil"/>
              <w:bottom w:val="single" w:sz="4" w:space="0" w:color="auto"/>
            </w:tcBorders>
            <w:shd w:val="clear" w:color="auto" w:fill="auto"/>
            <w:vAlign w:val="center"/>
            <w:hideMark/>
          </w:tcPr>
          <w:p w14:paraId="1ECC54ED" w14:textId="77D01392"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Lema (2022)</w:t>
            </w:r>
            <w:r w:rsidR="007B3834">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xplora cómo la educación alimentaria temprana afecta el desarrollo cognitivo infantil.</w:t>
            </w:r>
          </w:p>
        </w:tc>
      </w:tr>
      <w:tr w:rsidR="00A46CE6" w:rsidRPr="00A46CE6" w14:paraId="2D46E91D" w14:textId="77777777" w:rsidTr="005F7B9F">
        <w:trPr>
          <w:trHeight w:val="558"/>
        </w:trPr>
        <w:tc>
          <w:tcPr>
            <w:tcW w:w="2263" w:type="dxa"/>
            <w:vMerge w:val="restart"/>
            <w:tcBorders>
              <w:top w:val="single" w:sz="4" w:space="0" w:color="auto"/>
            </w:tcBorders>
            <w:shd w:val="clear" w:color="auto" w:fill="auto"/>
            <w:vAlign w:val="center"/>
            <w:hideMark/>
          </w:tcPr>
          <w:p w14:paraId="5A8D2DB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Desnutrición; Malnutrición</w:t>
            </w:r>
          </w:p>
          <w:p w14:paraId="751EBBF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371EA6D6"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2DF335FC"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088" w:type="dxa"/>
            <w:tcBorders>
              <w:top w:val="single" w:sz="4" w:space="0" w:color="auto"/>
            </w:tcBorders>
            <w:shd w:val="clear" w:color="auto" w:fill="auto"/>
            <w:vAlign w:val="center"/>
            <w:hideMark/>
          </w:tcPr>
          <w:p w14:paraId="666AE102" w14:textId="7AE623F9"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Altamirano y Hetz (2024)</w:t>
            </w:r>
            <w:r w:rsidR="007B3834">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xplora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creencias culturales sobre obesidad infantil en comunidades mapuches y no mapuches.</w:t>
            </w:r>
          </w:p>
        </w:tc>
      </w:tr>
      <w:tr w:rsidR="00A46CE6" w:rsidRPr="00A46CE6" w14:paraId="6AEB246F" w14:textId="77777777" w:rsidTr="005F7B9F">
        <w:trPr>
          <w:trHeight w:val="576"/>
        </w:trPr>
        <w:tc>
          <w:tcPr>
            <w:tcW w:w="2263" w:type="dxa"/>
            <w:vMerge/>
            <w:shd w:val="clear" w:color="auto" w:fill="auto"/>
            <w:vAlign w:val="center"/>
            <w:hideMark/>
          </w:tcPr>
          <w:p w14:paraId="1469B9C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3708E2A2" w14:textId="567F0B76"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xml:space="preserve">Merchán et al. (2024) </w:t>
            </w:r>
            <w:r w:rsidR="007B3834">
              <w:rPr>
                <w:rFonts w:ascii="Arial" w:eastAsia="Times New Roman" w:hAnsi="Arial" w:cs="Arial"/>
                <w:color w:val="000000"/>
                <w:kern w:val="0"/>
                <w:sz w:val="20"/>
                <w:szCs w:val="20"/>
                <w:lang w:val="es-419" w:eastAsia="es-419"/>
                <w14:ligatures w14:val="none"/>
              </w:rPr>
              <w:t>a</w:t>
            </w:r>
            <w:r w:rsidRPr="00A46CE6">
              <w:rPr>
                <w:rFonts w:ascii="Arial" w:eastAsia="Times New Roman" w:hAnsi="Arial" w:cs="Arial"/>
                <w:color w:val="000000"/>
                <w:kern w:val="0"/>
                <w:sz w:val="20"/>
                <w:szCs w:val="20"/>
                <w:lang w:val="es-419" w:eastAsia="es-419"/>
                <w14:ligatures w14:val="none"/>
              </w:rPr>
              <w:t>naliza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consecuencias integrales de la desnutrición infantil en América Latina.</w:t>
            </w:r>
          </w:p>
        </w:tc>
      </w:tr>
      <w:tr w:rsidR="00A46CE6" w:rsidRPr="00A46CE6" w14:paraId="0AFC7CB6" w14:textId="77777777" w:rsidTr="005F7B9F">
        <w:trPr>
          <w:trHeight w:val="556"/>
        </w:trPr>
        <w:tc>
          <w:tcPr>
            <w:tcW w:w="2263" w:type="dxa"/>
            <w:vMerge/>
            <w:shd w:val="clear" w:color="auto" w:fill="auto"/>
            <w:vAlign w:val="center"/>
            <w:hideMark/>
          </w:tcPr>
          <w:p w14:paraId="59E1B062"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42387565" w14:textId="71EA4BD2"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Ocaña-Noriega y Sagñay-Llinin (2020)</w:t>
            </w:r>
            <w:r w:rsidR="007B3834">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xamina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efectos de malnutrición en desarrollo cognitivo temprano.</w:t>
            </w:r>
          </w:p>
        </w:tc>
      </w:tr>
      <w:tr w:rsidR="00A46CE6" w:rsidRPr="00A46CE6" w14:paraId="01FE7D08" w14:textId="77777777" w:rsidTr="005F7B9F">
        <w:trPr>
          <w:trHeight w:val="579"/>
        </w:trPr>
        <w:tc>
          <w:tcPr>
            <w:tcW w:w="2263" w:type="dxa"/>
            <w:vMerge/>
            <w:tcBorders>
              <w:bottom w:val="single" w:sz="4" w:space="0" w:color="auto"/>
            </w:tcBorders>
            <w:shd w:val="clear" w:color="auto" w:fill="auto"/>
            <w:vAlign w:val="center"/>
            <w:hideMark/>
          </w:tcPr>
          <w:p w14:paraId="1348FD8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088" w:type="dxa"/>
            <w:tcBorders>
              <w:top w:val="nil"/>
              <w:bottom w:val="single" w:sz="4" w:space="0" w:color="auto"/>
            </w:tcBorders>
            <w:shd w:val="clear" w:color="auto" w:fill="auto"/>
            <w:vAlign w:val="center"/>
            <w:hideMark/>
          </w:tcPr>
          <w:p w14:paraId="7231F7DB" w14:textId="446B98EC"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Franco et al. (2024)</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xplora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efectos de déficits nutricionales en rendimiento escolar en comunidades rurales latinoamericanas.</w:t>
            </w:r>
          </w:p>
        </w:tc>
      </w:tr>
      <w:tr w:rsidR="00A46CE6" w:rsidRPr="00A46CE6" w14:paraId="208409B9" w14:textId="77777777" w:rsidTr="005F7B9F">
        <w:trPr>
          <w:trHeight w:val="563"/>
        </w:trPr>
        <w:tc>
          <w:tcPr>
            <w:tcW w:w="2263" w:type="dxa"/>
            <w:tcBorders>
              <w:top w:val="single" w:sz="4" w:space="0" w:color="auto"/>
              <w:bottom w:val="single" w:sz="4" w:space="0" w:color="auto"/>
            </w:tcBorders>
            <w:shd w:val="clear" w:color="auto" w:fill="auto"/>
            <w:vAlign w:val="center"/>
            <w:hideMark/>
          </w:tcPr>
          <w:p w14:paraId="1B0F41BF"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Actividad física; Condición física</w:t>
            </w:r>
          </w:p>
        </w:tc>
        <w:tc>
          <w:tcPr>
            <w:tcW w:w="7088" w:type="dxa"/>
            <w:tcBorders>
              <w:top w:val="single" w:sz="4" w:space="0" w:color="auto"/>
              <w:bottom w:val="single" w:sz="4" w:space="0" w:color="auto"/>
            </w:tcBorders>
            <w:shd w:val="clear" w:color="auto" w:fill="auto"/>
            <w:vAlign w:val="center"/>
            <w:hideMark/>
          </w:tcPr>
          <w:p w14:paraId="335A0BD0" w14:textId="7AAA4A1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Montealegre (2022)</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d</w:t>
            </w:r>
            <w:r w:rsidRPr="00A46CE6">
              <w:rPr>
                <w:rFonts w:ascii="Arial" w:eastAsia="Times New Roman" w:hAnsi="Arial" w:cs="Arial"/>
                <w:color w:val="000000"/>
                <w:kern w:val="0"/>
                <w:sz w:val="20"/>
                <w:szCs w:val="20"/>
                <w:lang w:val="es-419" w:eastAsia="es-419"/>
                <w14:ligatures w14:val="none"/>
              </w:rPr>
              <w:t>emuestra relación entre estado nutricional, condición física y rendimiento académico universitario.</w:t>
            </w:r>
          </w:p>
        </w:tc>
      </w:tr>
      <w:tr w:rsidR="00A46CE6" w:rsidRPr="00A46CE6" w14:paraId="7B410801" w14:textId="77777777" w:rsidTr="005F7B9F">
        <w:trPr>
          <w:trHeight w:val="398"/>
        </w:trPr>
        <w:tc>
          <w:tcPr>
            <w:tcW w:w="2263" w:type="dxa"/>
            <w:tcBorders>
              <w:top w:val="single" w:sz="4" w:space="0" w:color="auto"/>
              <w:bottom w:val="single" w:sz="4" w:space="0" w:color="auto"/>
            </w:tcBorders>
            <w:shd w:val="clear" w:color="auto" w:fill="auto"/>
            <w:vAlign w:val="center"/>
            <w:hideMark/>
          </w:tcPr>
          <w:p w14:paraId="0475CBE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Sobrepeso; Obesidad</w:t>
            </w:r>
          </w:p>
        </w:tc>
        <w:tc>
          <w:tcPr>
            <w:tcW w:w="7088" w:type="dxa"/>
            <w:tcBorders>
              <w:top w:val="single" w:sz="4" w:space="0" w:color="auto"/>
              <w:bottom w:val="single" w:sz="4" w:space="0" w:color="auto"/>
            </w:tcBorders>
            <w:shd w:val="clear" w:color="auto" w:fill="auto"/>
            <w:vAlign w:val="center"/>
            <w:hideMark/>
          </w:tcPr>
          <w:p w14:paraId="361C6AFC" w14:textId="44D39FF5"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Almanza (2023)</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i</w:t>
            </w:r>
            <w:r w:rsidRPr="00A46CE6">
              <w:rPr>
                <w:rFonts w:ascii="Arial" w:eastAsia="Times New Roman" w:hAnsi="Arial" w:cs="Arial"/>
                <w:color w:val="000000"/>
                <w:kern w:val="0"/>
                <w:sz w:val="20"/>
                <w:szCs w:val="20"/>
                <w:lang w:val="es-419" w:eastAsia="es-419"/>
                <w14:ligatures w14:val="none"/>
              </w:rPr>
              <w:t>dentifica prevalencia de sobrepeso y obesidad en escolares y hábitos alimentarios negativos en México.</w:t>
            </w:r>
          </w:p>
        </w:tc>
      </w:tr>
    </w:tbl>
    <w:p w14:paraId="733E300D" w14:textId="41D0F7D8" w:rsidR="007B3834" w:rsidRPr="00A46CE6" w:rsidRDefault="00A46CE6" w:rsidP="00A46CE6">
      <w:pPr>
        <w:spacing w:after="24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5F66D290" w14:textId="77777777" w:rsidR="00A02900" w:rsidRPr="00A02900" w:rsidRDefault="00A02900" w:rsidP="004E5EA0">
      <w:pPr>
        <w:spacing w:after="0" w:line="480" w:lineRule="auto"/>
        <w:ind w:firstLine="708"/>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 xml:space="preserve">Como se aprecia en la Tabla 1, existen cinco (5) ejes temáticos relevantes que permiten describir, a la luz de la literatura consultada, los factores nutricionales incidentes en el desempeño académico estudiantil. Estos cinco ejes temáticos son: la alimentación escolar, la alimentación como núcleo general, la malnutrición, la condición/actividad física y el sobrepeso/obesidad. </w:t>
      </w:r>
    </w:p>
    <w:p w14:paraId="06A8B934" w14:textId="32DC5979" w:rsidR="00A02900" w:rsidRPr="00A02900" w:rsidRDefault="00A02900" w:rsidP="00A02900">
      <w:pPr>
        <w:spacing w:after="0" w:line="480" w:lineRule="auto"/>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 xml:space="preserve"> </w:t>
      </w:r>
      <w:r w:rsidR="004E5EA0">
        <w:rPr>
          <w:rFonts w:ascii="Arial" w:eastAsia="Calibri" w:hAnsi="Arial" w:cs="Times New Roman"/>
          <w:iCs/>
          <w:kern w:val="0"/>
          <w:szCs w:val="24"/>
          <w:lang w:val="es-419"/>
          <w14:ligatures w14:val="none"/>
        </w:rPr>
        <w:tab/>
      </w:r>
      <w:r w:rsidRPr="00A02900">
        <w:rPr>
          <w:rFonts w:ascii="Arial" w:eastAsia="Calibri" w:hAnsi="Arial" w:cs="Times New Roman"/>
          <w:iCs/>
          <w:kern w:val="0"/>
          <w:szCs w:val="24"/>
          <w:lang w:val="es-419"/>
          <w14:ligatures w14:val="none"/>
        </w:rPr>
        <w:t>En cuanto al tópico de alimentación escolar, Medina y Mosquera (2022)</w:t>
      </w:r>
      <w:r w:rsidR="004E5EA0">
        <w:rPr>
          <w:rFonts w:ascii="Arial" w:eastAsia="Calibri" w:hAnsi="Arial" w:cs="Times New Roman"/>
          <w:iCs/>
          <w:kern w:val="0"/>
          <w:szCs w:val="24"/>
          <w:lang w:val="es-419"/>
          <w14:ligatures w14:val="none"/>
        </w:rPr>
        <w:t>,</w:t>
      </w:r>
      <w:r w:rsidRPr="00A02900">
        <w:rPr>
          <w:rFonts w:ascii="Arial" w:eastAsia="Calibri" w:hAnsi="Arial" w:cs="Times New Roman"/>
          <w:iCs/>
          <w:kern w:val="0"/>
          <w:szCs w:val="24"/>
          <w:lang w:val="es-419"/>
          <w14:ligatures w14:val="none"/>
        </w:rPr>
        <w:t xml:space="preserve"> aportan evidencias sobre cómo los programas adscritos al sistema educativo ejercen un impacto positivo directo en el rendimiento académico de los estudiantes en etapa de transición. En su trabajo, identificaron mejoras en aspectos específicos como la atención, la memoria y los resultados académicos generales, que pueden suscribirse, en cierto modo, a la provisión de una dieta balanceada. Los resultados dan cuenta de la importancia estratégica de la alimentación escolar desde las etapas iniciales del proceso educativo. </w:t>
      </w:r>
    </w:p>
    <w:p w14:paraId="11D5C008" w14:textId="77777777" w:rsidR="00A02900" w:rsidRPr="00A02900" w:rsidRDefault="00A02900" w:rsidP="00A02900">
      <w:pPr>
        <w:spacing w:after="0" w:line="480" w:lineRule="auto"/>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 xml:space="preserve">Velázquez et al. (2022), por su parte, proporcionan un análisis crítico detallado sobre la calidad del servicio alimenticio escolar. En su trabajo, señalan debilidades en la selección </w:t>
      </w:r>
      <w:r w:rsidRPr="00A02900">
        <w:rPr>
          <w:rFonts w:ascii="Arial" w:eastAsia="Calibri" w:hAnsi="Arial" w:cs="Times New Roman"/>
          <w:iCs/>
          <w:kern w:val="0"/>
          <w:szCs w:val="24"/>
          <w:lang w:val="es-419"/>
          <w14:ligatures w14:val="none"/>
        </w:rPr>
        <w:lastRenderedPageBreak/>
        <w:t>y composición nutricional de los alimentos suministrados, la capacitación insuficiente del personal encargado y las falencias en infraestructura, observaciones que permiten proponer recomendaciones puntuales dirigidas a la optimización del programa, a saber, mejorar la selección de proveedores, velar por la capacitación constante del personal y la supervisión rigurosa del proceso de preparación y distribución de los alimentos.</w:t>
      </w:r>
    </w:p>
    <w:p w14:paraId="5034B8F7" w14:textId="143741C8" w:rsidR="00A02900" w:rsidRPr="00A02900" w:rsidRDefault="00A02900" w:rsidP="004E5EA0">
      <w:pPr>
        <w:spacing w:after="0" w:line="480" w:lineRule="auto"/>
        <w:ind w:firstLine="708"/>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Desde otra perspectiva crítica, Calisto y Díaz (2019), a través de un análisis exhaustivo del programa JUNAEB en Chile, plantean seri</w:t>
      </w:r>
      <w:r w:rsidR="004E5EA0">
        <w:rPr>
          <w:rFonts w:ascii="Arial" w:eastAsia="Calibri" w:hAnsi="Arial" w:cs="Times New Roman"/>
          <w:iCs/>
          <w:kern w:val="0"/>
          <w:szCs w:val="24"/>
          <w:lang w:val="es-419"/>
          <w14:ligatures w14:val="none"/>
        </w:rPr>
        <w:t>o</w:t>
      </w:r>
      <w:r w:rsidRPr="00A02900">
        <w:rPr>
          <w:rFonts w:ascii="Arial" w:eastAsia="Calibri" w:hAnsi="Arial" w:cs="Times New Roman"/>
          <w:iCs/>
          <w:kern w:val="0"/>
          <w:szCs w:val="24"/>
          <w:lang w:val="es-419"/>
          <w14:ligatures w14:val="none"/>
        </w:rPr>
        <w:t xml:space="preserve">s interrogantes sobre la eficacia real de los menús proporcionados en las escuelas. Los autores señalan que estos no siempre cumplen con los requisitos nutricionales necesarios para un desarrollo cognitivo adecuado en niños pequeños, una evaluación que sugiere la necesaria reformulación de dichos programas, considerando necesidades específicas de crecimiento y desarrollo infantil. En paralelo, </w:t>
      </w:r>
      <w:r w:rsidRPr="0095480F">
        <w:rPr>
          <w:rFonts w:ascii="Arial" w:eastAsia="Calibri" w:hAnsi="Arial" w:cs="Times New Roman"/>
          <w:iCs/>
          <w:kern w:val="0"/>
          <w:szCs w:val="24"/>
          <w:lang w:val="es-419"/>
          <w14:ligatures w14:val="none"/>
        </w:rPr>
        <w:t>Días</w:t>
      </w:r>
      <w:r w:rsidRPr="0095480F">
        <w:rPr>
          <w:rFonts w:ascii="Arial" w:eastAsia="Calibri" w:hAnsi="Arial" w:cs="Times New Roman"/>
          <w:iCs/>
          <w:color w:val="FF0000"/>
          <w:kern w:val="0"/>
          <w:szCs w:val="24"/>
          <w:lang w:val="es-419"/>
          <w14:ligatures w14:val="none"/>
        </w:rPr>
        <w:t xml:space="preserve"> </w:t>
      </w:r>
      <w:r w:rsidRPr="00A02900">
        <w:rPr>
          <w:rFonts w:ascii="Arial" w:eastAsia="Calibri" w:hAnsi="Arial" w:cs="Times New Roman"/>
          <w:iCs/>
          <w:kern w:val="0"/>
          <w:szCs w:val="24"/>
          <w:lang w:val="es-419"/>
          <w14:ligatures w14:val="none"/>
        </w:rPr>
        <w:t>et al. (2023)</w:t>
      </w:r>
      <w:r w:rsidR="004E5EA0">
        <w:rPr>
          <w:rFonts w:ascii="Arial" w:eastAsia="Calibri" w:hAnsi="Arial" w:cs="Times New Roman"/>
          <w:iCs/>
          <w:kern w:val="0"/>
          <w:szCs w:val="24"/>
          <w:lang w:val="es-419"/>
          <w14:ligatures w14:val="none"/>
        </w:rPr>
        <w:t>,</w:t>
      </w:r>
      <w:r w:rsidRPr="00A02900">
        <w:rPr>
          <w:rFonts w:ascii="Arial" w:eastAsia="Calibri" w:hAnsi="Arial" w:cs="Times New Roman"/>
          <w:iCs/>
          <w:kern w:val="0"/>
          <w:szCs w:val="24"/>
          <w:lang w:val="es-419"/>
          <w14:ligatures w14:val="none"/>
        </w:rPr>
        <w:t xml:space="preserve">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11A8AF34" w14:textId="7B0D2E7E" w:rsidR="00A02900" w:rsidRPr="00A02900" w:rsidRDefault="0095480F" w:rsidP="004E5EA0">
      <w:pPr>
        <w:spacing w:after="0" w:line="480" w:lineRule="auto"/>
        <w:ind w:firstLine="708"/>
        <w:rPr>
          <w:rFonts w:ascii="Arial" w:eastAsia="Calibri" w:hAnsi="Arial" w:cs="Times New Roman"/>
          <w:iCs/>
          <w:kern w:val="0"/>
          <w:szCs w:val="24"/>
          <w:lang w:val="es-419"/>
          <w14:ligatures w14:val="none"/>
        </w:rPr>
      </w:pPr>
      <w:r w:rsidRPr="0095480F">
        <w:rPr>
          <w:rFonts w:ascii="Arial" w:eastAsia="Calibri" w:hAnsi="Arial" w:cs="Times New Roman"/>
          <w:iCs/>
          <w:kern w:val="0"/>
          <w:szCs w:val="24"/>
          <w:lang w:val="es-419"/>
          <w14:ligatures w14:val="none"/>
        </w:rPr>
        <w:t>Es interesante ver como</w:t>
      </w:r>
      <w:r w:rsidR="00A02900" w:rsidRPr="0095480F">
        <w:rPr>
          <w:rFonts w:ascii="Arial" w:eastAsia="Calibri" w:hAnsi="Arial" w:cs="Times New Roman"/>
          <w:iCs/>
          <w:kern w:val="0"/>
          <w:szCs w:val="24"/>
          <w:lang w:val="es-419"/>
          <w14:ligatures w14:val="none"/>
        </w:rPr>
        <w:t xml:space="preserve"> </w:t>
      </w:r>
      <w:r w:rsidR="00A02900" w:rsidRPr="00A02900">
        <w:rPr>
          <w:rFonts w:ascii="Arial" w:eastAsia="Calibri" w:hAnsi="Arial" w:cs="Times New Roman"/>
          <w:iCs/>
          <w:kern w:val="0"/>
          <w:szCs w:val="24"/>
          <w:lang w:val="es-419"/>
          <w14:ligatures w14:val="none"/>
        </w:rPr>
        <w:t>Salguero (2022)</w:t>
      </w:r>
      <w:r w:rsidR="004E5EA0">
        <w:rPr>
          <w:rFonts w:ascii="Arial" w:eastAsia="Calibri" w:hAnsi="Arial" w:cs="Times New Roman"/>
          <w:iCs/>
          <w:kern w:val="0"/>
          <w:szCs w:val="24"/>
          <w:lang w:val="es-419"/>
          <w14:ligatures w14:val="none"/>
        </w:rPr>
        <w:t>,</w:t>
      </w:r>
      <w:r w:rsidR="00A02900" w:rsidRPr="00A02900">
        <w:rPr>
          <w:rFonts w:ascii="Arial" w:eastAsia="Calibri" w:hAnsi="Arial" w:cs="Times New Roman"/>
          <w:iCs/>
          <w:kern w:val="0"/>
          <w:szCs w:val="24"/>
          <w:lang w:val="es-419"/>
          <w14:ligatures w14:val="none"/>
        </w:rPr>
        <w:t xml:space="preserve"> examinó la gestión en inocuidad y calidad alimentaria en la era post COVID-19 en el Tolima, proceso a través del cual identificó nuevas necesidades en términos de protocolos sanitarios y medidas de seguridad alimentaria. El trabajo citado destaca cómo la pandemia impulsó modificaciones significativas en la forma en que se gestionan los servicios alimentarios escolares e hizo énfasis continuo en el hecho de que una mayor rigurosidad en los procesos de manejo y distribución es clave para proteger la salud de los estudiantes beneficiarios.</w:t>
      </w:r>
    </w:p>
    <w:p w14:paraId="28C148BB" w14:textId="77777777" w:rsidR="004E5EA0" w:rsidRDefault="00A02900" w:rsidP="004E5EA0">
      <w:pPr>
        <w:spacing w:after="0" w:line="480" w:lineRule="auto"/>
        <w:ind w:firstLine="708"/>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Ahora bien, en lo que respecta a la alimentación como proceso general, Romero y Peña (2023)</w:t>
      </w:r>
      <w:r w:rsidR="004E5EA0">
        <w:rPr>
          <w:rFonts w:ascii="Arial" w:eastAsia="Calibri" w:hAnsi="Arial" w:cs="Times New Roman"/>
          <w:iCs/>
          <w:kern w:val="0"/>
          <w:szCs w:val="24"/>
          <w:lang w:val="es-419"/>
          <w14:ligatures w14:val="none"/>
        </w:rPr>
        <w:t>,</w:t>
      </w:r>
      <w:r w:rsidRPr="00A02900">
        <w:rPr>
          <w:rFonts w:ascii="Arial" w:eastAsia="Calibri" w:hAnsi="Arial" w:cs="Times New Roman"/>
          <w:iCs/>
          <w:kern w:val="0"/>
          <w:szCs w:val="24"/>
          <w:lang w:val="es-419"/>
          <w14:ligatures w14:val="none"/>
        </w:rPr>
        <w:t xml:space="preserve"> abordaron específicamente el impacto positivo que tienen las loncheras saludables en el rendimiento académico inicial. El estudio resalta la importancia crucial de </w:t>
      </w:r>
      <w:r w:rsidRPr="00A02900">
        <w:rPr>
          <w:rFonts w:ascii="Arial" w:eastAsia="Calibri" w:hAnsi="Arial" w:cs="Times New Roman"/>
          <w:iCs/>
          <w:kern w:val="0"/>
          <w:szCs w:val="24"/>
          <w:lang w:val="es-419"/>
          <w14:ligatures w14:val="none"/>
        </w:rPr>
        <w:lastRenderedPageBreak/>
        <w:t>que los niños reciban alimentos nutritivos durante la jornada escolar para asegurar un rendimiento académico óptimo y sostenido, todo esto desde el acompañamiento de casa.</w:t>
      </w:r>
    </w:p>
    <w:p w14:paraId="0F561EB5" w14:textId="1A0FE622" w:rsidR="00A02900" w:rsidRPr="00A02900" w:rsidRDefault="00A02900" w:rsidP="004E5EA0">
      <w:pPr>
        <w:spacing w:after="0" w:line="480" w:lineRule="auto"/>
        <w:ind w:firstLine="708"/>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Por su parte, León et al. (2023)</w:t>
      </w:r>
      <w:r w:rsidR="004E5EA0">
        <w:rPr>
          <w:rFonts w:ascii="Arial" w:eastAsia="Calibri" w:hAnsi="Arial" w:cs="Times New Roman"/>
          <w:iCs/>
          <w:kern w:val="0"/>
          <w:szCs w:val="24"/>
          <w:lang w:val="es-419"/>
          <w14:ligatures w14:val="none"/>
        </w:rPr>
        <w:t>,</w:t>
      </w:r>
      <w:r w:rsidRPr="00A02900">
        <w:rPr>
          <w:rFonts w:ascii="Arial" w:eastAsia="Calibri" w:hAnsi="Arial" w:cs="Times New Roman"/>
          <w:iCs/>
          <w:kern w:val="0"/>
          <w:szCs w:val="24"/>
          <w:lang w:val="es-419"/>
          <w14:ligatures w14:val="none"/>
        </w:rPr>
        <w:t xml:space="preserve"> proporcionan una síntesis de la literatura existente sobre nutrición y desempeño académico, en un trabajo en el que consolidaron amplia evidencia sobre cómo una dieta balanceada y nutritiva mejora el rendimiento académico general, especialmente en términos cognitivos.</w:t>
      </w:r>
    </w:p>
    <w:p w14:paraId="75E4BDCC" w14:textId="77777777" w:rsidR="00A02900" w:rsidRPr="00A02900" w:rsidRDefault="00A02900" w:rsidP="004E5EA0">
      <w:pPr>
        <w:spacing w:after="0" w:line="480" w:lineRule="auto"/>
        <w:ind w:firstLine="708"/>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 xml:space="preserve">Fernández (2024), en línea con lo anterior, detalla en profundidad el impacto directo de una alimentación de alta calidad nutricional sobre el desarrollo cognitivo infantil y el desempeño académico. Su trabajo aporta evidencia robusta de que los hábitos alimenticios saludables instaurados tempranamente conducen a mejores resultados académicos y promueven habilidades esenciales para el aprendizaje continuo. </w:t>
      </w:r>
    </w:p>
    <w:p w14:paraId="63523637" w14:textId="6EFC62AB" w:rsidR="00A02900" w:rsidRPr="00A02900" w:rsidRDefault="00A02900" w:rsidP="004E5EA0">
      <w:pPr>
        <w:spacing w:after="0" w:line="480" w:lineRule="auto"/>
        <w:ind w:firstLine="708"/>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En tanto, Cardozo y Ramírez (2025)</w:t>
      </w:r>
      <w:r w:rsidR="004E5EA0">
        <w:rPr>
          <w:rFonts w:ascii="Arial" w:eastAsia="Calibri" w:hAnsi="Arial" w:cs="Times New Roman"/>
          <w:iCs/>
          <w:kern w:val="0"/>
          <w:szCs w:val="24"/>
          <w:lang w:val="es-419"/>
          <w14:ligatures w14:val="none"/>
        </w:rPr>
        <w:t>,</w:t>
      </w:r>
      <w:r w:rsidRPr="00A02900">
        <w:rPr>
          <w:rFonts w:ascii="Arial" w:eastAsia="Calibri" w:hAnsi="Arial" w:cs="Times New Roman"/>
          <w:iCs/>
          <w:kern w:val="0"/>
          <w:szCs w:val="24"/>
          <w:lang w:val="es-419"/>
          <w14:ligatures w14:val="none"/>
        </w:rPr>
        <w:t xml:space="preserve"> complementan la visión antes enunciada al señalar que una alimentación equilibrada desde la infancia temprana es fundamental para lograr un aprendizaje eficaz y garantizar un desempeño académico exitoso a largo plazo. Lema (2022) profundiza el citado concepto al señalar la necesidad imperiosa de ofrecer educación alimentaria temprana y de probar que las intervenciones educativas focalizadas en la nutrición generan beneficios duraderos en el desarrollo cognitivo y contribuyen a mantener hábitos saludables a lo largo de la vida.</w:t>
      </w:r>
    </w:p>
    <w:p w14:paraId="65BCBCC1" w14:textId="77777777" w:rsidR="0095480F" w:rsidRDefault="00A02900" w:rsidP="004E5EA0">
      <w:pPr>
        <w:spacing w:after="0" w:line="480" w:lineRule="auto"/>
        <w:ind w:firstLine="708"/>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En lo que responde a la línea temática de malnutrición, Altamirano y Hetz (2024)</w:t>
      </w:r>
      <w:r w:rsidR="004E5EA0">
        <w:rPr>
          <w:rFonts w:ascii="Arial" w:eastAsia="Calibri" w:hAnsi="Arial" w:cs="Times New Roman"/>
          <w:iCs/>
          <w:kern w:val="0"/>
          <w:szCs w:val="24"/>
          <w:lang w:val="es-419"/>
          <w14:ligatures w14:val="none"/>
        </w:rPr>
        <w:t>,</w:t>
      </w:r>
      <w:r w:rsidRPr="00A02900">
        <w:rPr>
          <w:rFonts w:ascii="Arial" w:eastAsia="Calibri" w:hAnsi="Arial" w:cs="Times New Roman"/>
          <w:iCs/>
          <w:kern w:val="0"/>
          <w:szCs w:val="24"/>
          <w:lang w:val="es-419"/>
          <w14:ligatures w14:val="none"/>
        </w:rPr>
        <w:t xml:space="preserve"> exploran las creencias culturales respecto a la obesidad infantil en comunidades mapuches y no mapuches, un ejercicio que les permitió revelar 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p>
    <w:p w14:paraId="63F6C69A" w14:textId="39B13496" w:rsidR="00A02900" w:rsidRPr="00A02900" w:rsidRDefault="00A02900" w:rsidP="004E5EA0">
      <w:pPr>
        <w:spacing w:after="0" w:line="480" w:lineRule="auto"/>
        <w:ind w:firstLine="708"/>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Por otro lado, Merchán et al. (2024)</w:t>
      </w:r>
      <w:r w:rsidR="0095480F">
        <w:rPr>
          <w:rFonts w:ascii="Arial" w:eastAsia="Calibri" w:hAnsi="Arial" w:cs="Times New Roman"/>
          <w:iCs/>
          <w:kern w:val="0"/>
          <w:szCs w:val="24"/>
          <w:lang w:val="es-419"/>
          <w14:ligatures w14:val="none"/>
        </w:rPr>
        <w:t xml:space="preserve">, </w:t>
      </w:r>
      <w:r w:rsidRPr="00A02900">
        <w:rPr>
          <w:rFonts w:ascii="Arial" w:eastAsia="Calibri" w:hAnsi="Arial" w:cs="Times New Roman"/>
          <w:iCs/>
          <w:kern w:val="0"/>
          <w:szCs w:val="24"/>
          <w:lang w:val="es-419"/>
          <w14:ligatures w14:val="none"/>
        </w:rPr>
        <w:t xml:space="preserve">realizaron una revisión exhaustiva sobre las consecuencias integrales de la desnutrición infantil en América Latina, y destacaron, entre </w:t>
      </w:r>
      <w:r w:rsidRPr="00A02900">
        <w:rPr>
          <w:rFonts w:ascii="Arial" w:eastAsia="Calibri" w:hAnsi="Arial" w:cs="Times New Roman"/>
          <w:iCs/>
          <w:kern w:val="0"/>
          <w:szCs w:val="24"/>
          <w:lang w:val="es-419"/>
          <w14:ligatures w14:val="none"/>
        </w:rPr>
        <w:lastRenderedPageBreak/>
        <w:t>otras cosas, su impacto adverso en diversos aspectos del desarrollo infantil, incluyendo lo cognitivo y emocional.</w:t>
      </w:r>
    </w:p>
    <w:p w14:paraId="5B3A0677" w14:textId="77777777" w:rsidR="0095480F" w:rsidRDefault="00A02900" w:rsidP="0095480F">
      <w:pPr>
        <w:spacing w:after="0" w:line="480" w:lineRule="auto"/>
        <w:ind w:firstLine="708"/>
        <w:rPr>
          <w:rFonts w:ascii="Arial" w:eastAsia="Calibri" w:hAnsi="Arial" w:cs="Times New Roman"/>
          <w:iCs/>
          <w:color w:val="FF0000"/>
          <w:kern w:val="0"/>
          <w:szCs w:val="24"/>
          <w:lang w:val="es-419"/>
          <w14:ligatures w14:val="none"/>
        </w:rPr>
      </w:pPr>
      <w:r w:rsidRPr="00A02900">
        <w:rPr>
          <w:rFonts w:ascii="Arial" w:eastAsia="Calibri" w:hAnsi="Arial" w:cs="Times New Roman"/>
          <w:iCs/>
          <w:kern w:val="0"/>
          <w:szCs w:val="24"/>
          <w:lang w:val="es-419"/>
          <w14:ligatures w14:val="none"/>
        </w:rPr>
        <w:t>Entre tanto, Ocaña-Noriega y Sagñay-Llinin (2020)</w:t>
      </w:r>
      <w:r w:rsidR="0095480F">
        <w:rPr>
          <w:rFonts w:ascii="Arial" w:eastAsia="Calibri" w:hAnsi="Arial" w:cs="Times New Roman"/>
          <w:iCs/>
          <w:kern w:val="0"/>
          <w:szCs w:val="24"/>
          <w:lang w:val="es-419"/>
          <w14:ligatures w14:val="none"/>
        </w:rPr>
        <w:t>,</w:t>
      </w:r>
      <w:r w:rsidRPr="00A02900">
        <w:rPr>
          <w:rFonts w:ascii="Arial" w:eastAsia="Calibri" w:hAnsi="Arial" w:cs="Times New Roman"/>
          <w:iCs/>
          <w:kern w:val="0"/>
          <w:szCs w:val="24"/>
          <w:lang w:val="es-419"/>
          <w14:ligatures w14:val="none"/>
        </w:rPr>
        <w:t xml:space="preserve"> examinaron específicamente cómo la malnutrición impacta negativamente el desarrollo cognitivo temprano, específicamente sobre capacidades críticas para el </w:t>
      </w:r>
      <w:r w:rsidRPr="0095480F">
        <w:rPr>
          <w:rFonts w:ascii="Arial" w:eastAsia="Calibri" w:hAnsi="Arial" w:cs="Times New Roman"/>
          <w:iCs/>
          <w:kern w:val="0"/>
          <w:szCs w:val="24"/>
          <w:lang w:val="es-419"/>
          <w14:ligatures w14:val="none"/>
        </w:rPr>
        <w:t xml:space="preserve">aprendizaje. </w:t>
      </w:r>
    </w:p>
    <w:p w14:paraId="0D2DEDFF" w14:textId="5C16EEAD" w:rsidR="00A02900" w:rsidRPr="00A02900" w:rsidRDefault="00A02900" w:rsidP="0095480F">
      <w:pPr>
        <w:spacing w:after="0" w:line="480" w:lineRule="auto"/>
        <w:ind w:firstLine="708"/>
        <w:rPr>
          <w:rFonts w:ascii="Arial" w:eastAsia="Calibri" w:hAnsi="Arial" w:cs="Times New Roman"/>
          <w:iCs/>
          <w:kern w:val="0"/>
          <w:szCs w:val="24"/>
          <w:lang w:val="es-419"/>
          <w14:ligatures w14:val="none"/>
        </w:rPr>
      </w:pPr>
      <w:r w:rsidRPr="0095480F">
        <w:rPr>
          <w:rFonts w:ascii="Arial" w:eastAsia="Calibri" w:hAnsi="Arial" w:cs="Times New Roman"/>
          <w:iCs/>
          <w:kern w:val="0"/>
          <w:szCs w:val="24"/>
          <w:lang w:val="es-419"/>
          <w14:ligatures w14:val="none"/>
        </w:rPr>
        <w:t xml:space="preserve">Franco et </w:t>
      </w:r>
      <w:r w:rsidRPr="00A02900">
        <w:rPr>
          <w:rFonts w:ascii="Arial" w:eastAsia="Calibri" w:hAnsi="Arial" w:cs="Times New Roman"/>
          <w:iCs/>
          <w:kern w:val="0"/>
          <w:szCs w:val="24"/>
          <w:lang w:val="es-419"/>
          <w14:ligatures w14:val="none"/>
        </w:rPr>
        <w:t>al. (2024)</w:t>
      </w:r>
      <w:r w:rsidR="0095480F">
        <w:rPr>
          <w:rFonts w:ascii="Arial" w:eastAsia="Calibri" w:hAnsi="Arial" w:cs="Times New Roman"/>
          <w:iCs/>
          <w:kern w:val="0"/>
          <w:szCs w:val="24"/>
          <w:lang w:val="es-419"/>
          <w14:ligatures w14:val="none"/>
        </w:rPr>
        <w:t>,</w:t>
      </w:r>
      <w:r w:rsidRPr="00A02900">
        <w:rPr>
          <w:rFonts w:ascii="Arial" w:eastAsia="Calibri" w:hAnsi="Arial" w:cs="Times New Roman"/>
          <w:iCs/>
          <w:kern w:val="0"/>
          <w:szCs w:val="24"/>
          <w:lang w:val="es-419"/>
          <w14:ligatures w14:val="none"/>
        </w:rPr>
        <w:t xml:space="preserve"> complementan esta perspectiva, al explorar cómo los déficits nutricionales perjudican directamente el rendimiento escolar en contextos rurales latinoamericanos. Su estudio destaca la urgencia de implementar intervenciones tempranas para prevenir y mitigar los efectos negativos persistentes de la malnutrición.</w:t>
      </w:r>
    </w:p>
    <w:p w14:paraId="36100044" w14:textId="77777777" w:rsidR="00A02900" w:rsidRPr="00A02900" w:rsidRDefault="00A02900" w:rsidP="0095480F">
      <w:pPr>
        <w:spacing w:after="0" w:line="480" w:lineRule="auto"/>
        <w:ind w:firstLine="708"/>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En lo correspondiente al tópico actividad/condición física, destaca el estudio de Montealegre (2022), el cual ofrece una visión integral sobre la relación positiva entre el estado nutricional, la actividad física adecuada y el rendimiento académico en estudiantes universitarios. Su investigación señala que la armonización de nutrición balanceada y actividad física regular potencia significativamente el rendimiento académico al mejorar aspectos físicos, mentales y emocionales. El estudio citado destaca la necesidad de programas integrales que aborden simultáneamente estos factores para maximizar los resultados educativos.</w:t>
      </w:r>
    </w:p>
    <w:p w14:paraId="1EE70620" w14:textId="7DBF8D77" w:rsidR="00A02900" w:rsidRPr="00A02900" w:rsidRDefault="00A02900" w:rsidP="0095480F">
      <w:pPr>
        <w:spacing w:after="0" w:line="480" w:lineRule="auto"/>
        <w:ind w:firstLine="708"/>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t>Finalmente, en relación con el sobrepeso, Almanza (2023)</w:t>
      </w:r>
      <w:r w:rsidR="0095480F">
        <w:rPr>
          <w:rFonts w:ascii="Arial" w:eastAsia="Calibri" w:hAnsi="Arial" w:cs="Times New Roman"/>
          <w:iCs/>
          <w:kern w:val="0"/>
          <w:szCs w:val="24"/>
          <w:lang w:val="es-419"/>
          <w14:ligatures w14:val="none"/>
        </w:rPr>
        <w:t>,</w:t>
      </w:r>
      <w:r w:rsidRPr="00A02900">
        <w:rPr>
          <w:rFonts w:ascii="Arial" w:eastAsia="Calibri" w:hAnsi="Arial" w:cs="Times New Roman"/>
          <w:iCs/>
          <w:kern w:val="0"/>
          <w:szCs w:val="24"/>
          <w:lang w:val="es-419"/>
          <w14:ligatures w14:val="none"/>
        </w:rPr>
        <w:t xml:space="preserve"> realiza una evaluaciónde su prevalencia entre escolares mexicanos y vincula este fenómeno directamente con hábitos alimenticios inadecuados, caracterizados por el alto consumo de productos procesados y bebidas azucaradas. Tales conclusiones destacan claramente cómo los problemas referenciados generan limitaciones importantes en el desempeño académico debido a la disminución en la concentración, resistencia física y salud general de los estudiantes afectados. La investigación insiste en la importancia urgente de implementar intervenciones educativas y preventivas efectivas desde etapas tempranas, orientadas a la promoción de hábitos alimentarios saludables y estilos de vida activos.</w:t>
      </w:r>
    </w:p>
    <w:p w14:paraId="1FE2AFCD" w14:textId="77777777" w:rsidR="00A02900" w:rsidRPr="00A02900" w:rsidRDefault="00A02900" w:rsidP="00A02900">
      <w:pPr>
        <w:spacing w:after="0" w:line="480" w:lineRule="auto"/>
        <w:rPr>
          <w:rFonts w:ascii="Arial" w:eastAsia="Calibri" w:hAnsi="Arial" w:cs="Times New Roman"/>
          <w:iCs/>
          <w:kern w:val="0"/>
          <w:szCs w:val="24"/>
          <w:lang w:val="es-419"/>
          <w14:ligatures w14:val="none"/>
        </w:rPr>
      </w:pPr>
      <w:r w:rsidRPr="00A02900">
        <w:rPr>
          <w:rFonts w:ascii="Arial" w:eastAsia="Calibri" w:hAnsi="Arial" w:cs="Times New Roman"/>
          <w:iCs/>
          <w:kern w:val="0"/>
          <w:szCs w:val="24"/>
          <w:lang w:val="es-419"/>
          <w14:ligatures w14:val="none"/>
        </w:rPr>
        <w:lastRenderedPageBreak/>
        <w:t xml:space="preserve">Ahora bien, en lo concerniente al rendimiento académico como tema de mayor preponderancia, en la Tabla 2 se comparten las temáticas complementarias y de los estudios abordados que se abocan a su análisis. </w:t>
      </w:r>
    </w:p>
    <w:p w14:paraId="3C7EC6D4" w14:textId="77777777" w:rsidR="00A46CE6" w:rsidRPr="00A46CE6" w:rsidRDefault="00A46CE6" w:rsidP="007B3834">
      <w:pPr>
        <w:spacing w:after="0" w:line="480" w:lineRule="auto"/>
        <w:rPr>
          <w:rFonts w:ascii="Arial" w:eastAsia="Calibri" w:hAnsi="Arial" w:cs="Times New Roman"/>
          <w:kern w:val="0"/>
          <w:szCs w:val="24"/>
          <w:lang w:val="es-419"/>
          <w14:ligatures w14:val="none"/>
        </w:rPr>
      </w:pPr>
    </w:p>
    <w:p w14:paraId="1C953104"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Tabla 2</w:t>
      </w:r>
    </w:p>
    <w:p w14:paraId="22861C2E" w14:textId="77777777" w:rsidR="00A46CE6" w:rsidRPr="00483A6C" w:rsidRDefault="00A46CE6" w:rsidP="00A46CE6">
      <w:pPr>
        <w:spacing w:after="0" w:line="480" w:lineRule="auto"/>
        <w:rPr>
          <w:rFonts w:ascii="Arial" w:eastAsia="Calibri" w:hAnsi="Arial" w:cs="Times New Roman"/>
          <w:i/>
          <w:kern w:val="0"/>
          <w:szCs w:val="24"/>
          <w14:ligatures w14:val="none"/>
        </w:rPr>
      </w:pPr>
      <w:r w:rsidRPr="00483A6C">
        <w:rPr>
          <w:rFonts w:ascii="Arial" w:eastAsia="Calibri" w:hAnsi="Arial" w:cs="Times New Roman"/>
          <w:i/>
          <w:kern w:val="0"/>
          <w:szCs w:val="24"/>
          <w14:ligatures w14:val="none"/>
        </w:rPr>
        <w:t>Clasificación por temáticas complementarias asociadas al rendimiento académico</w:t>
      </w:r>
    </w:p>
    <w:tbl>
      <w:tblPr>
        <w:tblW w:w="9498" w:type="dxa"/>
        <w:tblCellMar>
          <w:left w:w="70" w:type="dxa"/>
          <w:right w:w="70" w:type="dxa"/>
        </w:tblCellMar>
        <w:tblLook w:val="04A0" w:firstRow="1" w:lastRow="0" w:firstColumn="1" w:lastColumn="0" w:noHBand="0" w:noVBand="1"/>
      </w:tblPr>
      <w:tblGrid>
        <w:gridCol w:w="2127"/>
        <w:gridCol w:w="7371"/>
      </w:tblGrid>
      <w:tr w:rsidR="00A46CE6" w:rsidRPr="00A46CE6" w14:paraId="31291355" w14:textId="77777777" w:rsidTr="005F7B9F">
        <w:trPr>
          <w:trHeight w:val="281"/>
          <w:tblHeader/>
        </w:trPr>
        <w:tc>
          <w:tcPr>
            <w:tcW w:w="2127" w:type="dxa"/>
            <w:tcBorders>
              <w:top w:val="single" w:sz="4" w:space="0" w:color="auto"/>
              <w:bottom w:val="single" w:sz="4" w:space="0" w:color="auto"/>
            </w:tcBorders>
            <w:shd w:val="clear" w:color="auto" w:fill="auto"/>
            <w:vAlign w:val="center"/>
            <w:hideMark/>
          </w:tcPr>
          <w:p w14:paraId="0DF3CD42"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Temática(s) complementaria(s)</w:t>
            </w:r>
          </w:p>
        </w:tc>
        <w:tc>
          <w:tcPr>
            <w:tcW w:w="7371" w:type="dxa"/>
            <w:tcBorders>
              <w:top w:val="single" w:sz="4" w:space="0" w:color="auto"/>
              <w:bottom w:val="single" w:sz="4" w:space="0" w:color="auto"/>
            </w:tcBorders>
            <w:shd w:val="clear" w:color="auto" w:fill="auto"/>
            <w:vAlign w:val="center"/>
            <w:hideMark/>
          </w:tcPr>
          <w:p w14:paraId="5D160776"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Autor(es)/Aporte del estudio</w:t>
            </w:r>
          </w:p>
        </w:tc>
      </w:tr>
      <w:tr w:rsidR="00A46CE6" w:rsidRPr="00A46CE6" w14:paraId="6A7A4439" w14:textId="77777777" w:rsidTr="005F7B9F">
        <w:trPr>
          <w:trHeight w:val="607"/>
        </w:trPr>
        <w:tc>
          <w:tcPr>
            <w:tcW w:w="2127" w:type="dxa"/>
            <w:vMerge w:val="restart"/>
            <w:tcBorders>
              <w:top w:val="single" w:sz="4" w:space="0" w:color="auto"/>
            </w:tcBorders>
            <w:shd w:val="clear" w:color="auto" w:fill="auto"/>
            <w:vAlign w:val="center"/>
            <w:hideMark/>
          </w:tcPr>
          <w:p w14:paraId="0FD77913"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Comedor escolar; Alimentación escolar</w:t>
            </w:r>
          </w:p>
          <w:p w14:paraId="584C958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0D117520"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1C7039F"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371" w:type="dxa"/>
            <w:tcBorders>
              <w:top w:val="single" w:sz="4" w:space="0" w:color="auto"/>
            </w:tcBorders>
            <w:shd w:val="clear" w:color="auto" w:fill="auto"/>
            <w:vAlign w:val="center"/>
            <w:hideMark/>
          </w:tcPr>
          <w:p w14:paraId="7AE2D109" w14:textId="6D376FE3"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Moreno (2023)</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a</w:t>
            </w:r>
            <w:r w:rsidRPr="00A46CE6">
              <w:rPr>
                <w:rFonts w:ascii="Arial" w:eastAsia="Times New Roman" w:hAnsi="Arial" w:cs="Arial"/>
                <w:color w:val="000000"/>
                <w:kern w:val="0"/>
                <w:sz w:val="20"/>
                <w:szCs w:val="20"/>
                <w:lang w:val="es-419" w:eastAsia="es-419"/>
                <w14:ligatures w14:val="none"/>
              </w:rPr>
              <w:t>naliza cómo el Plan de Alimentación Escolar influye en la calidad educativa en Tunja.</w:t>
            </w:r>
          </w:p>
        </w:tc>
      </w:tr>
      <w:tr w:rsidR="00A46CE6" w:rsidRPr="00A46CE6" w14:paraId="3EAF27C6" w14:textId="77777777" w:rsidTr="005F7B9F">
        <w:trPr>
          <w:trHeight w:val="686"/>
        </w:trPr>
        <w:tc>
          <w:tcPr>
            <w:tcW w:w="2127" w:type="dxa"/>
            <w:vMerge/>
            <w:shd w:val="clear" w:color="auto" w:fill="auto"/>
            <w:vAlign w:val="center"/>
            <w:hideMark/>
          </w:tcPr>
          <w:p w14:paraId="6F982595"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3AE6AE07" w14:textId="53EDDB52"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Durán et al. (2023)</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xplora percepciones de docentes de educación física sobre el Programa de Alimentación Escolar, destacando fortalezas y debilidades.</w:t>
            </w:r>
          </w:p>
        </w:tc>
      </w:tr>
      <w:tr w:rsidR="00A46CE6" w:rsidRPr="00A46CE6" w14:paraId="4FDAF856" w14:textId="77777777" w:rsidTr="005F7B9F">
        <w:trPr>
          <w:trHeight w:val="696"/>
        </w:trPr>
        <w:tc>
          <w:tcPr>
            <w:tcW w:w="2127" w:type="dxa"/>
            <w:vMerge/>
            <w:shd w:val="clear" w:color="auto" w:fill="auto"/>
            <w:vAlign w:val="center"/>
            <w:hideMark/>
          </w:tcPr>
          <w:p w14:paraId="6095999D"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66330F33" w14:textId="152A8DA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Porras y Rojas (2024)</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i</w:t>
            </w:r>
            <w:r w:rsidRPr="00A46CE6">
              <w:rPr>
                <w:rFonts w:ascii="Arial" w:eastAsia="Times New Roman" w:hAnsi="Arial" w:cs="Arial"/>
                <w:color w:val="000000"/>
                <w:kern w:val="0"/>
                <w:sz w:val="20"/>
                <w:szCs w:val="20"/>
                <w:lang w:val="es-419" w:eastAsia="es-419"/>
                <w14:ligatures w14:val="none"/>
              </w:rPr>
              <w:t>nvestiga el impacto directo del PAE sobre el rendimiento académico en pruebas estandarizadas colombianas.</w:t>
            </w:r>
          </w:p>
        </w:tc>
      </w:tr>
      <w:tr w:rsidR="00A46CE6" w:rsidRPr="00A46CE6" w14:paraId="7D38854A" w14:textId="77777777" w:rsidTr="005F7B9F">
        <w:trPr>
          <w:trHeight w:val="564"/>
        </w:trPr>
        <w:tc>
          <w:tcPr>
            <w:tcW w:w="2127" w:type="dxa"/>
            <w:vMerge/>
            <w:tcBorders>
              <w:bottom w:val="single" w:sz="4" w:space="0" w:color="auto"/>
            </w:tcBorders>
            <w:shd w:val="clear" w:color="auto" w:fill="auto"/>
            <w:vAlign w:val="center"/>
            <w:hideMark/>
          </w:tcPr>
          <w:p w14:paraId="1E75C8C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27A4ED83" w14:textId="5A3624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Collante, Rodríguez y Sánchez (2022)</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videncia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cómo los refrigerios escolares potencian resultados educativos en Colombia.</w:t>
            </w:r>
          </w:p>
        </w:tc>
      </w:tr>
      <w:tr w:rsidR="00A46CE6" w:rsidRPr="00A46CE6" w14:paraId="6563C09C" w14:textId="77777777" w:rsidTr="005F7B9F">
        <w:trPr>
          <w:trHeight w:val="558"/>
        </w:trPr>
        <w:tc>
          <w:tcPr>
            <w:tcW w:w="2127" w:type="dxa"/>
            <w:vMerge w:val="restart"/>
            <w:tcBorders>
              <w:top w:val="single" w:sz="4" w:space="0" w:color="auto"/>
            </w:tcBorders>
            <w:shd w:val="clear" w:color="auto" w:fill="auto"/>
            <w:vAlign w:val="center"/>
            <w:hideMark/>
          </w:tcPr>
          <w:p w14:paraId="7C5E6BC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Alimentación</w:t>
            </w:r>
          </w:p>
          <w:p w14:paraId="4D58BF54"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60B0C8DD"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916ADD5"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617C5A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09059812"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36A79147"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557D271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3D52409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17852F36"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371" w:type="dxa"/>
            <w:tcBorders>
              <w:top w:val="single" w:sz="4" w:space="0" w:color="auto"/>
            </w:tcBorders>
            <w:shd w:val="clear" w:color="auto" w:fill="auto"/>
            <w:vAlign w:val="center"/>
            <w:hideMark/>
          </w:tcPr>
          <w:p w14:paraId="6B70E73B" w14:textId="4FFF94E4"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Acosta et al. (2021)</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s</w:t>
            </w:r>
            <w:r w:rsidRPr="00A46CE6">
              <w:rPr>
                <w:rFonts w:ascii="Arial" w:eastAsia="Times New Roman" w:hAnsi="Arial" w:cs="Arial"/>
                <w:color w:val="000000"/>
                <w:kern w:val="0"/>
                <w:sz w:val="20"/>
                <w:szCs w:val="20"/>
                <w:lang w:val="es-419" w:eastAsia="es-419"/>
                <w14:ligatures w14:val="none"/>
              </w:rPr>
              <w:t>istematiza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evidencia sobre incidencia directa de la alimentación en rendimiento escolar infantil inicial.</w:t>
            </w:r>
          </w:p>
        </w:tc>
      </w:tr>
      <w:tr w:rsidR="00A46CE6" w:rsidRPr="00A46CE6" w14:paraId="787BEB4E" w14:textId="77777777" w:rsidTr="005F7B9F">
        <w:trPr>
          <w:trHeight w:val="552"/>
        </w:trPr>
        <w:tc>
          <w:tcPr>
            <w:tcW w:w="2127" w:type="dxa"/>
            <w:vMerge/>
            <w:shd w:val="clear" w:color="auto" w:fill="auto"/>
            <w:vAlign w:val="center"/>
            <w:hideMark/>
          </w:tcPr>
          <w:p w14:paraId="3EE11C61"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5D0A8ACE" w14:textId="352B9578"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Durán et al. (2023)</w:t>
            </w:r>
            <w:r w:rsidR="007B3834">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r</w:t>
            </w:r>
            <w:r w:rsidRPr="00A46CE6">
              <w:rPr>
                <w:rFonts w:ascii="Arial" w:eastAsia="Times New Roman" w:hAnsi="Arial" w:cs="Arial"/>
                <w:color w:val="000000"/>
                <w:kern w:val="0"/>
                <w:sz w:val="20"/>
                <w:szCs w:val="20"/>
                <w:lang w:val="es-419" w:eastAsia="es-419"/>
                <w14:ligatures w14:val="none"/>
              </w:rPr>
              <w:t>elaciona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factores nutricionales con rendimiento académico en contexto universitario.</w:t>
            </w:r>
          </w:p>
        </w:tc>
      </w:tr>
      <w:tr w:rsidR="00A46CE6" w:rsidRPr="00A46CE6" w14:paraId="283435FF" w14:textId="77777777" w:rsidTr="005F7B9F">
        <w:trPr>
          <w:trHeight w:val="560"/>
        </w:trPr>
        <w:tc>
          <w:tcPr>
            <w:tcW w:w="2127" w:type="dxa"/>
            <w:vMerge/>
            <w:shd w:val="clear" w:color="auto" w:fill="auto"/>
            <w:vAlign w:val="center"/>
            <w:hideMark/>
          </w:tcPr>
          <w:p w14:paraId="44FF13CF"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08A7CB70" w14:textId="6AE76035"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González (2021)</w:t>
            </w:r>
            <w:r w:rsidR="00A02900">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xamina cómo el estado nutricional afecta al rendimiento académico general.</w:t>
            </w:r>
          </w:p>
        </w:tc>
      </w:tr>
      <w:tr w:rsidR="00A46CE6" w:rsidRPr="00A46CE6" w14:paraId="4577956E" w14:textId="77777777" w:rsidTr="005F7B9F">
        <w:trPr>
          <w:trHeight w:val="554"/>
        </w:trPr>
        <w:tc>
          <w:tcPr>
            <w:tcW w:w="2127" w:type="dxa"/>
            <w:vMerge/>
            <w:shd w:val="clear" w:color="auto" w:fill="auto"/>
            <w:vAlign w:val="center"/>
            <w:hideMark/>
          </w:tcPr>
          <w:p w14:paraId="760834DA"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33E07865" w14:textId="6311893D"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Santos y Barros (2022)</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a</w:t>
            </w:r>
            <w:r w:rsidRPr="00A46CE6">
              <w:rPr>
                <w:rFonts w:ascii="Arial" w:eastAsia="Times New Roman" w:hAnsi="Arial" w:cs="Arial"/>
                <w:color w:val="000000"/>
                <w:kern w:val="0"/>
                <w:sz w:val="20"/>
                <w:szCs w:val="20"/>
                <w:lang w:val="es-419" w:eastAsia="es-419"/>
                <w14:ligatures w14:val="none"/>
              </w:rPr>
              <w:t>naliza la influencia nutricional sobre el desempeño escolar específico en una institución educativa.</w:t>
            </w:r>
          </w:p>
        </w:tc>
      </w:tr>
      <w:tr w:rsidR="00A46CE6" w:rsidRPr="00A46CE6" w14:paraId="113924B1" w14:textId="77777777" w:rsidTr="005F7B9F">
        <w:trPr>
          <w:trHeight w:val="562"/>
        </w:trPr>
        <w:tc>
          <w:tcPr>
            <w:tcW w:w="2127" w:type="dxa"/>
            <w:vMerge/>
            <w:shd w:val="clear" w:color="auto" w:fill="auto"/>
            <w:vAlign w:val="center"/>
            <w:hideMark/>
          </w:tcPr>
          <w:p w14:paraId="17AC7587"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E258A58" w14:textId="681E9120"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Ceme (2021)</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stablece una relación directa entre hábitos alimenticios y desarrollo cognitivo infantil.</w:t>
            </w:r>
          </w:p>
        </w:tc>
      </w:tr>
      <w:tr w:rsidR="00A46CE6" w:rsidRPr="00A46CE6" w14:paraId="6CD00B61" w14:textId="77777777" w:rsidTr="005F7B9F">
        <w:trPr>
          <w:trHeight w:val="556"/>
        </w:trPr>
        <w:tc>
          <w:tcPr>
            <w:tcW w:w="2127" w:type="dxa"/>
            <w:vMerge/>
            <w:shd w:val="clear" w:color="auto" w:fill="auto"/>
            <w:vAlign w:val="center"/>
            <w:hideMark/>
          </w:tcPr>
          <w:p w14:paraId="5841622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5F5F79C9" w14:textId="12B40174"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Pugo y Zhinin (2020)</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vi</w:t>
            </w:r>
            <w:r w:rsidRPr="00A46CE6">
              <w:rPr>
                <w:rFonts w:ascii="Arial" w:eastAsia="Times New Roman" w:hAnsi="Arial" w:cs="Arial"/>
                <w:color w:val="000000"/>
                <w:kern w:val="0"/>
                <w:sz w:val="20"/>
                <w:szCs w:val="20"/>
                <w:lang w:val="es-419" w:eastAsia="es-419"/>
                <w14:ligatures w14:val="none"/>
              </w:rPr>
              <w:t>ncula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hábitos nutricionales con desempeño académico en escolares ecuatorianos.</w:t>
            </w:r>
          </w:p>
        </w:tc>
      </w:tr>
      <w:tr w:rsidR="00A46CE6" w:rsidRPr="00A46CE6" w14:paraId="57D830C9" w14:textId="77777777" w:rsidTr="005F7B9F">
        <w:trPr>
          <w:trHeight w:val="564"/>
        </w:trPr>
        <w:tc>
          <w:tcPr>
            <w:tcW w:w="2127" w:type="dxa"/>
            <w:vMerge/>
            <w:shd w:val="clear" w:color="auto" w:fill="auto"/>
            <w:vAlign w:val="center"/>
            <w:hideMark/>
          </w:tcPr>
          <w:p w14:paraId="04516FA5"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334B388" w14:textId="4F847E5D"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Huamani (2021)</w:t>
            </w:r>
            <w:r w:rsidR="007242E8">
              <w:rPr>
                <w:rFonts w:ascii="Arial" w:eastAsia="Times New Roman" w:hAnsi="Arial" w:cs="Arial"/>
                <w:color w:val="000000"/>
                <w:kern w:val="0"/>
                <w:sz w:val="20"/>
                <w:szCs w:val="20"/>
                <w:lang w:val="es-419" w:eastAsia="es-419"/>
                <w14:ligatures w14:val="none"/>
              </w:rPr>
              <w:t>, c</w:t>
            </w:r>
            <w:r w:rsidRPr="00A46CE6">
              <w:rPr>
                <w:rFonts w:ascii="Arial" w:eastAsia="Times New Roman" w:hAnsi="Arial" w:cs="Arial"/>
                <w:color w:val="000000"/>
                <w:kern w:val="0"/>
                <w:sz w:val="20"/>
                <w:szCs w:val="20"/>
                <w:lang w:val="es-419" w:eastAsia="es-419"/>
                <w14:ligatures w14:val="none"/>
              </w:rPr>
              <w:t>onfirma la influencia del estado nutricional en el rendimiento académico escolar específico.</w:t>
            </w:r>
          </w:p>
        </w:tc>
      </w:tr>
      <w:tr w:rsidR="00A46CE6" w:rsidRPr="00A46CE6" w14:paraId="0E9FBF97" w14:textId="77777777" w:rsidTr="005F7B9F">
        <w:trPr>
          <w:trHeight w:val="544"/>
        </w:trPr>
        <w:tc>
          <w:tcPr>
            <w:tcW w:w="2127" w:type="dxa"/>
            <w:vMerge/>
            <w:shd w:val="clear" w:color="auto" w:fill="auto"/>
            <w:vAlign w:val="center"/>
            <w:hideMark/>
          </w:tcPr>
          <w:p w14:paraId="1BD47AB2"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173B2D0" w14:textId="3EE59658"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García y Cristina (2024)</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xamina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relación entre nutrición y desempeño académico adolescente.</w:t>
            </w:r>
          </w:p>
        </w:tc>
      </w:tr>
      <w:tr w:rsidR="00A46CE6" w:rsidRPr="00A46CE6" w14:paraId="0E9CCC6A" w14:textId="77777777" w:rsidTr="005F7B9F">
        <w:trPr>
          <w:trHeight w:val="566"/>
        </w:trPr>
        <w:tc>
          <w:tcPr>
            <w:tcW w:w="2127" w:type="dxa"/>
            <w:vMerge/>
            <w:shd w:val="clear" w:color="auto" w:fill="auto"/>
            <w:vAlign w:val="center"/>
            <w:hideMark/>
          </w:tcPr>
          <w:p w14:paraId="2185B82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21F6A821" w14:textId="4712582C"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Sáez y Guillermo (2022)</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v</w:t>
            </w:r>
            <w:r w:rsidRPr="00A46CE6">
              <w:rPr>
                <w:rFonts w:ascii="Arial" w:eastAsia="Times New Roman" w:hAnsi="Arial" w:cs="Arial"/>
                <w:color w:val="000000"/>
                <w:kern w:val="0"/>
                <w:sz w:val="20"/>
                <w:szCs w:val="20"/>
                <w:lang w:val="es-419" w:eastAsia="es-419"/>
                <w14:ligatures w14:val="none"/>
              </w:rPr>
              <w:t>incula estilos de vida con rendimiento académico universitario.</w:t>
            </w:r>
          </w:p>
        </w:tc>
      </w:tr>
      <w:tr w:rsidR="00A46CE6" w:rsidRPr="00A46CE6" w14:paraId="65F3FAAA" w14:textId="77777777" w:rsidTr="005F7B9F">
        <w:trPr>
          <w:trHeight w:val="560"/>
        </w:trPr>
        <w:tc>
          <w:tcPr>
            <w:tcW w:w="2127" w:type="dxa"/>
            <w:vMerge/>
            <w:tcBorders>
              <w:bottom w:val="single" w:sz="4" w:space="0" w:color="auto"/>
            </w:tcBorders>
            <w:shd w:val="clear" w:color="auto" w:fill="auto"/>
            <w:vAlign w:val="center"/>
            <w:hideMark/>
          </w:tcPr>
          <w:p w14:paraId="305AAA7E"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214B6F27" w14:textId="3763C3E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Forero et al. (2023)</w:t>
            </w:r>
            <w:r w:rsidR="007242E8">
              <w:rPr>
                <w:rFonts w:ascii="Arial" w:eastAsia="Times New Roman" w:hAnsi="Arial" w:cs="Arial"/>
                <w:color w:val="000000"/>
                <w:kern w:val="0"/>
                <w:sz w:val="20"/>
                <w:szCs w:val="20"/>
                <w:lang w:val="es-419" w:eastAsia="es-419"/>
                <w14:ligatures w14:val="none"/>
              </w:rPr>
              <w:t>, a</w:t>
            </w:r>
            <w:r w:rsidRPr="00A46CE6">
              <w:rPr>
                <w:rFonts w:ascii="Arial" w:eastAsia="Times New Roman" w:hAnsi="Arial" w:cs="Arial"/>
                <w:color w:val="000000"/>
                <w:kern w:val="0"/>
                <w:sz w:val="20"/>
                <w:szCs w:val="20"/>
                <w:lang w:val="es-419" w:eastAsia="es-419"/>
                <w14:ligatures w14:val="none"/>
              </w:rPr>
              <w:t>naliza la relación general entre hábitos alimenticios y rendimiento escolar en América Latina.</w:t>
            </w:r>
          </w:p>
        </w:tc>
      </w:tr>
      <w:tr w:rsidR="00A46CE6" w:rsidRPr="00A46CE6" w14:paraId="3D939020" w14:textId="77777777" w:rsidTr="005F7B9F">
        <w:trPr>
          <w:trHeight w:val="540"/>
        </w:trPr>
        <w:tc>
          <w:tcPr>
            <w:tcW w:w="2127" w:type="dxa"/>
            <w:vMerge w:val="restart"/>
            <w:tcBorders>
              <w:top w:val="single" w:sz="4" w:space="0" w:color="auto"/>
              <w:bottom w:val="single" w:sz="4" w:space="0" w:color="auto"/>
            </w:tcBorders>
            <w:shd w:val="clear" w:color="auto" w:fill="auto"/>
            <w:vAlign w:val="center"/>
            <w:hideMark/>
          </w:tcPr>
          <w:p w14:paraId="5BE4413E"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Crecimiento y desarrollo</w:t>
            </w:r>
          </w:p>
          <w:p w14:paraId="5EA7E08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695DA8A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491C1A69"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lastRenderedPageBreak/>
              <w:t> </w:t>
            </w:r>
          </w:p>
        </w:tc>
        <w:tc>
          <w:tcPr>
            <w:tcW w:w="7371" w:type="dxa"/>
            <w:tcBorders>
              <w:top w:val="single" w:sz="4" w:space="0" w:color="auto"/>
            </w:tcBorders>
            <w:shd w:val="clear" w:color="auto" w:fill="auto"/>
            <w:vAlign w:val="center"/>
            <w:hideMark/>
          </w:tcPr>
          <w:p w14:paraId="562DFEC4" w14:textId="2A554C62"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lastRenderedPageBreak/>
              <w:t>Merchán et al. (2024)</w:t>
            </w:r>
            <w:r w:rsidR="007242E8">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videncia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cómo la desnutrición limita desarrollo integral infantil en América Latina.</w:t>
            </w:r>
          </w:p>
        </w:tc>
      </w:tr>
      <w:tr w:rsidR="00A46CE6" w:rsidRPr="00A46CE6" w14:paraId="6F57BD0B" w14:textId="77777777" w:rsidTr="005F7B9F">
        <w:trPr>
          <w:trHeight w:val="576"/>
        </w:trPr>
        <w:tc>
          <w:tcPr>
            <w:tcW w:w="2127" w:type="dxa"/>
            <w:vMerge/>
            <w:tcBorders>
              <w:bottom w:val="single" w:sz="4" w:space="0" w:color="auto"/>
            </w:tcBorders>
            <w:shd w:val="clear" w:color="auto" w:fill="auto"/>
            <w:vAlign w:val="center"/>
            <w:hideMark/>
          </w:tcPr>
          <w:p w14:paraId="610CFD2E"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A59BA95" w14:textId="2560176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Cruz et al. (2024)</w:t>
            </w:r>
            <w:r w:rsidR="007242E8">
              <w:rPr>
                <w:rFonts w:ascii="Arial" w:eastAsia="Times New Roman" w:hAnsi="Arial" w:cs="Arial"/>
                <w:color w:val="000000"/>
                <w:kern w:val="0"/>
                <w:sz w:val="20"/>
                <w:szCs w:val="20"/>
                <w:lang w:val="es-419" w:eastAsia="es-419"/>
                <w14:ligatures w14:val="none"/>
              </w:rPr>
              <w:t>, v</w:t>
            </w:r>
            <w:r w:rsidRPr="00A46CE6">
              <w:rPr>
                <w:rFonts w:ascii="Arial" w:eastAsia="Times New Roman" w:hAnsi="Arial" w:cs="Arial"/>
                <w:color w:val="000000"/>
                <w:kern w:val="0"/>
                <w:sz w:val="20"/>
                <w:szCs w:val="20"/>
                <w:lang w:val="es-419" w:eastAsia="es-419"/>
                <w14:ligatures w14:val="none"/>
              </w:rPr>
              <w:t>incula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directamente nutrición con desarrollo físico-cognitivo en preescolares ecuatorianos.</w:t>
            </w:r>
          </w:p>
        </w:tc>
      </w:tr>
      <w:tr w:rsidR="00A46CE6" w:rsidRPr="00A46CE6" w14:paraId="69A86368" w14:textId="77777777" w:rsidTr="005F7B9F">
        <w:trPr>
          <w:trHeight w:val="556"/>
        </w:trPr>
        <w:tc>
          <w:tcPr>
            <w:tcW w:w="2127" w:type="dxa"/>
            <w:vMerge/>
            <w:tcBorders>
              <w:bottom w:val="single" w:sz="4" w:space="0" w:color="auto"/>
            </w:tcBorders>
            <w:shd w:val="clear" w:color="auto" w:fill="auto"/>
            <w:vAlign w:val="center"/>
            <w:hideMark/>
          </w:tcPr>
          <w:p w14:paraId="13FC43D0"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FC23CEE" w14:textId="30858F0C"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Amaya y Agudelo (2020)</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d</w:t>
            </w:r>
            <w:r w:rsidRPr="00A46CE6">
              <w:rPr>
                <w:rFonts w:ascii="Arial" w:eastAsia="Times New Roman" w:hAnsi="Arial" w:cs="Arial"/>
                <w:color w:val="000000"/>
                <w:kern w:val="0"/>
                <w:sz w:val="20"/>
                <w:szCs w:val="20"/>
                <w:lang w:val="es-419" w:eastAsia="es-419"/>
                <w14:ligatures w14:val="none"/>
              </w:rPr>
              <w:t>estaca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cómo la malnutrición afecta negativamente el desarrollo social infantil en Medellín.</w:t>
            </w:r>
          </w:p>
        </w:tc>
      </w:tr>
      <w:tr w:rsidR="00A46CE6" w:rsidRPr="00A46CE6" w14:paraId="79ADD8CE" w14:textId="77777777" w:rsidTr="005F7B9F">
        <w:trPr>
          <w:trHeight w:val="529"/>
        </w:trPr>
        <w:tc>
          <w:tcPr>
            <w:tcW w:w="2127" w:type="dxa"/>
            <w:vMerge/>
            <w:tcBorders>
              <w:bottom w:val="single" w:sz="4" w:space="0" w:color="auto"/>
            </w:tcBorders>
            <w:shd w:val="clear" w:color="auto" w:fill="auto"/>
            <w:vAlign w:val="center"/>
            <w:hideMark/>
          </w:tcPr>
          <w:p w14:paraId="7BFA6AA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50DAEC73" w14:textId="6019FBD6"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Cortés y Pérez (2023)</w:t>
            </w:r>
            <w:r w:rsidR="007242E8">
              <w:rPr>
                <w:rFonts w:ascii="Arial" w:eastAsia="Times New Roman" w:hAnsi="Arial" w:cs="Arial"/>
                <w:color w:val="000000"/>
                <w:kern w:val="0"/>
                <w:sz w:val="20"/>
                <w:szCs w:val="20"/>
                <w:lang w:val="es-419" w:eastAsia="es-419"/>
                <w14:ligatures w14:val="none"/>
              </w:rPr>
              <w:t>, p</w:t>
            </w:r>
            <w:r w:rsidRPr="00A46CE6">
              <w:rPr>
                <w:rFonts w:ascii="Arial" w:eastAsia="Times New Roman" w:hAnsi="Arial" w:cs="Arial"/>
                <w:color w:val="000000"/>
                <w:kern w:val="0"/>
                <w:sz w:val="20"/>
                <w:szCs w:val="20"/>
                <w:lang w:val="es-419" w:eastAsia="es-419"/>
                <w14:ligatures w14:val="none"/>
              </w:rPr>
              <w:t>rofundiza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en cómo la desnutrición crónica afecta crecimiento y desarrollo infantil.</w:t>
            </w:r>
          </w:p>
        </w:tc>
      </w:tr>
      <w:tr w:rsidR="00A46CE6" w:rsidRPr="00A46CE6" w14:paraId="6C3396E4" w14:textId="77777777" w:rsidTr="005F7B9F">
        <w:trPr>
          <w:trHeight w:val="530"/>
        </w:trPr>
        <w:tc>
          <w:tcPr>
            <w:tcW w:w="2127" w:type="dxa"/>
            <w:vMerge w:val="restart"/>
            <w:tcBorders>
              <w:top w:val="single" w:sz="4" w:space="0" w:color="auto"/>
            </w:tcBorders>
            <w:shd w:val="clear" w:color="auto" w:fill="auto"/>
            <w:vAlign w:val="center"/>
            <w:hideMark/>
          </w:tcPr>
          <w:p w14:paraId="1D635FA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Desnutrición; Malnutrición</w:t>
            </w:r>
          </w:p>
        </w:tc>
        <w:tc>
          <w:tcPr>
            <w:tcW w:w="7371" w:type="dxa"/>
            <w:tcBorders>
              <w:top w:val="single" w:sz="4" w:space="0" w:color="auto"/>
            </w:tcBorders>
            <w:shd w:val="clear" w:color="auto" w:fill="auto"/>
            <w:vAlign w:val="center"/>
            <w:hideMark/>
          </w:tcPr>
          <w:p w14:paraId="08597D96" w14:textId="6090878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Cantos (2020)</w:t>
            </w:r>
            <w:r w:rsidR="007242E8">
              <w:rPr>
                <w:rFonts w:ascii="Arial" w:eastAsia="Times New Roman" w:hAnsi="Arial" w:cs="Arial"/>
                <w:color w:val="000000"/>
                <w:kern w:val="0"/>
                <w:sz w:val="20"/>
                <w:szCs w:val="20"/>
                <w:lang w:val="es-419" w:eastAsia="es-419"/>
                <w14:ligatures w14:val="none"/>
              </w:rPr>
              <w:t>, i</w:t>
            </w:r>
            <w:r w:rsidRPr="00A46CE6">
              <w:rPr>
                <w:rFonts w:ascii="Arial" w:eastAsia="Times New Roman" w:hAnsi="Arial" w:cs="Arial"/>
                <w:color w:val="000000"/>
                <w:kern w:val="0"/>
                <w:sz w:val="20"/>
                <w:szCs w:val="20"/>
                <w:lang w:val="es-419" w:eastAsia="es-419"/>
                <w14:ligatures w14:val="none"/>
              </w:rPr>
              <w:t>nvestiga impacto específico de la desnutrición en el rendimiento escolar.</w:t>
            </w:r>
          </w:p>
        </w:tc>
      </w:tr>
      <w:tr w:rsidR="00A46CE6" w:rsidRPr="00A46CE6" w14:paraId="4C3F7E1D" w14:textId="77777777" w:rsidTr="005F7B9F">
        <w:trPr>
          <w:trHeight w:val="580"/>
        </w:trPr>
        <w:tc>
          <w:tcPr>
            <w:tcW w:w="2127" w:type="dxa"/>
            <w:vMerge/>
            <w:shd w:val="clear" w:color="auto" w:fill="auto"/>
            <w:vAlign w:val="center"/>
            <w:hideMark/>
          </w:tcPr>
          <w:p w14:paraId="123099E6"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6D8CC3C6" w14:textId="1AC161B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Ticona (2021)</w:t>
            </w:r>
            <w:r w:rsidR="007242E8">
              <w:rPr>
                <w:rFonts w:ascii="Arial" w:eastAsia="Times New Roman" w:hAnsi="Arial" w:cs="Arial"/>
                <w:color w:val="000000"/>
                <w:kern w:val="0"/>
                <w:sz w:val="20"/>
                <w:szCs w:val="20"/>
                <w:lang w:val="es-419" w:eastAsia="es-419"/>
                <w14:ligatures w14:val="none"/>
              </w:rPr>
              <w:t>, r</w:t>
            </w:r>
            <w:r w:rsidRPr="00A46CE6">
              <w:rPr>
                <w:rFonts w:ascii="Arial" w:eastAsia="Times New Roman" w:hAnsi="Arial" w:cs="Arial"/>
                <w:color w:val="000000"/>
                <w:kern w:val="0"/>
                <w:sz w:val="20"/>
                <w:szCs w:val="20"/>
                <w:lang w:val="es-419" w:eastAsia="es-419"/>
                <w14:ligatures w14:val="none"/>
              </w:rPr>
              <w:t>elaciona directamente desnutrición con desempeño académico en escolares peruanos.</w:t>
            </w:r>
          </w:p>
        </w:tc>
      </w:tr>
      <w:tr w:rsidR="00A46CE6" w:rsidRPr="00A46CE6" w14:paraId="41EA5DAE" w14:textId="77777777" w:rsidTr="005F7B9F">
        <w:trPr>
          <w:trHeight w:val="524"/>
        </w:trPr>
        <w:tc>
          <w:tcPr>
            <w:tcW w:w="2127" w:type="dxa"/>
            <w:vMerge/>
            <w:shd w:val="clear" w:color="auto" w:fill="auto"/>
            <w:vAlign w:val="center"/>
            <w:hideMark/>
          </w:tcPr>
          <w:p w14:paraId="3AD5E9B0"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3B72E5E5" w14:textId="71F0FD0B"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Feijoo (2020)</w:t>
            </w:r>
            <w:r w:rsidR="007242E8">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stablece vínculo entre desnutrición temprana y bajo rendimiento escolar preescolar.</w:t>
            </w:r>
          </w:p>
        </w:tc>
      </w:tr>
      <w:tr w:rsidR="00A46CE6" w:rsidRPr="00A46CE6" w14:paraId="3ACE2C38" w14:textId="77777777" w:rsidTr="005F7B9F">
        <w:trPr>
          <w:trHeight w:val="545"/>
        </w:trPr>
        <w:tc>
          <w:tcPr>
            <w:tcW w:w="2127" w:type="dxa"/>
            <w:vMerge/>
            <w:shd w:val="clear" w:color="auto" w:fill="auto"/>
            <w:vAlign w:val="center"/>
            <w:hideMark/>
          </w:tcPr>
          <w:p w14:paraId="5718ADBB"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68CDD0BF" w14:textId="31A20301"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Trávez et al. (2024)</w:t>
            </w:r>
            <w:r w:rsidR="007242E8">
              <w:rPr>
                <w:rFonts w:ascii="Arial" w:eastAsia="Times New Roman" w:hAnsi="Arial" w:cs="Arial"/>
                <w:color w:val="000000"/>
                <w:kern w:val="0"/>
                <w:sz w:val="20"/>
                <w:szCs w:val="20"/>
                <w:lang w:val="es-419" w:eastAsia="es-419"/>
                <w14:ligatures w14:val="none"/>
              </w:rPr>
              <w:t>, c</w:t>
            </w:r>
            <w:r w:rsidRPr="00A46CE6">
              <w:rPr>
                <w:rFonts w:ascii="Arial" w:eastAsia="Times New Roman" w:hAnsi="Arial" w:cs="Arial"/>
                <w:color w:val="000000"/>
                <w:kern w:val="0"/>
                <w:sz w:val="20"/>
                <w:szCs w:val="20"/>
                <w:lang w:val="es-419" w:eastAsia="es-419"/>
                <w14:ligatures w14:val="none"/>
              </w:rPr>
              <w:t>onfirma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la influencia negativa de desnutrición en desempeño académico adolescente.</w:t>
            </w:r>
          </w:p>
        </w:tc>
      </w:tr>
      <w:tr w:rsidR="00A46CE6" w:rsidRPr="00A46CE6" w14:paraId="4A6D086D" w14:textId="77777777" w:rsidTr="005F7B9F">
        <w:trPr>
          <w:trHeight w:val="573"/>
        </w:trPr>
        <w:tc>
          <w:tcPr>
            <w:tcW w:w="2127" w:type="dxa"/>
            <w:vMerge/>
            <w:tcBorders>
              <w:bottom w:val="single" w:sz="4" w:space="0" w:color="auto"/>
            </w:tcBorders>
            <w:shd w:val="clear" w:color="auto" w:fill="auto"/>
            <w:vAlign w:val="center"/>
            <w:hideMark/>
          </w:tcPr>
          <w:p w14:paraId="12832B5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4D22C85A" w14:textId="205C641A"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Santisteban (2021)</w:t>
            </w:r>
            <w:r w:rsidR="007242E8">
              <w:rPr>
                <w:rFonts w:ascii="Arial" w:eastAsia="Times New Roman" w:hAnsi="Arial" w:cs="Arial"/>
                <w:color w:val="000000"/>
                <w:kern w:val="0"/>
                <w:sz w:val="20"/>
                <w:szCs w:val="20"/>
                <w:lang w:val="es-419" w:eastAsia="es-419"/>
                <w14:ligatures w14:val="none"/>
              </w:rPr>
              <w:t>, r</w:t>
            </w:r>
            <w:r w:rsidRPr="00A46CE6">
              <w:rPr>
                <w:rFonts w:ascii="Arial" w:eastAsia="Times New Roman" w:hAnsi="Arial" w:cs="Arial"/>
                <w:color w:val="000000"/>
                <w:kern w:val="0"/>
                <w:sz w:val="20"/>
                <w:szCs w:val="20"/>
                <w:lang w:val="es-419" w:eastAsia="es-419"/>
                <w14:ligatures w14:val="none"/>
              </w:rPr>
              <w:t>elaciona desnutrición infantil con dificultades específicas de aprendizaje inicial.</w:t>
            </w:r>
          </w:p>
        </w:tc>
      </w:tr>
    </w:tbl>
    <w:p w14:paraId="53E90E5F" w14:textId="77777777" w:rsidR="00A46CE6" w:rsidRPr="00A46CE6" w:rsidRDefault="00A46CE6" w:rsidP="00A46CE6">
      <w:pPr>
        <w:spacing w:after="24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1A93BB24" w14:textId="77777777"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En este caso, en el tópico de la alimentación escolar, destaca el trabajo de Moreno (2023), quien analiza cómo el Plan de Alimentación Escolar (PAE) influye directamente en la calidad educativa en Tunja. El estudio identifica mejoras específicas en aspectos tales como la atención y participación de los estudiantes en clases, y demuestra cómo una nutrición adecuada mejora la concentración y el desempeño general. Para Moreno (2023) es sumamente importante supervisar la calidad nutricional y logística del programa, de modo que pueda asegurarse que los beneficios esperados se traduzcan en resultados concretos en el aprendizaje.</w:t>
      </w:r>
    </w:p>
    <w:p w14:paraId="307F071B" w14:textId="75A96DEE"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6E77C1">
        <w:rPr>
          <w:rFonts w:ascii="Arial" w:eastAsia="Calibri" w:hAnsi="Arial" w:cs="Times New Roman"/>
          <w:kern w:val="0"/>
          <w:szCs w:val="24"/>
          <w:lang w:val="es-419"/>
          <w14:ligatures w14:val="none"/>
        </w:rPr>
        <w:t xml:space="preserve">Por </w:t>
      </w:r>
      <w:r w:rsidR="006E77C1" w:rsidRPr="006E77C1">
        <w:rPr>
          <w:rFonts w:ascii="Arial" w:eastAsia="Calibri" w:hAnsi="Arial" w:cs="Times New Roman"/>
          <w:kern w:val="0"/>
          <w:szCs w:val="24"/>
          <w:lang w:val="es-419"/>
          <w14:ligatures w14:val="none"/>
        </w:rPr>
        <w:t>ende</w:t>
      </w:r>
      <w:r w:rsidRPr="00A02900">
        <w:rPr>
          <w:rFonts w:ascii="Arial" w:eastAsia="Calibri" w:hAnsi="Arial" w:cs="Times New Roman"/>
          <w:kern w:val="0"/>
          <w:szCs w:val="24"/>
          <w:lang w:val="es-419"/>
          <w14:ligatures w14:val="none"/>
        </w:rPr>
        <w:t>, Durán et al. (2023), desde otra perspectiva metodológica, exploran percepciones específicas de docentes de educación física sobre el PAE, e identifican fortalezas y debilidades. El análisis revela que, aunque existen claras fortalezas relacionadas con la mejora del rendimiento físico y académico de los estudiantes, persisten debilidades críticas como problemas logísticos y de organización, así como deficiencias en la variedad y calidad de los alimentos proporcionados.</w:t>
      </w:r>
    </w:p>
    <w:p w14:paraId="2D659316" w14:textId="77777777" w:rsidR="0095480F"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En contraste, Porras y Rojas (2024) aportan evidencia contundente del impacto directo del PAE sobre el rendimiento académico en pruebas estandarizadas colombianas.</w:t>
      </w:r>
    </w:p>
    <w:p w14:paraId="14406509" w14:textId="221F7F5B"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lastRenderedPageBreak/>
        <w:t>A través de un análisis comparativo riguroso, los autores muestran que estudiantes beneficiarios del PAE obtienen resultados significativamente superiores en estas pruebas. Porras y Rojas (2024) destacan que una alimentación adecuada mejora funciones cognitivas esenciales como la memoria, el razonamiento y la velocidad de procesamiento.</w:t>
      </w:r>
    </w:p>
    <w:p w14:paraId="0570D607" w14:textId="44D14F7B" w:rsidR="00A02900" w:rsidRPr="00A02900" w:rsidRDefault="006E77C1" w:rsidP="00A02900">
      <w:pPr>
        <w:spacing w:after="0" w:line="480" w:lineRule="auto"/>
        <w:ind w:firstLine="720"/>
        <w:rPr>
          <w:rFonts w:ascii="Arial" w:eastAsia="Calibri" w:hAnsi="Arial" w:cs="Times New Roman"/>
          <w:kern w:val="0"/>
          <w:szCs w:val="24"/>
          <w:lang w:val="es-419"/>
          <w14:ligatures w14:val="none"/>
        </w:rPr>
      </w:pPr>
      <w:r w:rsidRPr="006E77C1">
        <w:rPr>
          <w:rFonts w:ascii="Arial" w:eastAsia="Calibri" w:hAnsi="Arial" w:cs="Times New Roman"/>
          <w:kern w:val="0"/>
          <w:szCs w:val="24"/>
          <w:lang w:val="es-419"/>
          <w14:ligatures w14:val="none"/>
        </w:rPr>
        <w:t>Es así que</w:t>
      </w:r>
      <w:r w:rsidR="00A02900" w:rsidRPr="006E77C1">
        <w:rPr>
          <w:rFonts w:ascii="Arial" w:eastAsia="Calibri" w:hAnsi="Arial" w:cs="Times New Roman"/>
          <w:kern w:val="0"/>
          <w:szCs w:val="24"/>
          <w:lang w:val="es-419"/>
          <w14:ligatures w14:val="none"/>
        </w:rPr>
        <w:t xml:space="preserve">, </w:t>
      </w:r>
      <w:r w:rsidR="00A02900" w:rsidRPr="00A02900">
        <w:rPr>
          <w:rFonts w:ascii="Arial" w:eastAsia="Calibri" w:hAnsi="Arial" w:cs="Times New Roman"/>
          <w:kern w:val="0"/>
          <w:szCs w:val="24"/>
          <w:lang w:val="es-419"/>
          <w14:ligatures w14:val="none"/>
        </w:rPr>
        <w:t>Collante et al. (2022) complementan esta visión al demostrar que los refrigerios escolares, como componente integral del PAE, potencian notablemente los resultados educativos en Colombia. El estudio citado declara expresamente que los refrigerios bien equilibrados, además de contribuir a un mejor rendimiento académico, disminuyen el absentismo escolar y mejoran el clima en las aulas, lo que deviene en un entorno de aprendizaje más productivo.</w:t>
      </w:r>
    </w:p>
    <w:p w14:paraId="54CF7028" w14:textId="77777777"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En lo concerniente al tópico de alimentación, Acosta et al. (2021) sistematizan evidencia detallada sobre la incidencia directa de esta en el rendimiento escolar infantil inicial. Su revisión de la literatura científica establece claramente que una nutrición equilibrada y suficiente es esencial para el desarrollo cognitivo temprano, debido a que impacta, especialmente, la capacidad de concentración, atención sostenida y aprendizaje. Durán et al. (2023), en tanto, relacionan factores nutricionales con el rendimiento académico en contextos universitarios; así logran demostrar que estudiantes con dietas equilibradas presentan mejores resultados académicos en comparación con aquellos que tienen hábitos alimentarios deficientes.</w:t>
      </w:r>
    </w:p>
    <w:p w14:paraId="350E8F6A" w14:textId="77777777"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 xml:space="preserve">Por otra parte, González (2021) profundiza en cómo el estado nutricional influye directamente en el rendimiento académico general. El autor resalta que la malnutrición, tanto por déficit como por exceso, tiene consecuencias negativas sustanciales sobre el aprendizaje. Asimismo, Santos y Barros (2022) ofrecen un análisis específico sobre cómo influye la nutrición en el desempeño académico en una institución educativa particular, </w:t>
      </w:r>
      <w:r w:rsidRPr="00A02900">
        <w:rPr>
          <w:rFonts w:ascii="Arial" w:eastAsia="Calibri" w:hAnsi="Arial" w:cs="Times New Roman"/>
          <w:kern w:val="0"/>
          <w:szCs w:val="24"/>
          <w:lang w:val="es-419"/>
          <w14:ligatures w14:val="none"/>
        </w:rPr>
        <w:lastRenderedPageBreak/>
        <w:t xml:space="preserve">una propuesta a través de la cual logran demostrar mejoras significativas en rendimiento académico cuando se implementan intervenciones nutricionales específicas. </w:t>
      </w:r>
    </w:p>
    <w:p w14:paraId="0AA0AA08" w14:textId="77777777"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Para Ceme (2021), por otra parte, existe una clara relación directa entre hábitos alimenticios saludables y el desarrollo cognitivo infantil, por lo que las intervenciones tempranas para consolidar patrones de alimentación beneficiosos revisten importancia crítica. En línea con esto, Pugo y Zhinin (2020) brindan evidencia específica desde el contexto ecuatoriano que vincula hábitos nutricionales saludables con un desempeño académico significativamente superior en escolares. Huamani (2021) confirma la influencia positiva del estado nutricional adecuado en el rendimiento académico escolar específico y destaca cómo programas efectivos de alimentación generan resultados académicos consistentemente más elevados.</w:t>
      </w:r>
    </w:p>
    <w:p w14:paraId="17F276B8" w14:textId="77777777" w:rsidR="006E77C1"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 xml:space="preserve">En términos similares se expresan García y Cristina (2024), quienes examinan específicamente la relación entre nutrición y desempeño académico adolescente, y concluyen que las intervenciones nutricionales efectivas durante esta etapa crucial del desarrollo generan mejoras académicas sostenidas. Sáez y Guillermo (2022) complementan la visión referida al vincular claramente estilos de vida saludables con mejores resultados académicos universitarios. Para los autores, un estilo de vida saludable integral incluye una nutrición balanceada y actividad física regular. </w:t>
      </w:r>
    </w:p>
    <w:p w14:paraId="50A7A42F" w14:textId="7197606E" w:rsidR="00A02900" w:rsidRPr="00A02900" w:rsidRDefault="006E77C1" w:rsidP="00A02900">
      <w:pPr>
        <w:spacing w:after="0" w:line="480" w:lineRule="auto"/>
        <w:ind w:firstLine="720"/>
        <w:rPr>
          <w:rFonts w:ascii="Arial" w:eastAsia="Calibri" w:hAnsi="Arial" w:cs="Times New Roman"/>
          <w:kern w:val="0"/>
          <w:szCs w:val="24"/>
          <w:lang w:val="es-419"/>
          <w14:ligatures w14:val="none"/>
        </w:rPr>
      </w:pPr>
      <w:r w:rsidRPr="006E77C1">
        <w:rPr>
          <w:rFonts w:ascii="Arial" w:eastAsia="Calibri" w:hAnsi="Arial" w:cs="Times New Roman"/>
          <w:kern w:val="0"/>
          <w:szCs w:val="24"/>
          <w:lang w:val="es-419"/>
          <w14:ligatures w14:val="none"/>
        </w:rPr>
        <w:t>Así mismo</w:t>
      </w:r>
      <w:r w:rsidR="00A02900" w:rsidRPr="006E77C1">
        <w:rPr>
          <w:rFonts w:ascii="Arial" w:eastAsia="Calibri" w:hAnsi="Arial" w:cs="Times New Roman"/>
          <w:kern w:val="0"/>
          <w:szCs w:val="24"/>
          <w:lang w:val="es-419"/>
          <w14:ligatures w14:val="none"/>
        </w:rPr>
        <w:t xml:space="preserve">, Forero </w:t>
      </w:r>
      <w:r w:rsidR="00A02900" w:rsidRPr="00A02900">
        <w:rPr>
          <w:rFonts w:ascii="Arial" w:eastAsia="Calibri" w:hAnsi="Arial" w:cs="Times New Roman"/>
          <w:kern w:val="0"/>
          <w:szCs w:val="24"/>
          <w:lang w:val="es-419"/>
          <w14:ligatures w14:val="none"/>
        </w:rPr>
        <w:t>et al. (2023) presentan un análisis general sobre cómo hábitos alimenticios adecuados influyen positivamente en el rendimiento escolar en América Latina. Los autores señalan la necesidad de contar con políticas educativas que integren la promoción de una alimentación saludable como estrategia central para mejorar la calidad educativa.</w:t>
      </w:r>
    </w:p>
    <w:p w14:paraId="668F8D24" w14:textId="77777777" w:rsidR="006E77C1"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En lo que respecta al tópico de crecimiento y desarrollo, Merchán et al. (2024)</w:t>
      </w:r>
      <w:r w:rsidR="0095480F">
        <w:rPr>
          <w:rFonts w:ascii="Arial" w:eastAsia="Calibri" w:hAnsi="Arial" w:cs="Times New Roman"/>
          <w:kern w:val="0"/>
          <w:szCs w:val="24"/>
          <w:lang w:val="es-419"/>
          <w14:ligatures w14:val="none"/>
        </w:rPr>
        <w:t>,</w:t>
      </w:r>
      <w:r w:rsidRPr="00A02900">
        <w:rPr>
          <w:rFonts w:ascii="Arial" w:eastAsia="Calibri" w:hAnsi="Arial" w:cs="Times New Roman"/>
          <w:kern w:val="0"/>
          <w:szCs w:val="24"/>
          <w:lang w:val="es-419"/>
          <w14:ligatures w14:val="none"/>
        </w:rPr>
        <w:t xml:space="preserve"> ofrecen evidencia robusta sobre cómo la desnutrición limita el desarrollo integral infantil en América Latina. En su trabajo, identifican consecuencias específicas, como retrasos en el </w:t>
      </w:r>
      <w:r w:rsidRPr="00A02900">
        <w:rPr>
          <w:rFonts w:ascii="Arial" w:eastAsia="Calibri" w:hAnsi="Arial" w:cs="Times New Roman"/>
          <w:kern w:val="0"/>
          <w:szCs w:val="24"/>
          <w:lang w:val="es-419"/>
          <w14:ligatures w14:val="none"/>
        </w:rPr>
        <w:lastRenderedPageBreak/>
        <w:t xml:space="preserve">crecimiento físico, problemas de aprendizaje y dificultades sociales y emocionales, que afectan directamente el desempeño académico futuro. </w:t>
      </w:r>
    </w:p>
    <w:p w14:paraId="4A529084" w14:textId="5E513BD2"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6E77C1">
        <w:rPr>
          <w:rFonts w:ascii="Arial" w:eastAsia="Calibri" w:hAnsi="Arial" w:cs="Times New Roman"/>
          <w:kern w:val="0"/>
          <w:szCs w:val="24"/>
          <w:lang w:val="es-419"/>
          <w14:ligatures w14:val="none"/>
        </w:rPr>
        <w:t xml:space="preserve">Cruz et al. </w:t>
      </w:r>
      <w:r w:rsidRPr="00A02900">
        <w:rPr>
          <w:rFonts w:ascii="Arial" w:eastAsia="Calibri" w:hAnsi="Arial" w:cs="Times New Roman"/>
          <w:kern w:val="0"/>
          <w:szCs w:val="24"/>
          <w:lang w:val="es-419"/>
          <w14:ligatures w14:val="none"/>
        </w:rPr>
        <w:t>(2024)</w:t>
      </w:r>
      <w:r w:rsidR="006E77C1">
        <w:rPr>
          <w:rFonts w:ascii="Arial" w:eastAsia="Calibri" w:hAnsi="Arial" w:cs="Times New Roman"/>
          <w:kern w:val="0"/>
          <w:szCs w:val="24"/>
          <w:lang w:val="es-419"/>
          <w14:ligatures w14:val="none"/>
        </w:rPr>
        <w:t>,</w:t>
      </w:r>
      <w:r w:rsidRPr="00A02900">
        <w:rPr>
          <w:rFonts w:ascii="Arial" w:eastAsia="Calibri" w:hAnsi="Arial" w:cs="Times New Roman"/>
          <w:kern w:val="0"/>
          <w:szCs w:val="24"/>
          <w:lang w:val="es-419"/>
          <w14:ligatures w14:val="none"/>
        </w:rPr>
        <w:t xml:space="preserve"> vinculan directamente la nutrición adecuada con un desarrollo físico-cognitivo óptimo en preescolares ecuatorianos, e insisten en la importancia de programas efectivos de alimentación que contribuyan a prevenir retrasos de desarrollo y optimicen el aprendizaje temprano.</w:t>
      </w:r>
    </w:p>
    <w:p w14:paraId="5C7EF1F1" w14:textId="77777777"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Para Amaya y Agudelo (2020), la malnutrición afecta negativamente el desarrollo social infantil en Medellín y genera ciclos intergeneracionales de pobreza educativa y exclusión social. Mientras que Cortés y Pérez (2023) profundizan aún más, al analizar cómo la desnutrición crónica afecta específicamente el crecimiento físico y el desarrollo cognitivo infantil. Para estos autores, os efectos negativos persisten a largo plazo y limitan las oportunidades educativas y laborales futuras.</w:t>
      </w:r>
    </w:p>
    <w:p w14:paraId="0D148A2A" w14:textId="74A2A045" w:rsidR="00A02900" w:rsidRPr="00A02900"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Por último, en cuanto a la línea de malnutrición, Cantos (2020)</w:t>
      </w:r>
      <w:r w:rsidR="0095480F">
        <w:rPr>
          <w:rFonts w:ascii="Arial" w:eastAsia="Calibri" w:hAnsi="Arial" w:cs="Times New Roman"/>
          <w:kern w:val="0"/>
          <w:szCs w:val="24"/>
          <w:lang w:val="es-419"/>
          <w14:ligatures w14:val="none"/>
        </w:rPr>
        <w:t>,</w:t>
      </w:r>
      <w:r w:rsidRPr="00A02900">
        <w:rPr>
          <w:rFonts w:ascii="Arial" w:eastAsia="Calibri" w:hAnsi="Arial" w:cs="Times New Roman"/>
          <w:kern w:val="0"/>
          <w:szCs w:val="24"/>
          <w:lang w:val="es-419"/>
          <w14:ligatures w14:val="none"/>
        </w:rPr>
        <w:t xml:space="preserve"> in</w:t>
      </w:r>
      <w:r w:rsidR="0095480F">
        <w:rPr>
          <w:rFonts w:ascii="Arial" w:eastAsia="Calibri" w:hAnsi="Arial" w:cs="Times New Roman"/>
          <w:kern w:val="0"/>
          <w:szCs w:val="24"/>
          <w:lang w:val="es-419"/>
          <w14:ligatures w14:val="none"/>
        </w:rPr>
        <w:t xml:space="preserve">daga </w:t>
      </w:r>
      <w:r w:rsidRPr="00A02900">
        <w:rPr>
          <w:rFonts w:ascii="Arial" w:eastAsia="Calibri" w:hAnsi="Arial" w:cs="Times New Roman"/>
          <w:kern w:val="0"/>
          <w:szCs w:val="24"/>
          <w:lang w:val="es-419"/>
          <w14:ligatures w14:val="none"/>
        </w:rPr>
        <w:t>específicamente cómo la desnutrición impacta negativamente en el rendimiento escolar y explica que los estudiantes desnutridos muestran dificultades académicas notables en comparación con sus pares bien nutridos. Ticona (2021), por su parte, confirma esta relación directa entre desnutrición y bajo desempeño académico en escolares peruanos, y señala la importancia urgente de intervenciones nutricionales efectivas para revertir las consecuencias negativas caracterizadas.</w:t>
      </w:r>
    </w:p>
    <w:p w14:paraId="473C6C70" w14:textId="77777777" w:rsidR="00F06C98"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 xml:space="preserve">Asimismo, Feijoo (2020) establece claramente el vínculo entre la desnutrición temprana y el bajo rendimiento académico en preescolares, mientras que Trávez et al. (2024) confirman la influencia negativa de la desnutrición sobre el desempeño académico adolescente. </w:t>
      </w:r>
    </w:p>
    <w:p w14:paraId="3A144E6F" w14:textId="56DF152E" w:rsidR="001963DD" w:rsidRDefault="00A02900" w:rsidP="00A02900">
      <w:pPr>
        <w:spacing w:after="0" w:line="480" w:lineRule="auto"/>
        <w:ind w:firstLine="720"/>
        <w:rPr>
          <w:rFonts w:ascii="Arial" w:eastAsia="Calibri" w:hAnsi="Arial" w:cs="Times New Roman"/>
          <w:kern w:val="0"/>
          <w:szCs w:val="24"/>
          <w:lang w:val="es-419"/>
          <w14:ligatures w14:val="none"/>
        </w:rPr>
      </w:pPr>
      <w:r w:rsidRPr="00A02900">
        <w:rPr>
          <w:rFonts w:ascii="Arial" w:eastAsia="Calibri" w:hAnsi="Arial" w:cs="Times New Roman"/>
          <w:kern w:val="0"/>
          <w:szCs w:val="24"/>
          <w:lang w:val="es-419"/>
          <w14:ligatures w14:val="none"/>
        </w:rPr>
        <w:t xml:space="preserve">En complemento, Santisteban (2021) ofrece un análisis adicional a partir del cual identifica específicamente cómo la desnutrición infantil está asociada a dificultades </w:t>
      </w:r>
      <w:r w:rsidRPr="00A02900">
        <w:rPr>
          <w:rFonts w:ascii="Arial" w:eastAsia="Calibri" w:hAnsi="Arial" w:cs="Times New Roman"/>
          <w:kern w:val="0"/>
          <w:szCs w:val="24"/>
          <w:lang w:val="es-419"/>
          <w14:ligatures w14:val="none"/>
        </w:rPr>
        <w:lastRenderedPageBreak/>
        <w:t>particulares en el aprendizaje inicial, entre los que destacan problemas de atención, memoria y desarrollo lingüístico.</w:t>
      </w:r>
    </w:p>
    <w:p w14:paraId="49B8BA02" w14:textId="77777777" w:rsidR="0079118E" w:rsidRPr="0079118E" w:rsidRDefault="0079118E" w:rsidP="006C4CBB">
      <w:pPr>
        <w:spacing w:before="100" w:beforeAutospacing="1" w:after="100" w:afterAutospacing="1" w:line="480" w:lineRule="auto"/>
        <w:ind w:firstLine="708"/>
        <w:divId w:val="541555886"/>
        <w:rPr>
          <w:rFonts w:ascii="Arial" w:hAnsi="Arial" w:cs="Arial"/>
        </w:rPr>
      </w:pPr>
      <w:r w:rsidRPr="0079118E">
        <w:rPr>
          <w:rFonts w:ascii="Arial" w:hAnsi="Arial" w:cs="Arial"/>
        </w:rPr>
        <w:t>La revisión de estos estudios permite entender cómo la alimentación, en todas sus formas, influye directamente en el aprendizaje. Desde la nutrición escolar hasta los hábitos familiares, todo cuenta. Queda claro que una buena alimentación es clave para un mejor desempeño académico. Por eso, se necesitan acciones concretas desde la escuela y el hogar.</w:t>
      </w:r>
    </w:p>
    <w:p w14:paraId="7948D0C6" w14:textId="77777777" w:rsidR="00F06C98" w:rsidRDefault="00F06C98" w:rsidP="00A02900">
      <w:pPr>
        <w:spacing w:after="0" w:line="480" w:lineRule="auto"/>
        <w:ind w:firstLine="720"/>
      </w:pPr>
    </w:p>
    <w:sectPr w:rsidR="00F06C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E6"/>
    <w:rsid w:val="001963DD"/>
    <w:rsid w:val="001D46CB"/>
    <w:rsid w:val="00231E7B"/>
    <w:rsid w:val="002942DB"/>
    <w:rsid w:val="00483A6C"/>
    <w:rsid w:val="004B524D"/>
    <w:rsid w:val="004E5EA0"/>
    <w:rsid w:val="005404CE"/>
    <w:rsid w:val="005E3097"/>
    <w:rsid w:val="0061315D"/>
    <w:rsid w:val="006C4CBB"/>
    <w:rsid w:val="006E77C1"/>
    <w:rsid w:val="007242E8"/>
    <w:rsid w:val="0079118E"/>
    <w:rsid w:val="007B3834"/>
    <w:rsid w:val="0095480F"/>
    <w:rsid w:val="00A02900"/>
    <w:rsid w:val="00A46CE6"/>
    <w:rsid w:val="00DC2E9A"/>
    <w:rsid w:val="00E6618E"/>
    <w:rsid w:val="00F06C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AF03"/>
  <w15:chartTrackingRefBased/>
  <w15:docId w15:val="{711F7B9A-4AB2-43A6-8783-2E8183E8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6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46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46CE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46C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46C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46C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6C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6C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6C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6CE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46C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46CE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46CE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46CE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46C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6C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6C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6CE6"/>
    <w:rPr>
      <w:rFonts w:eastAsiaTheme="majorEastAsia" w:cstheme="majorBidi"/>
      <w:color w:val="272727" w:themeColor="text1" w:themeTint="D8"/>
    </w:rPr>
  </w:style>
  <w:style w:type="paragraph" w:styleId="Ttulo">
    <w:name w:val="Title"/>
    <w:basedOn w:val="Normal"/>
    <w:next w:val="Normal"/>
    <w:link w:val="TtuloCar"/>
    <w:uiPriority w:val="10"/>
    <w:qFormat/>
    <w:rsid w:val="00A46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6C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6C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6C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6CE6"/>
    <w:pPr>
      <w:spacing w:before="160"/>
      <w:jc w:val="center"/>
    </w:pPr>
    <w:rPr>
      <w:i/>
      <w:iCs/>
      <w:color w:val="404040" w:themeColor="text1" w:themeTint="BF"/>
    </w:rPr>
  </w:style>
  <w:style w:type="character" w:customStyle="1" w:styleId="CitaCar">
    <w:name w:val="Cita Car"/>
    <w:basedOn w:val="Fuentedeprrafopredeter"/>
    <w:link w:val="Cita"/>
    <w:uiPriority w:val="29"/>
    <w:rsid w:val="00A46CE6"/>
    <w:rPr>
      <w:i/>
      <w:iCs/>
      <w:color w:val="404040" w:themeColor="text1" w:themeTint="BF"/>
    </w:rPr>
  </w:style>
  <w:style w:type="paragraph" w:styleId="Prrafodelista">
    <w:name w:val="List Paragraph"/>
    <w:basedOn w:val="Normal"/>
    <w:uiPriority w:val="34"/>
    <w:qFormat/>
    <w:rsid w:val="00A46CE6"/>
    <w:pPr>
      <w:ind w:left="720"/>
      <w:contextualSpacing/>
    </w:pPr>
  </w:style>
  <w:style w:type="character" w:styleId="nfasisintenso">
    <w:name w:val="Intense Emphasis"/>
    <w:basedOn w:val="Fuentedeprrafopredeter"/>
    <w:uiPriority w:val="21"/>
    <w:qFormat/>
    <w:rsid w:val="00A46CE6"/>
    <w:rPr>
      <w:i/>
      <w:iCs/>
      <w:color w:val="2F5496" w:themeColor="accent1" w:themeShade="BF"/>
    </w:rPr>
  </w:style>
  <w:style w:type="paragraph" w:styleId="Citadestacada">
    <w:name w:val="Intense Quote"/>
    <w:basedOn w:val="Normal"/>
    <w:next w:val="Normal"/>
    <w:link w:val="CitadestacadaCar"/>
    <w:uiPriority w:val="30"/>
    <w:qFormat/>
    <w:rsid w:val="00A46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46CE6"/>
    <w:rPr>
      <w:i/>
      <w:iCs/>
      <w:color w:val="2F5496" w:themeColor="accent1" w:themeShade="BF"/>
    </w:rPr>
  </w:style>
  <w:style w:type="character" w:styleId="Referenciaintensa">
    <w:name w:val="Intense Reference"/>
    <w:basedOn w:val="Fuentedeprrafopredeter"/>
    <w:uiPriority w:val="32"/>
    <w:qFormat/>
    <w:rsid w:val="00A46CE6"/>
    <w:rPr>
      <w:b/>
      <w:bCs/>
      <w:smallCaps/>
      <w:color w:val="2F5496" w:themeColor="accent1" w:themeShade="BF"/>
      <w:spacing w:val="5"/>
    </w:rPr>
  </w:style>
  <w:style w:type="paragraph" w:customStyle="1" w:styleId="Autores">
    <w:name w:val="Autores"/>
    <w:basedOn w:val="Normal"/>
    <w:qFormat/>
    <w:rsid w:val="00A46CE6"/>
    <w:pPr>
      <w:spacing w:after="0" w:line="480" w:lineRule="auto"/>
      <w:jc w:val="center"/>
    </w:pPr>
    <w:rPr>
      <w:rFonts w:ascii="Arial" w:hAnsi="Arial"/>
      <w:kern w:val="0"/>
      <w:szCs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555886">
      <w:bodyDiv w:val="1"/>
      <w:marLeft w:val="0"/>
      <w:marRight w:val="0"/>
      <w:marTop w:val="0"/>
      <w:marBottom w:val="0"/>
      <w:divBdr>
        <w:top w:val="none" w:sz="0" w:space="0" w:color="auto"/>
        <w:left w:val="none" w:sz="0" w:space="0" w:color="auto"/>
        <w:bottom w:val="none" w:sz="0" w:space="0" w:color="auto"/>
        <w:right w:val="none" w:sz="0" w:space="0" w:color="auto"/>
      </w:divBdr>
    </w:div>
    <w:div w:id="125751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D555-4F04-8219-A24A6D4BF034}"/>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1CF3-400C-97E6-83D5F654760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AEF5-4F9B-8845-C056DDCF24E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B390-4AA9-86DA-81486F6C7408}"/>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s>
</file>

<file path=customXml/itemProps1.xml><?xml version="1.0" encoding="utf-8"?>
<ds:datastoreItem xmlns:ds="http://schemas.openxmlformats.org/officeDocument/2006/customXml" ds:itemID="{C561DDFF-D42D-4F35-86E4-7A24DEFFDF8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18</Pages>
  <Words>4466</Words>
  <Characters>24565</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Paula Andrea Caraballo Artunduaga</cp:lastModifiedBy>
  <cp:revision>7</cp:revision>
  <cp:lastPrinted>2025-04-03T22:31:00Z</cp:lastPrinted>
  <dcterms:created xsi:type="dcterms:W3CDTF">2025-04-07T22:50:00Z</dcterms:created>
  <dcterms:modified xsi:type="dcterms:W3CDTF">2025-04-08T13:30:00Z</dcterms:modified>
</cp:coreProperties>
</file>