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8FE5" w14:textId="77777777" w:rsidR="00A46CE6" w:rsidRPr="00873809" w:rsidRDefault="00A46CE6" w:rsidP="00A46CE6">
      <w:pPr>
        <w:pStyle w:val="Autores"/>
        <w:rPr>
          <w:rFonts w:eastAsiaTheme="majorEastAsia" w:cstheme="majorBidi"/>
          <w:b/>
          <w:bCs/>
          <w:szCs w:val="32"/>
          <w:lang w:val="es-419"/>
        </w:rPr>
      </w:pPr>
      <w:r w:rsidRPr="00873809">
        <w:rPr>
          <w:rFonts w:eastAsiaTheme="majorEastAsia" w:cstheme="majorBidi"/>
          <w:b/>
          <w:bCs/>
          <w:szCs w:val="32"/>
          <w:lang w:val="es-419"/>
        </w:rPr>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78C28A4D" w14:textId="77777777" w:rsidR="00A46CE6" w:rsidRPr="00A46CE6" w:rsidRDefault="00A46CE6" w:rsidP="00A46CE6">
      <w:pPr>
        <w:keepNext/>
        <w:keepLines/>
        <w:spacing w:after="0" w:line="480" w:lineRule="auto"/>
        <w:jc w:val="center"/>
        <w:outlineLvl w:val="0"/>
        <w:rPr>
          <w:rFonts w:ascii="Arial" w:eastAsia="Times New Roman" w:hAnsi="Arial" w:cs="Times New Roman"/>
          <w:b/>
          <w:kern w:val="0"/>
          <w:szCs w:val="32"/>
          <w:lang w:val="es-ES"/>
          <w14:ligatures w14:val="none"/>
        </w:rPr>
      </w:pPr>
      <w:r w:rsidRPr="00A46CE6">
        <w:rPr>
          <w:rFonts w:ascii="Arial" w:eastAsia="Times New Roman" w:hAnsi="Arial" w:cs="Times New Roman"/>
          <w:b/>
          <w:kern w:val="0"/>
          <w:szCs w:val="32"/>
          <w:lang w:val="es-ES"/>
          <w14:ligatures w14:val="none"/>
        </w:rPr>
        <w:t>Metodología</w:t>
      </w:r>
    </w:p>
    <w:p w14:paraId="5A40A535"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abordaran los factores nutricionales incidentes en la función cognitiva y, por ende, en el rendimiento académico estudiantil. Para tal efecto, se consultaron bases de datos reconocidas y especializadas como Dialnet, Scielo y Google Académico, además de repositorios institucionales, siguiendo las recomendaciones metodológicas de Higgins et al. </w:t>
      </w:r>
      <w:sdt>
        <w:sdtPr>
          <w:rPr>
            <w:rFonts w:ascii="Arial" w:eastAsia="Calibri" w:hAnsi="Arial" w:cs="Times New Roman"/>
            <w:kern w:val="0"/>
            <w:szCs w:val="24"/>
            <w:lang w:val="es-419"/>
            <w14:ligatures w14:val="none"/>
          </w:rPr>
          <w:id w:val="-1076511798"/>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Hig22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(2022)</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 xml:space="preserve"> para garantizar rigor en la selección y análisis de los documentos. Se utilizaron como predictores clave de búsqueda las palabras “nutrición”, “rendimiento académico” y “aprendizaje” (KEY: “</w:t>
      </w:r>
      <w:proofErr w:type="gramStart"/>
      <w:r w:rsidRPr="00A46CE6">
        <w:rPr>
          <w:rFonts w:ascii="Arial" w:eastAsia="Calibri" w:hAnsi="Arial" w:cs="Times New Roman"/>
          <w:kern w:val="0"/>
          <w:szCs w:val="24"/>
          <w:lang w:val="es-419"/>
          <w14:ligatures w14:val="none"/>
        </w:rPr>
        <w:t>NUTRICIÓN”+</w:t>
      </w:r>
      <w:proofErr w:type="gramEnd"/>
      <w:r w:rsidRPr="00A46CE6">
        <w:rPr>
          <w:rFonts w:ascii="Arial" w:eastAsia="Calibri" w:hAnsi="Arial" w:cs="Times New Roman"/>
          <w:kern w:val="0"/>
          <w:szCs w:val="24"/>
          <w:lang w:val="es-419"/>
          <w14:ligatures w14:val="none"/>
        </w:rPr>
        <w:t xml:space="preserve">“RENDIMIENTO ACADÉMICO”+“APRENDIZAJE”), conforme a la propuesta metodológica para revisiones temáticas planteada por </w:t>
      </w:r>
      <w:proofErr w:type="spellStart"/>
      <w:r w:rsidRPr="00A46CE6">
        <w:rPr>
          <w:rFonts w:ascii="Arial" w:eastAsia="Calibri" w:hAnsi="Arial" w:cs="Times New Roman"/>
          <w:kern w:val="0"/>
          <w:szCs w:val="24"/>
          <w:lang w:val="es-419"/>
          <w14:ligatures w14:val="none"/>
        </w:rPr>
        <w:t>Petticrew</w:t>
      </w:r>
      <w:proofErr w:type="spellEnd"/>
      <w:r w:rsidRPr="00A46CE6">
        <w:rPr>
          <w:rFonts w:ascii="Arial" w:eastAsia="Calibri" w:hAnsi="Arial" w:cs="Times New Roman"/>
          <w:kern w:val="0"/>
          <w:szCs w:val="24"/>
          <w:lang w:val="es-419"/>
          <w14:ligatures w14:val="none"/>
        </w:rPr>
        <w:t xml:space="preserve"> y Roberts </w:t>
      </w:r>
      <w:sdt>
        <w:sdtPr>
          <w:rPr>
            <w:rFonts w:ascii="Arial" w:eastAsia="Calibri" w:hAnsi="Arial" w:cs="Times New Roman"/>
            <w:kern w:val="0"/>
            <w:szCs w:val="24"/>
            <w:lang w:val="es-419"/>
            <w14:ligatures w14:val="none"/>
          </w:rPr>
          <w:id w:val="278375337"/>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Pet21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w:t>
      </w:r>
    </w:p>
    <w:p w14:paraId="7D0EB831"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Inicialmente, se aplicó un primer filtro general basado en títulos, resúmenes y relevancia temática directa, en el marco de la propuesta de </w:t>
      </w:r>
      <w:proofErr w:type="spellStart"/>
      <w:r w:rsidRPr="00A46CE6">
        <w:rPr>
          <w:rFonts w:ascii="Arial" w:eastAsia="Calibri" w:hAnsi="Arial" w:cs="Times New Roman"/>
          <w:kern w:val="0"/>
          <w:szCs w:val="24"/>
          <w:lang w:val="es-419"/>
          <w14:ligatures w14:val="none"/>
        </w:rPr>
        <w:t>Snyder</w:t>
      </w:r>
      <w:proofErr w:type="spellEnd"/>
      <w:r w:rsidRPr="00A46CE6">
        <w:rPr>
          <w:rFonts w:ascii="Arial" w:eastAsia="Calibri" w:hAnsi="Arial" w:cs="Times New Roman"/>
          <w:kern w:val="0"/>
          <w:szCs w:val="24"/>
          <w:lang w:val="es-419"/>
          <w14:ligatures w14:val="none"/>
        </w:rPr>
        <w:t xml:space="preserve"> </w:t>
      </w:r>
      <w:sdt>
        <w:sdtPr>
          <w:rPr>
            <w:rFonts w:ascii="Arial" w:eastAsia="Calibri" w:hAnsi="Arial" w:cs="Times New Roman"/>
            <w:kern w:val="0"/>
            <w:szCs w:val="24"/>
            <w:lang w:val="es-419"/>
            <w14:ligatures w14:val="none"/>
          </w:rPr>
          <w:id w:val="-37668511"/>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Sny20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(2020)</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 xml:space="preserve"> para revisiones narrativas. Posteriormente, se establecieron criterios de inclusión específicos: enfoque explícito sobre factores nutricionales relacionados directamente con la cognición o rendimiento académica y que las poblaciones estudiadas fueran claramente identificadas como estudiantes en contextos educativos. Tras aplicar estos filtros metodológicos, se aisló una data compuesta por cincuenta (50) documentos, predominando la tipología de artículos científicos, revisiones sistemáticas y metaanálisis.</w:t>
      </w:r>
    </w:p>
    <w:p w14:paraId="38BD3D1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La agrupación de los datos recabados se llevó a cabo mediante un análisis temático minucioso en el cual se siguieron las orientaciones de por Braun y Clarke </w:t>
      </w:r>
      <w:sdt>
        <w:sdtPr>
          <w:rPr>
            <w:rFonts w:ascii="Arial" w:eastAsia="Calibri" w:hAnsi="Arial" w:cs="Times New Roman"/>
            <w:kern w:val="0"/>
            <w:szCs w:val="24"/>
            <w:lang w:val="es-419"/>
            <w14:ligatures w14:val="none"/>
          </w:rPr>
          <w:id w:val="596843122"/>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Bra21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 xml:space="preserve">; </w:t>
      </w:r>
      <w:r w:rsidRPr="00A46CE6">
        <w:rPr>
          <w:rFonts w:ascii="Arial" w:eastAsia="Calibri" w:hAnsi="Arial" w:cs="Times New Roman"/>
          <w:kern w:val="0"/>
          <w:szCs w:val="24"/>
          <w:lang w:val="es-419"/>
          <w14:ligatures w14:val="none"/>
        </w:rPr>
        <w:lastRenderedPageBreak/>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w:t>
      </w:r>
      <w:proofErr w:type="spellStart"/>
      <w:r w:rsidRPr="00A46CE6">
        <w:rPr>
          <w:rFonts w:ascii="Arial" w:eastAsia="Calibri" w:hAnsi="Arial" w:cs="Times New Roman"/>
          <w:kern w:val="0"/>
          <w:szCs w:val="24"/>
          <w:lang w:val="es-419"/>
          <w14:ligatures w14:val="none"/>
        </w:rPr>
        <w:t>Torraco</w:t>
      </w:r>
      <w:proofErr w:type="spellEnd"/>
      <w:r w:rsidRPr="00A46CE6">
        <w:rPr>
          <w:rFonts w:ascii="Arial" w:eastAsia="Calibri" w:hAnsi="Arial" w:cs="Times New Roman"/>
          <w:kern w:val="0"/>
          <w:szCs w:val="24"/>
          <w:lang w:val="es-419"/>
          <w14:ligatures w14:val="none"/>
        </w:rPr>
        <w:t xml:space="preserve"> </w:t>
      </w:r>
      <w:sdt>
        <w:sdtPr>
          <w:rPr>
            <w:rFonts w:ascii="Arial" w:eastAsia="Calibri" w:hAnsi="Arial" w:cs="Times New Roman"/>
            <w:kern w:val="0"/>
            <w:szCs w:val="24"/>
            <w:lang w:val="es-419"/>
            <w14:ligatures w14:val="none"/>
          </w:rPr>
          <w:id w:val="-425807818"/>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Tor213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w:t>
      </w:r>
    </w:p>
    <w:p w14:paraId="4EDE718D" w14:textId="77777777" w:rsidR="00A46CE6" w:rsidRPr="00A46CE6" w:rsidRDefault="00A46CE6" w:rsidP="00A46CE6">
      <w:pPr>
        <w:keepNext/>
        <w:keepLines/>
        <w:spacing w:after="0" w:line="480" w:lineRule="auto"/>
        <w:jc w:val="center"/>
        <w:outlineLvl w:val="0"/>
        <w:rPr>
          <w:rFonts w:ascii="Arial" w:eastAsia="Times New Roman" w:hAnsi="Arial" w:cs="Times New Roman"/>
          <w:b/>
          <w:kern w:val="0"/>
          <w:szCs w:val="32"/>
          <w:lang w:val="es-ES"/>
          <w14:ligatures w14:val="none"/>
        </w:rPr>
      </w:pPr>
      <w:r w:rsidRPr="00A46CE6">
        <w:rPr>
          <w:rFonts w:ascii="Arial" w:eastAsia="Times New Roman" w:hAnsi="Arial" w:cs="Times New Roman"/>
          <w:b/>
          <w:kern w:val="0"/>
          <w:szCs w:val="32"/>
          <w:lang w:val="es-ES"/>
          <w14:ligatures w14:val="none"/>
        </w:rPr>
        <w:t>Resultados</w:t>
      </w:r>
    </w:p>
    <w:p w14:paraId="46B71D44" w14:textId="77777777" w:rsidR="00A46CE6" w:rsidRPr="00A46CE6" w:rsidRDefault="00A46CE6" w:rsidP="00A46CE6">
      <w:pPr>
        <w:spacing w:after="0" w:line="480" w:lineRule="auto"/>
        <w:rPr>
          <w:rFonts w:ascii="Arial" w:eastAsia="Calibri" w:hAnsi="Arial" w:cs="Times New Roman"/>
          <w:kern w:val="0"/>
          <w:szCs w:val="24"/>
          <w:lang w:val="es-ES"/>
          <w14:ligatures w14:val="none"/>
        </w:rPr>
      </w:pPr>
      <w:r w:rsidRPr="00A46CE6">
        <w:rPr>
          <w:rFonts w:ascii="Arial" w:eastAsia="Calibri" w:hAnsi="Arial" w:cs="Times New Roman"/>
          <w:kern w:val="0"/>
          <w:szCs w:val="24"/>
          <w:lang w:val="es-419"/>
          <w14:ligatures w14:val="none"/>
        </w:rPr>
        <w:t xml:space="preserve">La revisión sistemática realizada permitió identificar trabajos </w:t>
      </w:r>
      <w:r w:rsidRPr="00A46CE6">
        <w:rPr>
          <w:rFonts w:ascii="Arial" w:eastAsia="Calibri" w:hAnsi="Arial" w:cs="Times New Roman"/>
          <w:kern w:val="0"/>
          <w:szCs w:val="24"/>
          <w:lang w:val="es-ES"/>
          <w14:ligatures w14:val="none"/>
        </w:rPr>
        <w:t xml:space="preserve">altamente trascendentes y representativos de la temática abordada. Su consideración constituye un aporte fundamental para futuras intervenciones educativas y nutricionales destinadas a optimizar el desempeño académico, especialmente en escenarios socioeconómicos en los que la vulnerabilidad es una realidad. Las propuestas, cuyos detalles se describen a continuación </w:t>
      </w:r>
      <w:r w:rsidRPr="00A46CE6">
        <w:rPr>
          <w:rFonts w:ascii="Arial" w:eastAsia="Calibri" w:hAnsi="Arial" w:cs="Arial"/>
          <w:kern w:val="0"/>
          <w:szCs w:val="24"/>
          <w:lang w:val="es-ES"/>
          <w14:ligatures w14:val="none"/>
        </w:rPr>
        <w:t>—</w:t>
      </w:r>
      <w:r w:rsidRPr="00A46CE6">
        <w:rPr>
          <w:rFonts w:ascii="Arial" w:eastAsia="Calibri" w:hAnsi="Arial" w:cs="Times New Roman"/>
          <w:kern w:val="0"/>
          <w:szCs w:val="24"/>
          <w:lang w:val="es-ES"/>
          <w14:ligatures w14:val="none"/>
        </w:rPr>
        <w:t>primero de manera general y después de modo particular</w:t>
      </w:r>
      <w:r w:rsidRPr="00A46CE6">
        <w:rPr>
          <w:rFonts w:ascii="Arial" w:eastAsia="Calibri" w:hAnsi="Arial" w:cs="Arial"/>
          <w:kern w:val="0"/>
          <w:szCs w:val="24"/>
          <w:lang w:val="es-ES"/>
          <w14:ligatures w14:val="none"/>
        </w:rPr>
        <w:t>—</w:t>
      </w:r>
      <w:r w:rsidRPr="00A46CE6">
        <w:rPr>
          <w:rFonts w:ascii="Arial" w:eastAsia="Calibri" w:hAnsi="Arial" w:cs="Times New Roman"/>
          <w:kern w:val="0"/>
          <w:szCs w:val="24"/>
          <w:lang w:val="es-ES"/>
          <w14:ligatures w14:val="none"/>
        </w:rPr>
        <w:t xml:space="preserve">, destacan la necesidad imperiosa de establecer políticas integrales en materia de nutrición escolar como prioridad educativa y social. </w:t>
      </w:r>
    </w:p>
    <w:p w14:paraId="79EA9AE2" w14:textId="77777777" w:rsidR="00A46CE6" w:rsidRPr="00A46CE6" w:rsidRDefault="00A46CE6" w:rsidP="00A46CE6">
      <w:pPr>
        <w:spacing w:after="0" w:line="480" w:lineRule="auto"/>
        <w:rPr>
          <w:rFonts w:ascii="Arial" w:eastAsia="Calibri" w:hAnsi="Arial" w:cs="Times New Roman"/>
          <w:kern w:val="0"/>
          <w:szCs w:val="24"/>
          <w:lang w:val="es-ES"/>
          <w14:ligatures w14:val="none"/>
        </w:rPr>
      </w:pPr>
    </w:p>
    <w:p w14:paraId="3844C07F" w14:textId="77777777" w:rsidR="00A46CE6" w:rsidRPr="00A46CE6" w:rsidRDefault="00A46CE6" w:rsidP="00A46CE6">
      <w:pPr>
        <w:spacing w:after="0" w:line="480" w:lineRule="auto"/>
        <w:rPr>
          <w:rFonts w:ascii="Arial" w:eastAsia="Calibri" w:hAnsi="Arial" w:cs="Times New Roman"/>
          <w:b/>
          <w:bCs/>
          <w:kern w:val="0"/>
          <w:szCs w:val="24"/>
          <w:lang w:val="es-ES"/>
          <w14:ligatures w14:val="none"/>
        </w:rPr>
      </w:pPr>
      <w:r w:rsidRPr="00A46CE6">
        <w:rPr>
          <w:rFonts w:ascii="Arial" w:eastAsia="Calibri" w:hAnsi="Arial" w:cs="Times New Roman"/>
          <w:b/>
          <w:bCs/>
          <w:kern w:val="0"/>
          <w:szCs w:val="24"/>
          <w:lang w:val="es-ES"/>
          <w14:ligatures w14:val="none"/>
        </w:rPr>
        <w:t>Resultados generales</w:t>
      </w:r>
    </w:p>
    <w:p w14:paraId="40998D4C"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Los datos reseñados seguidamente permiten tener una visión general de las características bibliométricas de los estudios considerados. En lo que respecta a su rango temporal, la mayoría de los estudios catalogados (24%) fueron publicados en 2024, lo que da cuenta de un vigente interés investigativo en la temática abordada (ver Figura 1). </w:t>
      </w:r>
    </w:p>
    <w:p w14:paraId="5DCE692F" w14:textId="77777777" w:rsidR="00A46CE6" w:rsidRDefault="00A46CE6" w:rsidP="00A46CE6">
      <w:pPr>
        <w:spacing w:after="0" w:line="480" w:lineRule="auto"/>
        <w:rPr>
          <w:rFonts w:ascii="Arial" w:eastAsia="Calibri" w:hAnsi="Arial" w:cs="Times New Roman"/>
          <w:kern w:val="0"/>
          <w:szCs w:val="24"/>
          <w:lang w:val="es-419"/>
          <w14:ligatures w14:val="none"/>
        </w:rPr>
      </w:pPr>
    </w:p>
    <w:p w14:paraId="6602362A" w14:textId="77777777" w:rsidR="00A46CE6" w:rsidRDefault="00A46CE6" w:rsidP="00A46CE6">
      <w:pPr>
        <w:spacing w:after="0" w:line="480" w:lineRule="auto"/>
        <w:rPr>
          <w:rFonts w:ascii="Arial" w:eastAsia="Calibri" w:hAnsi="Arial" w:cs="Times New Roman"/>
          <w:kern w:val="0"/>
          <w:szCs w:val="24"/>
          <w:lang w:val="es-419"/>
          <w14:ligatures w14:val="none"/>
        </w:rPr>
      </w:pPr>
    </w:p>
    <w:p w14:paraId="51110EB8" w14:textId="77777777" w:rsidR="00A46CE6" w:rsidRDefault="00A46CE6" w:rsidP="00A46CE6">
      <w:pPr>
        <w:spacing w:after="0" w:line="480" w:lineRule="auto"/>
        <w:rPr>
          <w:rFonts w:ascii="Arial" w:eastAsia="Calibri" w:hAnsi="Arial" w:cs="Times New Roman"/>
          <w:kern w:val="0"/>
          <w:szCs w:val="24"/>
          <w:lang w:val="es-419"/>
          <w14:ligatures w14:val="none"/>
        </w:rPr>
      </w:pPr>
    </w:p>
    <w:p w14:paraId="2C249C61" w14:textId="77777777" w:rsidR="00A46CE6" w:rsidRDefault="00A46CE6" w:rsidP="00A46CE6">
      <w:pPr>
        <w:spacing w:after="0" w:line="480" w:lineRule="auto"/>
        <w:rPr>
          <w:rFonts w:ascii="Arial" w:eastAsia="Calibri" w:hAnsi="Arial" w:cs="Times New Roman"/>
          <w:kern w:val="0"/>
          <w:szCs w:val="24"/>
          <w:lang w:val="es-419"/>
          <w14:ligatures w14:val="none"/>
        </w:rPr>
      </w:pPr>
    </w:p>
    <w:p w14:paraId="18DE8118" w14:textId="77777777" w:rsidR="00A46CE6" w:rsidRDefault="00A46CE6" w:rsidP="00A46CE6">
      <w:pPr>
        <w:spacing w:after="0" w:line="480" w:lineRule="auto"/>
        <w:rPr>
          <w:rFonts w:ascii="Arial" w:eastAsia="Calibri" w:hAnsi="Arial" w:cs="Times New Roman"/>
          <w:kern w:val="0"/>
          <w:szCs w:val="24"/>
          <w:lang w:val="es-419"/>
          <w14:ligatures w14:val="none"/>
        </w:rPr>
      </w:pPr>
    </w:p>
    <w:p w14:paraId="69D00B73"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52A62257"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lastRenderedPageBreak/>
        <w:t>Figura</w:t>
      </w:r>
      <w:proofErr w:type="spellEnd"/>
      <w:r w:rsidRPr="00A46CE6">
        <w:rPr>
          <w:rFonts w:ascii="Arial" w:eastAsia="Calibri" w:hAnsi="Arial" w:cs="Times New Roman"/>
          <w:b/>
          <w:kern w:val="0"/>
          <w:szCs w:val="24"/>
          <w:lang w:val="en-US"/>
          <w14:ligatures w14:val="none"/>
        </w:rPr>
        <w:t xml:space="preserve"> 1</w:t>
      </w:r>
    </w:p>
    <w:p w14:paraId="4A803D85" w14:textId="77777777" w:rsidR="00A46CE6" w:rsidRPr="00A46CE6" w:rsidRDefault="00A46CE6" w:rsidP="00A46CE6">
      <w:pPr>
        <w:spacing w:after="0" w:line="480" w:lineRule="auto"/>
        <w:rPr>
          <w:rFonts w:ascii="Arial" w:eastAsia="Calibri" w:hAnsi="Arial" w:cs="Times New Roman"/>
          <w:i/>
          <w:kern w:val="0"/>
          <w:szCs w:val="24"/>
          <w:lang w:val="en-US"/>
          <w14:ligatures w14:val="none"/>
        </w:rPr>
      </w:pPr>
      <w:proofErr w:type="spellStart"/>
      <w:r w:rsidRPr="00A46CE6">
        <w:rPr>
          <w:rFonts w:ascii="Arial" w:eastAsia="Calibri" w:hAnsi="Arial" w:cs="Times New Roman"/>
          <w:i/>
          <w:kern w:val="0"/>
          <w:szCs w:val="24"/>
          <w:lang w:val="en-US"/>
          <w14:ligatures w14:val="none"/>
        </w:rPr>
        <w:t>Cantidad</w:t>
      </w:r>
      <w:proofErr w:type="spellEnd"/>
      <w:r w:rsidRPr="00A46CE6">
        <w:rPr>
          <w:rFonts w:ascii="Arial" w:eastAsia="Calibri" w:hAnsi="Arial" w:cs="Times New Roman"/>
          <w:i/>
          <w:kern w:val="0"/>
          <w:szCs w:val="24"/>
          <w:lang w:val="en-US"/>
          <w14:ligatures w14:val="none"/>
        </w:rPr>
        <w:t xml:space="preserve"> de </w:t>
      </w:r>
      <w:proofErr w:type="spellStart"/>
      <w:r w:rsidRPr="00A46CE6">
        <w:rPr>
          <w:rFonts w:ascii="Arial" w:eastAsia="Calibri" w:hAnsi="Arial" w:cs="Times New Roman"/>
          <w:i/>
          <w:kern w:val="0"/>
          <w:szCs w:val="24"/>
          <w:lang w:val="en-US"/>
          <w14:ligatures w14:val="none"/>
        </w:rPr>
        <w:t>trabajos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publicados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por</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año</w:t>
      </w:r>
      <w:proofErr w:type="spellEnd"/>
    </w:p>
    <w:p w14:paraId="34C4EFF5"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6756255D" wp14:editId="6EE4409E">
            <wp:extent cx="5928360" cy="2419773"/>
            <wp:effectExtent l="0" t="0" r="15240" b="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Pr="00A46CE6">
        <w:rPr>
          <w:rFonts w:ascii="Arial" w:eastAsia="Calibri" w:hAnsi="Arial" w:cs="Times New Roman"/>
          <w:kern w:val="0"/>
          <w:szCs w:val="24"/>
          <w:lang w:val="es-419"/>
          <w14:ligatures w14:val="none"/>
        </w:rPr>
        <w:t xml:space="preserve">  </w:t>
      </w:r>
    </w:p>
    <w:p w14:paraId="02365F47"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7AF1CF07"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Por otro lado, en cuanto a su procedencia, los trabajos fueron aislados, principalmente en la base de datos Google Académico (58%), como se aprecia en la Figura 2. Otras fuentes de contribución importantes fueron los repositorios institucionales y las bases de datos de indexación Scielo y Dialnet. </w:t>
      </w:r>
    </w:p>
    <w:p w14:paraId="29A02E2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512E5A7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AC1725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22EE3A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79055AA0"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01988FF"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7EE5A98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159CCB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B37264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090687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4E0DA65"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0116E988"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lastRenderedPageBreak/>
        <w:t>Figura</w:t>
      </w:r>
      <w:proofErr w:type="spellEnd"/>
      <w:r w:rsidRPr="00A46CE6">
        <w:rPr>
          <w:rFonts w:ascii="Arial" w:eastAsia="Calibri" w:hAnsi="Arial" w:cs="Times New Roman"/>
          <w:b/>
          <w:kern w:val="0"/>
          <w:szCs w:val="24"/>
          <w:lang w:val="en-US"/>
          <w14:ligatures w14:val="none"/>
        </w:rPr>
        <w:t xml:space="preserve"> 2</w:t>
      </w:r>
    </w:p>
    <w:p w14:paraId="6709C0B3" w14:textId="77777777" w:rsidR="00A46CE6" w:rsidRPr="00A46CE6" w:rsidRDefault="00A46CE6" w:rsidP="00A46CE6">
      <w:pPr>
        <w:spacing w:after="240" w:line="480" w:lineRule="auto"/>
        <w:rPr>
          <w:rFonts w:ascii="Arial" w:eastAsia="Calibri" w:hAnsi="Arial" w:cs="Times New Roman"/>
          <w:i/>
          <w:kern w:val="0"/>
          <w:szCs w:val="24"/>
          <w:lang w:val="en-US"/>
          <w14:ligatures w14:val="none"/>
        </w:rPr>
      </w:pPr>
      <w:proofErr w:type="spellStart"/>
      <w:r w:rsidRPr="00A46CE6">
        <w:rPr>
          <w:rFonts w:ascii="Arial" w:eastAsia="Calibri" w:hAnsi="Arial" w:cs="Times New Roman"/>
          <w:i/>
          <w:kern w:val="0"/>
          <w:szCs w:val="24"/>
          <w:lang w:val="en-US"/>
          <w14:ligatures w14:val="none"/>
        </w:rPr>
        <w:t>Cantidad</w:t>
      </w:r>
      <w:proofErr w:type="spellEnd"/>
      <w:r w:rsidRPr="00A46CE6">
        <w:rPr>
          <w:rFonts w:ascii="Arial" w:eastAsia="Calibri" w:hAnsi="Arial" w:cs="Times New Roman"/>
          <w:i/>
          <w:kern w:val="0"/>
          <w:szCs w:val="24"/>
          <w:lang w:val="en-US"/>
          <w14:ligatures w14:val="none"/>
        </w:rPr>
        <w:t xml:space="preserve"> de </w:t>
      </w:r>
      <w:proofErr w:type="spellStart"/>
      <w:r w:rsidRPr="00A46CE6">
        <w:rPr>
          <w:rFonts w:ascii="Arial" w:eastAsia="Calibri" w:hAnsi="Arial" w:cs="Times New Roman"/>
          <w:i/>
          <w:kern w:val="0"/>
          <w:szCs w:val="24"/>
          <w:lang w:val="en-US"/>
          <w14:ligatures w14:val="none"/>
        </w:rPr>
        <w:t>trabajos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por</w:t>
      </w:r>
      <w:proofErr w:type="spellEnd"/>
      <w:r w:rsidRPr="00A46CE6">
        <w:rPr>
          <w:rFonts w:ascii="Arial" w:eastAsia="Calibri" w:hAnsi="Arial" w:cs="Times New Roman"/>
          <w:i/>
          <w:kern w:val="0"/>
          <w:szCs w:val="24"/>
          <w:lang w:val="en-US"/>
          <w14:ligatures w14:val="none"/>
        </w:rPr>
        <w:t xml:space="preserve"> base de </w:t>
      </w:r>
      <w:proofErr w:type="spellStart"/>
      <w:r w:rsidRPr="00A46CE6">
        <w:rPr>
          <w:rFonts w:ascii="Arial" w:eastAsia="Calibri" w:hAnsi="Arial" w:cs="Times New Roman"/>
          <w:i/>
          <w:kern w:val="0"/>
          <w:szCs w:val="24"/>
          <w:lang w:val="en-US"/>
          <w14:ligatures w14:val="none"/>
        </w:rPr>
        <w:t>dato</w:t>
      </w:r>
      <w:proofErr w:type="spellEnd"/>
      <w:r w:rsidRPr="00A46CE6">
        <w:rPr>
          <w:rFonts w:ascii="Arial" w:eastAsia="Calibri" w:hAnsi="Arial" w:cs="Times New Roman"/>
          <w:i/>
          <w:kern w:val="0"/>
          <w:szCs w:val="24"/>
          <w:lang w:val="en-US"/>
          <w14:ligatures w14:val="none"/>
        </w:rPr>
        <w:t xml:space="preserve"> de </w:t>
      </w:r>
      <w:proofErr w:type="spellStart"/>
      <w:r w:rsidRPr="00A46CE6">
        <w:rPr>
          <w:rFonts w:ascii="Arial" w:eastAsia="Calibri" w:hAnsi="Arial" w:cs="Times New Roman"/>
          <w:i/>
          <w:kern w:val="0"/>
          <w:szCs w:val="24"/>
          <w:lang w:val="en-US"/>
          <w14:ligatures w14:val="none"/>
        </w:rPr>
        <w:t>aislamiento</w:t>
      </w:r>
      <w:proofErr w:type="spellEnd"/>
    </w:p>
    <w:p w14:paraId="7C327901"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458FD373" wp14:editId="39AFCBE7">
            <wp:extent cx="5852160" cy="3552614"/>
            <wp:effectExtent l="0" t="0" r="15240" b="1016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75908D6"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6DB4BBC0"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4993B5ED"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Por último, en la Figura 3 se describe de manera gráfica la agrupación de los documentos consultados por su tipología particular. En este caso, se identificó una clara predominancia de los artículos de carácter científico (38%), seguidos por trabajos de grado pertinentes a nivel profesional (28%) y, en menor proporción, tesis de investigación derivadas titulaciones en el nivel de maestría.</w:t>
      </w:r>
    </w:p>
    <w:p w14:paraId="5BB751A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51B588F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BCF3F7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6A79D5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CEE933F"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2B724A2"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lastRenderedPageBreak/>
        <w:t>Figura</w:t>
      </w:r>
      <w:proofErr w:type="spellEnd"/>
      <w:r w:rsidRPr="00A46CE6">
        <w:rPr>
          <w:rFonts w:ascii="Arial" w:eastAsia="Calibri" w:hAnsi="Arial" w:cs="Times New Roman"/>
          <w:b/>
          <w:kern w:val="0"/>
          <w:szCs w:val="24"/>
          <w:lang w:val="en-US"/>
          <w14:ligatures w14:val="none"/>
        </w:rPr>
        <w:t xml:space="preserve"> 3</w:t>
      </w:r>
    </w:p>
    <w:p w14:paraId="07052509"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roofErr w:type="spellStart"/>
      <w:r w:rsidRPr="00A46CE6">
        <w:rPr>
          <w:rFonts w:ascii="Arial" w:eastAsia="Calibri" w:hAnsi="Arial" w:cs="Times New Roman"/>
          <w:i/>
          <w:kern w:val="0"/>
          <w:szCs w:val="24"/>
          <w:lang w:val="en-US"/>
          <w14:ligatures w14:val="none"/>
        </w:rPr>
        <w:t>Cantidad</w:t>
      </w:r>
      <w:proofErr w:type="spellEnd"/>
      <w:r w:rsidRPr="00A46CE6">
        <w:rPr>
          <w:rFonts w:ascii="Arial" w:eastAsia="Calibri" w:hAnsi="Arial" w:cs="Times New Roman"/>
          <w:i/>
          <w:kern w:val="0"/>
          <w:szCs w:val="24"/>
          <w:lang w:val="en-US"/>
          <w14:ligatures w14:val="none"/>
        </w:rPr>
        <w:t xml:space="preserve"> de </w:t>
      </w:r>
      <w:proofErr w:type="spellStart"/>
      <w:r w:rsidRPr="00A46CE6">
        <w:rPr>
          <w:rFonts w:ascii="Arial" w:eastAsia="Calibri" w:hAnsi="Arial" w:cs="Times New Roman"/>
          <w:i/>
          <w:kern w:val="0"/>
          <w:szCs w:val="24"/>
          <w:lang w:val="en-US"/>
          <w14:ligatures w14:val="none"/>
        </w:rPr>
        <w:t>trabajos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por</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tipología</w:t>
      </w:r>
      <w:proofErr w:type="spellEnd"/>
    </w:p>
    <w:p w14:paraId="6B6A7700"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282E30B1" wp14:editId="0F0EACA1">
            <wp:extent cx="5722620" cy="2758440"/>
            <wp:effectExtent l="0" t="0" r="11430" b="381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E6425B2"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30710AF" w14:textId="77777777" w:rsidR="00A46CE6" w:rsidRPr="00A46CE6" w:rsidRDefault="00A46CE6" w:rsidP="00A46CE6">
      <w:pPr>
        <w:spacing w:after="24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Ahora bien, en lo que concierne a su contenido, el análisis de palabras clave permitió identificar los nodos de interés que se describen en la Figura 4, con una correlación general hacia el nodo “Nutrición”. </w:t>
      </w:r>
    </w:p>
    <w:p w14:paraId="1117B629"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t>Figura</w:t>
      </w:r>
      <w:proofErr w:type="spellEnd"/>
      <w:r w:rsidRPr="00A46CE6">
        <w:rPr>
          <w:rFonts w:ascii="Arial" w:eastAsia="Calibri" w:hAnsi="Arial" w:cs="Times New Roman"/>
          <w:b/>
          <w:kern w:val="0"/>
          <w:szCs w:val="24"/>
          <w:lang w:val="en-US"/>
          <w14:ligatures w14:val="none"/>
        </w:rPr>
        <w:t xml:space="preserve"> 4</w:t>
      </w:r>
    </w:p>
    <w:p w14:paraId="55B3F94B"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kern w:val="0"/>
          <w:szCs w:val="24"/>
          <w:lang w:val="en-US"/>
          <w14:ligatures w14:val="none"/>
        </w:rPr>
        <w:t xml:space="preserve">Nodos </w:t>
      </w:r>
      <w:proofErr w:type="spellStart"/>
      <w:r w:rsidRPr="00A46CE6">
        <w:rPr>
          <w:rFonts w:ascii="Arial" w:eastAsia="Calibri" w:hAnsi="Arial" w:cs="Times New Roman"/>
          <w:i/>
          <w:kern w:val="0"/>
          <w:szCs w:val="24"/>
          <w:lang w:val="en-US"/>
          <w14:ligatures w14:val="none"/>
        </w:rPr>
        <w:t>temáticos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caracterizados</w:t>
      </w:r>
      <w:proofErr w:type="spellEnd"/>
    </w:p>
    <w:p w14:paraId="746F8723"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mc:AlternateContent>
          <mc:Choice Requires="wpg">
            <w:drawing>
              <wp:anchor distT="0" distB="0" distL="114300" distR="114300" simplePos="0" relativeHeight="251659264" behindDoc="0" locked="0" layoutInCell="1" allowOverlap="1" wp14:anchorId="4101440D" wp14:editId="689C7CF7">
                <wp:simplePos x="0" y="0"/>
                <wp:positionH relativeFrom="column">
                  <wp:posOffset>0</wp:posOffset>
                </wp:positionH>
                <wp:positionV relativeFrom="paragraph">
                  <wp:posOffset>36195</wp:posOffset>
                </wp:positionV>
                <wp:extent cx="5966460" cy="1996440"/>
                <wp:effectExtent l="0" t="0" r="15240" b="22860"/>
                <wp:wrapNone/>
                <wp:docPr id="1412326394" name="Grupo 10"/>
                <wp:cNvGraphicFramePr/>
                <a:graphic xmlns:a="http://schemas.openxmlformats.org/drawingml/2006/main">
                  <a:graphicData uri="http://schemas.microsoft.com/office/word/2010/wordprocessingGroup">
                    <wpg:wgp>
                      <wpg:cNvGrpSpPr/>
                      <wpg:grpSpPr>
                        <a:xfrm>
                          <a:off x="0" y="0"/>
                          <a:ext cx="5966460" cy="1996440"/>
                          <a:chOff x="0" y="0"/>
                          <a:chExt cx="5966460" cy="1996440"/>
                        </a:xfrm>
                      </wpg:grpSpPr>
                      <wps:wsp>
                        <wps:cNvPr id="1030108864" name="Cuadro de texto 2"/>
                        <wps:cNvSpPr txBox="1"/>
                        <wps:spPr>
                          <a:xfrm>
                            <a:off x="2011680" y="1676400"/>
                            <a:ext cx="1882140" cy="320040"/>
                          </a:xfrm>
                          <a:prstGeom prst="rect">
                            <a:avLst/>
                          </a:prstGeom>
                          <a:solidFill>
                            <a:sysClr val="window" lastClr="FFFFFF"/>
                          </a:solidFill>
                          <a:ln w="6350">
                            <a:solidFill>
                              <a:prstClr val="black"/>
                            </a:solidFill>
                          </a:ln>
                        </wps:spPr>
                        <wps:txbx>
                          <w:txbxContent>
                            <w:p w14:paraId="70DA03A7" w14:textId="77777777" w:rsidR="00A46CE6" w:rsidRPr="007D1E31" w:rsidRDefault="00A46CE6" w:rsidP="00A46CE6">
                              <w:pPr>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ysClr val="window" lastClr="FFFFFF"/>
                          </a:solidFill>
                          <a:ln w="6350">
                            <a:solidFill>
                              <a:prstClr val="black"/>
                            </a:solidFill>
                          </a:ln>
                        </wps:spPr>
                        <wps:txbx>
                          <w:txbxContent>
                            <w:p w14:paraId="76CB1B52" w14:textId="77777777" w:rsidR="00A46CE6" w:rsidRDefault="00A46CE6" w:rsidP="00A46CE6">
                              <w:pPr>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ysClr val="window" lastClr="FFFFFF"/>
                          </a:solidFill>
                          <a:ln w="6350">
                            <a:solidFill>
                              <a:prstClr val="black"/>
                            </a:solidFill>
                          </a:ln>
                        </wps:spPr>
                        <wps:txbx>
                          <w:txbxContent>
                            <w:p w14:paraId="68E40A27" w14:textId="77777777" w:rsidR="00A46CE6" w:rsidRDefault="00A46CE6" w:rsidP="00A46CE6">
                              <w:pPr>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ysClr val="window" lastClr="FFFFFF"/>
                          </a:solidFill>
                          <a:ln w="6350">
                            <a:solidFill>
                              <a:prstClr val="black"/>
                            </a:solidFill>
                          </a:ln>
                        </wps:spPr>
                        <wps:txbx>
                          <w:txbxContent>
                            <w:p w14:paraId="0F6673A1" w14:textId="77777777" w:rsidR="00A46CE6" w:rsidRDefault="00A46CE6" w:rsidP="00A46CE6">
                              <w:pPr>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ysClr val="window" lastClr="FFFFFF"/>
                          </a:solidFill>
                          <a:ln w="6350">
                            <a:solidFill>
                              <a:prstClr val="black"/>
                            </a:solidFill>
                          </a:ln>
                        </wps:spPr>
                        <wps:txbx>
                          <w:txbxContent>
                            <w:p w14:paraId="686EABD2" w14:textId="77777777" w:rsidR="00A46CE6" w:rsidRDefault="00A46CE6" w:rsidP="00A46CE6">
                              <w:pPr>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noFill/>
                          <a:ln w="6350" cap="flat" cmpd="sng" algn="ctr">
                            <a:solidFill>
                              <a:srgbClr val="4472C4"/>
                            </a:solidFill>
                            <a:prstDash val="solid"/>
                            <a:miter lim="800000"/>
                            <a:tailEnd type="triangle"/>
                          </a:ln>
                          <a:effectLst/>
                        </wps:spPr>
                        <wps:bodyPr/>
                      </wps:wsp>
                      <wps:wsp>
                        <wps:cNvPr id="816928019" name="Conector recto de flecha 816928019"/>
                        <wps:cNvCnPr/>
                        <wps:spPr>
                          <a:xfrm flipV="1">
                            <a:off x="2903220" y="1245870"/>
                            <a:ext cx="2175510" cy="415290"/>
                          </a:xfrm>
                          <a:prstGeom prst="straightConnector1">
                            <a:avLst/>
                          </a:prstGeom>
                          <a:noFill/>
                          <a:ln w="6350" cap="flat" cmpd="sng" algn="ctr">
                            <a:solidFill>
                              <a:srgbClr val="4472C4"/>
                            </a:solidFill>
                            <a:prstDash val="solid"/>
                            <a:miter lim="800000"/>
                            <a:tailEnd type="triangle"/>
                          </a:ln>
                          <a:effectLst/>
                        </wps:spPr>
                        <wps:bodyPr/>
                      </wps:wsp>
                      <wps:wsp>
                        <wps:cNvPr id="1941701396" name="Conector recto de flecha 1941701396"/>
                        <wps:cNvCnPr/>
                        <wps:spPr>
                          <a:xfrm flipH="1" flipV="1">
                            <a:off x="1394460" y="335280"/>
                            <a:ext cx="1508760" cy="1333500"/>
                          </a:xfrm>
                          <a:prstGeom prst="straightConnector1">
                            <a:avLst/>
                          </a:prstGeom>
                          <a:noFill/>
                          <a:ln w="6350" cap="flat" cmpd="sng" algn="ctr">
                            <a:solidFill>
                              <a:srgbClr val="4472C4"/>
                            </a:solidFill>
                            <a:prstDash val="solid"/>
                            <a:miter lim="800000"/>
                            <a:tailEnd type="triangle"/>
                          </a:ln>
                          <a:effectLst/>
                        </wps:spPr>
                        <wps:bodyPr/>
                      </wps:wsp>
                      <wps:wsp>
                        <wps:cNvPr id="1165002431" name="Conector recto de flecha 1165002431"/>
                        <wps:cNvCnPr/>
                        <wps:spPr>
                          <a:xfrm flipV="1">
                            <a:off x="2903220" y="335280"/>
                            <a:ext cx="1592580" cy="1341120"/>
                          </a:xfrm>
                          <a:prstGeom prst="straightConnector1">
                            <a:avLst/>
                          </a:prstGeom>
                          <a:noFill/>
                          <a:ln w="6350" cap="flat" cmpd="sng" algn="ctr">
                            <a:solidFill>
                              <a:srgbClr val="4472C4"/>
                            </a:solidFill>
                            <a:prstDash val="solid"/>
                            <a:miter lim="800000"/>
                            <a:tailEnd type="triangle"/>
                          </a:ln>
                          <a:effectLst/>
                        </wps:spPr>
                        <wps:bodyPr/>
                      </wps:wsp>
                      <wps:wsp>
                        <wps:cNvPr id="1377668040" name="Conector recto de flecha 1377668040"/>
                        <wps:cNvCnPr/>
                        <wps:spPr>
                          <a:xfrm>
                            <a:off x="4495800" y="335280"/>
                            <a:ext cx="582930" cy="586740"/>
                          </a:xfrm>
                          <a:prstGeom prst="straightConnector1">
                            <a:avLst/>
                          </a:prstGeom>
                          <a:noFill/>
                          <a:ln w="6350" cap="flat" cmpd="sng" algn="ctr">
                            <a:solidFill>
                              <a:srgbClr val="4472C4"/>
                            </a:solidFill>
                            <a:prstDash val="dash"/>
                            <a:miter lim="800000"/>
                            <a:tailEnd type="triangle"/>
                          </a:ln>
                          <a:effectLst/>
                        </wps:spPr>
                        <wps:bodyPr/>
                      </wps:wsp>
                      <wps:wsp>
                        <wps:cNvPr id="2072466920" name="Conector recto de flecha 2072466920"/>
                        <wps:cNvCnPr/>
                        <wps:spPr>
                          <a:xfrm flipH="1">
                            <a:off x="838200" y="335280"/>
                            <a:ext cx="560070" cy="647700"/>
                          </a:xfrm>
                          <a:prstGeom prst="straightConnector1">
                            <a:avLst/>
                          </a:prstGeom>
                          <a:noFill/>
                          <a:ln w="6350" cap="flat" cmpd="sng" algn="ctr">
                            <a:solidFill>
                              <a:srgbClr val="4472C4"/>
                            </a:solidFill>
                            <a:prstDash val="dash"/>
                            <a:miter lim="800000"/>
                            <a:tailEnd type="triangle"/>
                          </a:ln>
                          <a:effectLst/>
                        </wps:spPr>
                        <wps:bodyPr/>
                      </wps:wsp>
                      <wps:wsp>
                        <wps:cNvPr id="1717774878" name="Conector recto de flecha 1717774878"/>
                        <wps:cNvCnPr/>
                        <wps:spPr>
                          <a:xfrm>
                            <a:off x="1882140" y="1143000"/>
                            <a:ext cx="2202180" cy="0"/>
                          </a:xfrm>
                          <a:prstGeom prst="straightConnector1">
                            <a:avLst/>
                          </a:prstGeom>
                          <a:noFill/>
                          <a:ln w="6350" cap="flat" cmpd="sng" algn="ctr">
                            <a:solidFill>
                              <a:srgbClr val="4472C4"/>
                            </a:solidFill>
                            <a:prstDash val="dash"/>
                            <a:miter lim="800000"/>
                            <a:headEnd type="triangle"/>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w14:anchorId="4101440D" id="Grupo 10" o:spid="_x0000_s1026" style="position:absolute;left:0;text-align:left;margin-left:0;margin-top:2.85pt;width:469.8pt;height:157.2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" fillcolor="window" strokeweight=".5pt">
                  <v:textbox>
                    <w:txbxContent>
                      <w:p w14:paraId="70DA03A7" w14:textId="77777777" w:rsidR="00A46CE6" w:rsidRPr="007D1E31" w:rsidRDefault="00A46CE6" w:rsidP="00A46CE6">
                        <w:pPr>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" fillcolor="window" strokeweight=".5pt">
                  <v:textbox>
                    <w:txbxContent>
                      <w:p w14:paraId="76CB1B52" w14:textId="77777777" w:rsidR="00A46CE6" w:rsidRDefault="00A46CE6" w:rsidP="00A46CE6">
                        <w:pPr>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" fillcolor="window" strokeweight=".5pt">
                  <v:textbox>
                    <w:txbxContent>
                      <w:p w14:paraId="68E40A27" w14:textId="77777777" w:rsidR="00A46CE6" w:rsidRDefault="00A46CE6" w:rsidP="00A46CE6">
                        <w:pPr>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" fillcolor="window" strokeweight=".5pt">
                  <v:textbox>
                    <w:txbxContent>
                      <w:p w14:paraId="0F6673A1" w14:textId="77777777" w:rsidR="00A46CE6" w:rsidRDefault="00A46CE6" w:rsidP="00A46CE6">
                        <w:pPr>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" fillcolor="window" strokeweight=".5pt">
                  <v:textbox>
                    <w:txbxContent>
                      <w:p w14:paraId="686EABD2" w14:textId="77777777" w:rsidR="00A46CE6" w:rsidRDefault="00A46CE6" w:rsidP="00A46CE6">
                        <w:pPr>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" strokecolor="#4472c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" strokecolor="#4472c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" strokecolor="#4472c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" strokecolor="#4472c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" strokecolor="#4472c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" strokecolor="#4472c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" strokecolor="#4472c4" strokeweight=".5pt">
                  <v:stroke dashstyle="dash" startarrow="block" endarrow="block" joinstyle="miter"/>
                </v:shape>
              </v:group>
            </w:pict>
          </mc:Fallback>
        </mc:AlternateContent>
      </w:r>
      <w:r w:rsidRPr="00A46CE6">
        <w:rPr>
          <w:rFonts w:ascii="Arial" w:eastAsia="Calibri" w:hAnsi="Arial" w:cs="Times New Roman"/>
          <w:kern w:val="0"/>
          <w:szCs w:val="24"/>
          <w:lang w:val="es-419"/>
          <w14:ligatures w14:val="none"/>
        </w:rPr>
        <w:t xml:space="preserve"> </w:t>
      </w:r>
    </w:p>
    <w:p w14:paraId="75A0423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20187B5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66417AB8"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790DE02C"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245DF770"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3EA5C7A"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10EA9787"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2C3DC67" w14:textId="77777777" w:rsidR="00A46CE6" w:rsidRPr="00A46CE6" w:rsidRDefault="00A46CE6" w:rsidP="00A46CE6">
      <w:pPr>
        <w:spacing w:after="24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lastRenderedPageBreak/>
        <w:t xml:space="preserve">De la Figura 4 se desprende que los estudios recolectados toman como eje en común la nutrición, el cual conecta en la mayoría de los casos con el rendimiento académico y el aprendizaje. Otros elementos coincidentes de repetida aparición en relación con el nodo principal y los de apoyo son la educación nutricional y los hábitos alimenticios.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trabajos sigue una perspectiva mixta (ver Figura 5). </w:t>
      </w:r>
    </w:p>
    <w:p w14:paraId="7EEB2465"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t>Figura</w:t>
      </w:r>
      <w:proofErr w:type="spellEnd"/>
      <w:r w:rsidRPr="00A46CE6">
        <w:rPr>
          <w:rFonts w:ascii="Arial" w:eastAsia="Calibri" w:hAnsi="Arial" w:cs="Times New Roman"/>
          <w:b/>
          <w:kern w:val="0"/>
          <w:szCs w:val="24"/>
          <w:lang w:val="en-US"/>
          <w14:ligatures w14:val="none"/>
        </w:rPr>
        <w:t xml:space="preserve"> 5</w:t>
      </w:r>
    </w:p>
    <w:p w14:paraId="1DE033C0"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roofErr w:type="spellStart"/>
      <w:r w:rsidRPr="00A46CE6">
        <w:rPr>
          <w:rFonts w:ascii="Arial" w:eastAsia="Calibri" w:hAnsi="Arial" w:cs="Times New Roman"/>
          <w:i/>
          <w:kern w:val="0"/>
          <w:szCs w:val="24"/>
          <w:lang w:val="en-US"/>
          <w14:ligatures w14:val="none"/>
        </w:rPr>
        <w:t>Cantidad</w:t>
      </w:r>
      <w:proofErr w:type="spellEnd"/>
      <w:r w:rsidRPr="00A46CE6">
        <w:rPr>
          <w:rFonts w:ascii="Arial" w:eastAsia="Calibri" w:hAnsi="Arial" w:cs="Times New Roman"/>
          <w:i/>
          <w:kern w:val="0"/>
          <w:szCs w:val="24"/>
          <w:lang w:val="en-US"/>
          <w14:ligatures w14:val="none"/>
        </w:rPr>
        <w:t xml:space="preserve"> de </w:t>
      </w:r>
      <w:proofErr w:type="spellStart"/>
      <w:r w:rsidRPr="00A46CE6">
        <w:rPr>
          <w:rFonts w:ascii="Arial" w:eastAsia="Calibri" w:hAnsi="Arial" w:cs="Times New Roman"/>
          <w:i/>
          <w:kern w:val="0"/>
          <w:szCs w:val="24"/>
          <w:lang w:val="en-US"/>
          <w14:ligatures w14:val="none"/>
        </w:rPr>
        <w:t>trabajos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por</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enfoque</w:t>
      </w:r>
      <w:proofErr w:type="spellEnd"/>
    </w:p>
    <w:p w14:paraId="3D2E065F"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5672EC31" wp14:editId="11DBF330">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B73824"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74F1777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6E803D5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Por último, en la Tabla 1 se ofrece una clasificación detallada de las temáticas complementarias y de los estudios abordados que se abocan, específicamente, al análisis de los factores nutricionales. </w:t>
      </w:r>
    </w:p>
    <w:p w14:paraId="6A2FCF02"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24B34D3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8BED075"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t>Tabla</w:t>
      </w:r>
      <w:proofErr w:type="spellEnd"/>
      <w:r w:rsidRPr="00A46CE6">
        <w:rPr>
          <w:rFonts w:ascii="Arial" w:eastAsia="Calibri" w:hAnsi="Arial" w:cs="Times New Roman"/>
          <w:b/>
          <w:kern w:val="0"/>
          <w:szCs w:val="24"/>
          <w:lang w:val="en-US"/>
          <w14:ligatures w14:val="none"/>
        </w:rPr>
        <w:t xml:space="preserve"> 1</w:t>
      </w:r>
    </w:p>
    <w:p w14:paraId="5B4FF0D8" w14:textId="77777777" w:rsidR="00A46CE6" w:rsidRPr="00A46CE6" w:rsidRDefault="00A46CE6" w:rsidP="00A46CE6">
      <w:pPr>
        <w:spacing w:after="0" w:line="480" w:lineRule="auto"/>
        <w:rPr>
          <w:rFonts w:ascii="Arial" w:eastAsia="Calibri" w:hAnsi="Arial" w:cs="Times New Roman"/>
          <w:i/>
          <w:kern w:val="0"/>
          <w:szCs w:val="24"/>
          <w:lang w:val="en-US"/>
          <w14:ligatures w14:val="none"/>
        </w:rPr>
      </w:pPr>
      <w:proofErr w:type="spellStart"/>
      <w:r w:rsidRPr="00A46CE6">
        <w:rPr>
          <w:rFonts w:ascii="Arial" w:eastAsia="Calibri" w:hAnsi="Arial" w:cs="Times New Roman"/>
          <w:i/>
          <w:kern w:val="0"/>
          <w:szCs w:val="24"/>
          <w:lang w:val="en-US"/>
          <w14:ligatures w14:val="none"/>
        </w:rPr>
        <w:t>Clasificación</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por</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temáticas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complementarias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asociadas</w:t>
      </w:r>
      <w:proofErr w:type="spellEnd"/>
      <w:r w:rsidRPr="00A46CE6">
        <w:rPr>
          <w:rFonts w:ascii="Arial" w:eastAsia="Calibri" w:hAnsi="Arial" w:cs="Times New Roman"/>
          <w:i/>
          <w:kern w:val="0"/>
          <w:szCs w:val="24"/>
          <w:lang w:val="en-US"/>
          <w14:ligatures w14:val="none"/>
        </w:rPr>
        <w:t xml:space="preserve"> a </w:t>
      </w:r>
      <w:proofErr w:type="spellStart"/>
      <w:r w:rsidRPr="00A46CE6">
        <w:rPr>
          <w:rFonts w:ascii="Arial" w:eastAsia="Calibri" w:hAnsi="Arial" w:cs="Times New Roman"/>
          <w:i/>
          <w:kern w:val="0"/>
          <w:szCs w:val="24"/>
          <w:lang w:val="en-US"/>
          <w14:ligatures w14:val="none"/>
        </w:rPr>
        <w:t>los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factores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nutricionales</w:t>
      </w:r>
      <w:proofErr w:type="spellEnd"/>
    </w:p>
    <w:tbl>
      <w:tblPr>
        <w:tblW w:w="9351" w:type="dxa"/>
        <w:tblCellMar>
          <w:left w:w="70" w:type="dxa"/>
          <w:right w:w="70" w:type="dxa"/>
        </w:tblCellMar>
        <w:tblLook w:val="04A0" w:firstRow="1" w:lastRow="0" w:firstColumn="1" w:lastColumn="0" w:noHBand="0" w:noVBand="1"/>
      </w:tblPr>
      <w:tblGrid>
        <w:gridCol w:w="2263"/>
        <w:gridCol w:w="7088"/>
      </w:tblGrid>
      <w:tr w:rsidR="00A46CE6" w:rsidRPr="00A46CE6" w14:paraId="30A37344" w14:textId="77777777" w:rsidTr="005F7B9F">
        <w:trPr>
          <w:trHeight w:val="288"/>
        </w:trPr>
        <w:tc>
          <w:tcPr>
            <w:tcW w:w="2263" w:type="dxa"/>
            <w:tcBorders>
              <w:top w:val="single" w:sz="4" w:space="0" w:color="auto"/>
              <w:bottom w:val="single" w:sz="4" w:space="0" w:color="auto"/>
            </w:tcBorders>
            <w:shd w:val="clear" w:color="auto" w:fill="auto"/>
            <w:vAlign w:val="center"/>
            <w:hideMark/>
          </w:tcPr>
          <w:p w14:paraId="24D76E3B"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Temática(s) complementaria(s)</w:t>
            </w:r>
          </w:p>
        </w:tc>
        <w:tc>
          <w:tcPr>
            <w:tcW w:w="7088" w:type="dxa"/>
            <w:tcBorders>
              <w:top w:val="single" w:sz="4" w:space="0" w:color="auto"/>
              <w:bottom w:val="single" w:sz="4" w:space="0" w:color="auto"/>
            </w:tcBorders>
            <w:shd w:val="clear" w:color="auto" w:fill="auto"/>
            <w:vAlign w:val="center"/>
            <w:hideMark/>
          </w:tcPr>
          <w:p w14:paraId="77AC8627"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Autor(es)/Aporte del estudio</w:t>
            </w:r>
          </w:p>
        </w:tc>
      </w:tr>
      <w:tr w:rsidR="00A46CE6" w:rsidRPr="00A46CE6" w14:paraId="6FB444CE" w14:textId="77777777" w:rsidTr="005F7B9F">
        <w:trPr>
          <w:trHeight w:val="592"/>
        </w:trPr>
        <w:tc>
          <w:tcPr>
            <w:tcW w:w="2263" w:type="dxa"/>
            <w:vMerge w:val="restart"/>
            <w:tcBorders>
              <w:top w:val="single" w:sz="4" w:space="0" w:color="auto"/>
            </w:tcBorders>
            <w:shd w:val="clear" w:color="auto" w:fill="auto"/>
            <w:vAlign w:val="center"/>
            <w:hideMark/>
          </w:tcPr>
          <w:p w14:paraId="0989BD2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Comedor escolar; Alimentación escolar</w:t>
            </w:r>
          </w:p>
          <w:p w14:paraId="042AB65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5A22F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A0EB42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12279D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32A7F02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Medina y Mosquera (2022): Muestra cómo la alimentación influye en el desempeño escolar en estudiantes de transición.</w:t>
            </w:r>
          </w:p>
        </w:tc>
      </w:tr>
      <w:tr w:rsidR="00A46CE6" w:rsidRPr="00A46CE6" w14:paraId="2D83EC50" w14:textId="77777777" w:rsidTr="005F7B9F">
        <w:trPr>
          <w:trHeight w:val="700"/>
        </w:trPr>
        <w:tc>
          <w:tcPr>
            <w:tcW w:w="2263" w:type="dxa"/>
            <w:vMerge/>
            <w:shd w:val="clear" w:color="auto" w:fill="auto"/>
            <w:vAlign w:val="center"/>
            <w:hideMark/>
          </w:tcPr>
          <w:p w14:paraId="71C087B9"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0223ABD6"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Velázquez et al. (2022): Evalúa la calidad del servicio de alimentación escolar identificando aspectos críticos y áreas de mejora.</w:t>
            </w:r>
          </w:p>
        </w:tc>
      </w:tr>
      <w:tr w:rsidR="00A46CE6" w:rsidRPr="00A46CE6" w14:paraId="65D8BEE3" w14:textId="77777777" w:rsidTr="005F7B9F">
        <w:trPr>
          <w:trHeight w:val="555"/>
        </w:trPr>
        <w:tc>
          <w:tcPr>
            <w:tcW w:w="2263" w:type="dxa"/>
            <w:vMerge/>
            <w:shd w:val="clear" w:color="auto" w:fill="auto"/>
            <w:vAlign w:val="center"/>
            <w:hideMark/>
          </w:tcPr>
          <w:p w14:paraId="390D7C0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555CD80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Calisto y Díaz (2019): Cuestiona la adecuación nutricional del programa JUNAEB en Chile y su impacto en el desarrollo cognitivo temprano.</w:t>
            </w:r>
          </w:p>
        </w:tc>
      </w:tr>
      <w:tr w:rsidR="00A46CE6" w:rsidRPr="00A46CE6" w14:paraId="57DD28AD" w14:textId="77777777" w:rsidTr="005F7B9F">
        <w:trPr>
          <w:trHeight w:val="549"/>
        </w:trPr>
        <w:tc>
          <w:tcPr>
            <w:tcW w:w="2263" w:type="dxa"/>
            <w:vMerge/>
            <w:shd w:val="clear" w:color="auto" w:fill="auto"/>
            <w:vAlign w:val="center"/>
            <w:hideMark/>
          </w:tcPr>
          <w:p w14:paraId="472000B4"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1C7C4F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Días et al. (2023): Evalúa la aceptabilidad alimentaria según la diversidad social en Brasil.</w:t>
            </w:r>
          </w:p>
        </w:tc>
      </w:tr>
      <w:tr w:rsidR="00A46CE6" w:rsidRPr="00A46CE6" w14:paraId="4BF4A6C2" w14:textId="77777777" w:rsidTr="005F7B9F">
        <w:trPr>
          <w:trHeight w:val="699"/>
        </w:trPr>
        <w:tc>
          <w:tcPr>
            <w:tcW w:w="2263" w:type="dxa"/>
            <w:vMerge/>
            <w:tcBorders>
              <w:bottom w:val="single" w:sz="4" w:space="0" w:color="auto"/>
            </w:tcBorders>
            <w:shd w:val="clear" w:color="auto" w:fill="auto"/>
            <w:vAlign w:val="center"/>
            <w:hideMark/>
          </w:tcPr>
          <w:p w14:paraId="5A6E5DF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5717ED3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Salguero (2022): Destaca estrategias de gestión en inocuidad y calidad alimentaria post COVID-19 en Tolima.</w:t>
            </w:r>
          </w:p>
        </w:tc>
      </w:tr>
      <w:tr w:rsidR="00A46CE6" w:rsidRPr="00A46CE6" w14:paraId="7149DE8D" w14:textId="77777777" w:rsidTr="005F7B9F">
        <w:trPr>
          <w:trHeight w:val="595"/>
        </w:trPr>
        <w:tc>
          <w:tcPr>
            <w:tcW w:w="2263" w:type="dxa"/>
            <w:vMerge w:val="restart"/>
            <w:tcBorders>
              <w:top w:val="single" w:sz="4" w:space="0" w:color="auto"/>
            </w:tcBorders>
            <w:shd w:val="clear" w:color="auto" w:fill="auto"/>
            <w:vAlign w:val="center"/>
            <w:hideMark/>
          </w:tcPr>
          <w:p w14:paraId="03AE2E6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Alimentación</w:t>
            </w:r>
          </w:p>
          <w:p w14:paraId="4C36FBA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4615ED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680D6F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27C2BE3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508BFB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6BB09B7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Romero y Peña (2023): Estudia el efecto de loncheras saludables sobre el rendimiento escolar inicial.</w:t>
            </w:r>
          </w:p>
        </w:tc>
      </w:tr>
      <w:tr w:rsidR="00A46CE6" w:rsidRPr="00A46CE6" w14:paraId="5B522B33" w14:textId="77777777" w:rsidTr="005F7B9F">
        <w:trPr>
          <w:trHeight w:val="570"/>
        </w:trPr>
        <w:tc>
          <w:tcPr>
            <w:tcW w:w="2263" w:type="dxa"/>
            <w:vMerge/>
            <w:shd w:val="clear" w:color="auto" w:fill="auto"/>
            <w:vAlign w:val="center"/>
            <w:hideMark/>
          </w:tcPr>
          <w:p w14:paraId="39EBC6D4"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25377362"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León et al. (2023): Sintetiza literatura existente sobre nutrición y rendimiento académico.</w:t>
            </w:r>
          </w:p>
        </w:tc>
      </w:tr>
      <w:tr w:rsidR="00A46CE6" w:rsidRPr="00A46CE6" w14:paraId="1F9C6109" w14:textId="77777777" w:rsidTr="005F7B9F">
        <w:trPr>
          <w:trHeight w:val="565"/>
        </w:trPr>
        <w:tc>
          <w:tcPr>
            <w:tcW w:w="2263" w:type="dxa"/>
            <w:vMerge/>
            <w:shd w:val="clear" w:color="auto" w:fill="auto"/>
            <w:vAlign w:val="center"/>
            <w:hideMark/>
          </w:tcPr>
          <w:p w14:paraId="7A5030F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71748EE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Fernández (2024): Detalla el impacto directo de calidad nutricional en desarrollo cognitivo.</w:t>
            </w:r>
          </w:p>
        </w:tc>
      </w:tr>
      <w:tr w:rsidR="00A46CE6" w:rsidRPr="00A46CE6" w14:paraId="49EB1068" w14:textId="77777777" w:rsidTr="005F7B9F">
        <w:trPr>
          <w:trHeight w:val="573"/>
        </w:trPr>
        <w:tc>
          <w:tcPr>
            <w:tcW w:w="2263" w:type="dxa"/>
            <w:vMerge/>
            <w:shd w:val="clear" w:color="auto" w:fill="auto"/>
            <w:vAlign w:val="center"/>
            <w:hideMark/>
          </w:tcPr>
          <w:p w14:paraId="4D4353A3"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2AEC64FD"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Fernández (2024): Asocia hábitos alimenticios saludables con mejor desempeño académico.</w:t>
            </w:r>
          </w:p>
        </w:tc>
      </w:tr>
      <w:tr w:rsidR="00A46CE6" w:rsidRPr="00A46CE6" w14:paraId="425BFE7B" w14:textId="77777777" w:rsidTr="005F7B9F">
        <w:trPr>
          <w:trHeight w:val="566"/>
        </w:trPr>
        <w:tc>
          <w:tcPr>
            <w:tcW w:w="2263" w:type="dxa"/>
            <w:vMerge/>
            <w:shd w:val="clear" w:color="auto" w:fill="auto"/>
            <w:vAlign w:val="center"/>
            <w:hideMark/>
          </w:tcPr>
          <w:p w14:paraId="59E13F1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13E6957"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Cardozo y Ramírez (2025): Enfatiza la importancia crítica de la alimentación infantil para aprendizaje escolar temprano.</w:t>
            </w:r>
          </w:p>
        </w:tc>
      </w:tr>
      <w:tr w:rsidR="00A46CE6" w:rsidRPr="00A46CE6" w14:paraId="1FE2CADC" w14:textId="77777777" w:rsidTr="005F7B9F">
        <w:trPr>
          <w:trHeight w:val="561"/>
        </w:trPr>
        <w:tc>
          <w:tcPr>
            <w:tcW w:w="2263" w:type="dxa"/>
            <w:vMerge/>
            <w:tcBorders>
              <w:bottom w:val="single" w:sz="4" w:space="0" w:color="auto"/>
            </w:tcBorders>
            <w:shd w:val="clear" w:color="auto" w:fill="auto"/>
            <w:vAlign w:val="center"/>
            <w:hideMark/>
          </w:tcPr>
          <w:p w14:paraId="5E3E804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1ECC54ED"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Lema (2022): Explora cómo la educación alimentaria temprana afecta el desarrollo cognitivo infantil.</w:t>
            </w:r>
          </w:p>
        </w:tc>
      </w:tr>
      <w:tr w:rsidR="00A46CE6" w:rsidRPr="00A46CE6" w14:paraId="2D46E91D" w14:textId="77777777" w:rsidTr="005F7B9F">
        <w:trPr>
          <w:trHeight w:val="558"/>
        </w:trPr>
        <w:tc>
          <w:tcPr>
            <w:tcW w:w="2263" w:type="dxa"/>
            <w:vMerge w:val="restart"/>
            <w:tcBorders>
              <w:top w:val="single" w:sz="4" w:space="0" w:color="auto"/>
            </w:tcBorders>
            <w:shd w:val="clear" w:color="auto" w:fill="auto"/>
            <w:vAlign w:val="center"/>
            <w:hideMark/>
          </w:tcPr>
          <w:p w14:paraId="5A8D2DB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Desnutrición; Malnutrición</w:t>
            </w:r>
          </w:p>
          <w:p w14:paraId="751EBBF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71EA6D6"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2DF335FC"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666AE102"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xml:space="preserve">Altamirano y </w:t>
            </w:r>
            <w:proofErr w:type="spellStart"/>
            <w:r w:rsidRPr="00A46CE6">
              <w:rPr>
                <w:rFonts w:ascii="Arial" w:eastAsia="Times New Roman" w:hAnsi="Arial" w:cs="Arial"/>
                <w:color w:val="000000"/>
                <w:kern w:val="0"/>
                <w:sz w:val="20"/>
                <w:szCs w:val="20"/>
                <w:lang w:val="es-419" w:eastAsia="es-419"/>
                <w14:ligatures w14:val="none"/>
              </w:rPr>
              <w:t>Hetz</w:t>
            </w:r>
            <w:proofErr w:type="spellEnd"/>
            <w:r w:rsidRPr="00A46CE6">
              <w:rPr>
                <w:rFonts w:ascii="Arial" w:eastAsia="Times New Roman" w:hAnsi="Arial" w:cs="Arial"/>
                <w:color w:val="000000"/>
                <w:kern w:val="0"/>
                <w:sz w:val="20"/>
                <w:szCs w:val="20"/>
                <w:lang w:val="es-419" w:eastAsia="es-419"/>
                <w14:ligatures w14:val="none"/>
              </w:rPr>
              <w:t xml:space="preserve"> (2024): Explora creencias culturales sobre obesidad infantil en comunidades mapuches y no mapuches.</w:t>
            </w:r>
          </w:p>
        </w:tc>
      </w:tr>
      <w:tr w:rsidR="00A46CE6" w:rsidRPr="00A46CE6" w14:paraId="6AEB246F" w14:textId="77777777" w:rsidTr="005F7B9F">
        <w:trPr>
          <w:trHeight w:val="576"/>
        </w:trPr>
        <w:tc>
          <w:tcPr>
            <w:tcW w:w="2263" w:type="dxa"/>
            <w:vMerge/>
            <w:shd w:val="clear" w:color="auto" w:fill="auto"/>
            <w:vAlign w:val="center"/>
            <w:hideMark/>
          </w:tcPr>
          <w:p w14:paraId="1469B9C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708E2A2"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Merchán et al. (2024): Analiza consecuencias integrales de la desnutrición infantil en América Latina.</w:t>
            </w:r>
          </w:p>
        </w:tc>
      </w:tr>
      <w:tr w:rsidR="00A46CE6" w:rsidRPr="00A46CE6" w14:paraId="0AFC7CB6" w14:textId="77777777" w:rsidTr="005F7B9F">
        <w:trPr>
          <w:trHeight w:val="556"/>
        </w:trPr>
        <w:tc>
          <w:tcPr>
            <w:tcW w:w="2263" w:type="dxa"/>
            <w:vMerge/>
            <w:shd w:val="clear" w:color="auto" w:fill="auto"/>
            <w:vAlign w:val="center"/>
            <w:hideMark/>
          </w:tcPr>
          <w:p w14:paraId="59E1B062"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4238756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xml:space="preserve">Ocaña-Noriega y </w:t>
            </w:r>
            <w:proofErr w:type="spellStart"/>
            <w:r w:rsidRPr="00A46CE6">
              <w:rPr>
                <w:rFonts w:ascii="Arial" w:eastAsia="Times New Roman" w:hAnsi="Arial" w:cs="Arial"/>
                <w:color w:val="000000"/>
                <w:kern w:val="0"/>
                <w:sz w:val="20"/>
                <w:szCs w:val="20"/>
                <w:lang w:val="es-419" w:eastAsia="es-419"/>
                <w14:ligatures w14:val="none"/>
              </w:rPr>
              <w:t>Sagñay-Llinin</w:t>
            </w:r>
            <w:proofErr w:type="spellEnd"/>
            <w:r w:rsidRPr="00A46CE6">
              <w:rPr>
                <w:rFonts w:ascii="Arial" w:eastAsia="Times New Roman" w:hAnsi="Arial" w:cs="Arial"/>
                <w:color w:val="000000"/>
                <w:kern w:val="0"/>
                <w:sz w:val="20"/>
                <w:szCs w:val="20"/>
                <w:lang w:val="es-419" w:eastAsia="es-419"/>
                <w14:ligatures w14:val="none"/>
              </w:rPr>
              <w:t xml:space="preserve"> (2020): Examina efectos de malnutrición en desarrollo cognitivo temprano.</w:t>
            </w:r>
          </w:p>
        </w:tc>
      </w:tr>
      <w:tr w:rsidR="00A46CE6" w:rsidRPr="00A46CE6" w14:paraId="01FE7D08" w14:textId="77777777" w:rsidTr="005F7B9F">
        <w:trPr>
          <w:trHeight w:val="579"/>
        </w:trPr>
        <w:tc>
          <w:tcPr>
            <w:tcW w:w="2263" w:type="dxa"/>
            <w:vMerge/>
            <w:tcBorders>
              <w:bottom w:val="single" w:sz="4" w:space="0" w:color="auto"/>
            </w:tcBorders>
            <w:shd w:val="clear" w:color="auto" w:fill="auto"/>
            <w:vAlign w:val="center"/>
            <w:hideMark/>
          </w:tcPr>
          <w:p w14:paraId="1348FD8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7231F7DB"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Franco et al. (2024): Explora efectos de déficits nutricionales en rendimiento escolar en comunidades rurales latinoamericanas.</w:t>
            </w:r>
          </w:p>
        </w:tc>
      </w:tr>
      <w:tr w:rsidR="00A46CE6" w:rsidRPr="00A46CE6" w14:paraId="208409B9" w14:textId="77777777" w:rsidTr="005F7B9F">
        <w:trPr>
          <w:trHeight w:val="563"/>
        </w:trPr>
        <w:tc>
          <w:tcPr>
            <w:tcW w:w="2263" w:type="dxa"/>
            <w:tcBorders>
              <w:top w:val="single" w:sz="4" w:space="0" w:color="auto"/>
              <w:bottom w:val="single" w:sz="4" w:space="0" w:color="auto"/>
            </w:tcBorders>
            <w:shd w:val="clear" w:color="auto" w:fill="auto"/>
            <w:vAlign w:val="center"/>
            <w:hideMark/>
          </w:tcPr>
          <w:p w14:paraId="1B0F41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Actividad física; Condición física</w:t>
            </w:r>
          </w:p>
        </w:tc>
        <w:tc>
          <w:tcPr>
            <w:tcW w:w="7088" w:type="dxa"/>
            <w:tcBorders>
              <w:top w:val="single" w:sz="4" w:space="0" w:color="auto"/>
              <w:bottom w:val="single" w:sz="4" w:space="0" w:color="auto"/>
            </w:tcBorders>
            <w:shd w:val="clear" w:color="auto" w:fill="auto"/>
            <w:vAlign w:val="center"/>
            <w:hideMark/>
          </w:tcPr>
          <w:p w14:paraId="335A0BD0"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Montealegre (2022): Demuestra relación entre estado nutricional, condición física y rendimiento académico universitario.</w:t>
            </w:r>
          </w:p>
        </w:tc>
      </w:tr>
      <w:tr w:rsidR="00A46CE6" w:rsidRPr="00A46CE6" w14:paraId="7B410801" w14:textId="77777777" w:rsidTr="005F7B9F">
        <w:trPr>
          <w:trHeight w:val="398"/>
        </w:trPr>
        <w:tc>
          <w:tcPr>
            <w:tcW w:w="2263" w:type="dxa"/>
            <w:tcBorders>
              <w:top w:val="single" w:sz="4" w:space="0" w:color="auto"/>
              <w:bottom w:val="single" w:sz="4" w:space="0" w:color="auto"/>
            </w:tcBorders>
            <w:shd w:val="clear" w:color="auto" w:fill="auto"/>
            <w:vAlign w:val="center"/>
            <w:hideMark/>
          </w:tcPr>
          <w:p w14:paraId="0475CBE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Sobrepeso; Obesidad</w:t>
            </w:r>
          </w:p>
        </w:tc>
        <w:tc>
          <w:tcPr>
            <w:tcW w:w="7088" w:type="dxa"/>
            <w:tcBorders>
              <w:top w:val="single" w:sz="4" w:space="0" w:color="auto"/>
              <w:bottom w:val="single" w:sz="4" w:space="0" w:color="auto"/>
            </w:tcBorders>
            <w:shd w:val="clear" w:color="auto" w:fill="auto"/>
            <w:vAlign w:val="center"/>
            <w:hideMark/>
          </w:tcPr>
          <w:p w14:paraId="361C6AF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Almanza (2023): Identifica prevalencia de sobrepeso y obesidad en escolares y hábitos alimentarios negativos en México.</w:t>
            </w:r>
          </w:p>
        </w:tc>
      </w:tr>
    </w:tbl>
    <w:p w14:paraId="08DD12FD"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242E3ADF"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iCs/>
          <w:kern w:val="0"/>
          <w:szCs w:val="24"/>
          <w:lang w:val="es-419"/>
          <w14:ligatures w14:val="none"/>
        </w:rPr>
        <w:lastRenderedPageBreak/>
        <w:t xml:space="preserve">Ahora bien, en la Tabla 2 se comparten </w:t>
      </w:r>
      <w:r w:rsidRPr="00A46CE6">
        <w:rPr>
          <w:rFonts w:ascii="Arial" w:eastAsia="Calibri" w:hAnsi="Arial" w:cs="Times New Roman"/>
          <w:kern w:val="0"/>
          <w:szCs w:val="24"/>
          <w:lang w:val="es-419"/>
          <w14:ligatures w14:val="none"/>
        </w:rPr>
        <w:t xml:space="preserve">las temáticas complementarias y de los estudios abordados que se abocan, por otra parte, al análisis del rendimiento académico. </w:t>
      </w:r>
    </w:p>
    <w:p w14:paraId="277F9092"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C7EC6D4"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1C953104" w14:textId="77777777" w:rsidR="00A46CE6" w:rsidRPr="00A46CE6" w:rsidRDefault="00A46CE6" w:rsidP="00A46CE6">
      <w:pPr>
        <w:spacing w:after="0" w:line="480" w:lineRule="auto"/>
        <w:rPr>
          <w:rFonts w:ascii="Arial" w:eastAsia="Calibri" w:hAnsi="Arial" w:cs="Times New Roman"/>
          <w:b/>
          <w:kern w:val="0"/>
          <w:szCs w:val="24"/>
          <w:lang w:val="en-US"/>
          <w14:ligatures w14:val="none"/>
        </w:rPr>
      </w:pPr>
      <w:proofErr w:type="spellStart"/>
      <w:r w:rsidRPr="00A46CE6">
        <w:rPr>
          <w:rFonts w:ascii="Arial" w:eastAsia="Calibri" w:hAnsi="Arial" w:cs="Times New Roman"/>
          <w:b/>
          <w:kern w:val="0"/>
          <w:szCs w:val="24"/>
          <w:lang w:val="en-US"/>
          <w14:ligatures w14:val="none"/>
        </w:rPr>
        <w:t>Tabla</w:t>
      </w:r>
      <w:proofErr w:type="spellEnd"/>
      <w:r w:rsidRPr="00A46CE6">
        <w:rPr>
          <w:rFonts w:ascii="Arial" w:eastAsia="Calibri" w:hAnsi="Arial" w:cs="Times New Roman"/>
          <w:b/>
          <w:kern w:val="0"/>
          <w:szCs w:val="24"/>
          <w:lang w:val="en-US"/>
          <w14:ligatures w14:val="none"/>
        </w:rPr>
        <w:t xml:space="preserve"> 2</w:t>
      </w:r>
    </w:p>
    <w:p w14:paraId="22861C2E" w14:textId="77777777" w:rsidR="00A46CE6" w:rsidRPr="00A46CE6" w:rsidRDefault="00A46CE6" w:rsidP="00A46CE6">
      <w:pPr>
        <w:spacing w:after="0" w:line="480" w:lineRule="auto"/>
        <w:rPr>
          <w:rFonts w:ascii="Arial" w:eastAsia="Calibri" w:hAnsi="Arial" w:cs="Times New Roman"/>
          <w:i/>
          <w:kern w:val="0"/>
          <w:szCs w:val="24"/>
          <w:lang w:val="en-US"/>
          <w14:ligatures w14:val="none"/>
        </w:rPr>
      </w:pPr>
      <w:proofErr w:type="spellStart"/>
      <w:r w:rsidRPr="00A46CE6">
        <w:rPr>
          <w:rFonts w:ascii="Arial" w:eastAsia="Calibri" w:hAnsi="Arial" w:cs="Times New Roman"/>
          <w:i/>
          <w:kern w:val="0"/>
          <w:szCs w:val="24"/>
          <w:lang w:val="en-US"/>
          <w14:ligatures w14:val="none"/>
        </w:rPr>
        <w:t>Clasificación</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por</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temáticas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complementarias</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asociadas</w:t>
      </w:r>
      <w:proofErr w:type="spellEnd"/>
      <w:r w:rsidRPr="00A46CE6">
        <w:rPr>
          <w:rFonts w:ascii="Arial" w:eastAsia="Calibri" w:hAnsi="Arial" w:cs="Times New Roman"/>
          <w:i/>
          <w:kern w:val="0"/>
          <w:szCs w:val="24"/>
          <w:lang w:val="en-US"/>
          <w14:ligatures w14:val="none"/>
        </w:rPr>
        <w:t xml:space="preserve"> al </w:t>
      </w:r>
      <w:proofErr w:type="spellStart"/>
      <w:r w:rsidRPr="00A46CE6">
        <w:rPr>
          <w:rFonts w:ascii="Arial" w:eastAsia="Calibri" w:hAnsi="Arial" w:cs="Times New Roman"/>
          <w:i/>
          <w:kern w:val="0"/>
          <w:szCs w:val="24"/>
          <w:lang w:val="en-US"/>
          <w14:ligatures w14:val="none"/>
        </w:rPr>
        <w:t>rendimiento</w:t>
      </w:r>
      <w:proofErr w:type="spellEnd"/>
      <w:r w:rsidRPr="00A46CE6">
        <w:rPr>
          <w:rFonts w:ascii="Arial" w:eastAsia="Calibri" w:hAnsi="Arial" w:cs="Times New Roman"/>
          <w:i/>
          <w:kern w:val="0"/>
          <w:szCs w:val="24"/>
          <w:lang w:val="en-US"/>
          <w14:ligatures w14:val="none"/>
        </w:rPr>
        <w:t xml:space="preserve"> </w:t>
      </w:r>
      <w:proofErr w:type="spellStart"/>
      <w:r w:rsidRPr="00A46CE6">
        <w:rPr>
          <w:rFonts w:ascii="Arial" w:eastAsia="Calibri" w:hAnsi="Arial" w:cs="Times New Roman"/>
          <w:i/>
          <w:kern w:val="0"/>
          <w:szCs w:val="24"/>
          <w:lang w:val="en-US"/>
          <w14:ligatures w14:val="none"/>
        </w:rPr>
        <w:t>académico</w:t>
      </w:r>
      <w:proofErr w:type="spellEnd"/>
    </w:p>
    <w:tbl>
      <w:tblPr>
        <w:tblW w:w="9498" w:type="dxa"/>
        <w:tblCellMar>
          <w:left w:w="70" w:type="dxa"/>
          <w:right w:w="70" w:type="dxa"/>
        </w:tblCellMar>
        <w:tblLook w:val="04A0" w:firstRow="1" w:lastRow="0" w:firstColumn="1" w:lastColumn="0" w:noHBand="0" w:noVBand="1"/>
      </w:tblPr>
      <w:tblGrid>
        <w:gridCol w:w="2127"/>
        <w:gridCol w:w="7371"/>
      </w:tblGrid>
      <w:tr w:rsidR="00A46CE6" w:rsidRPr="00A46CE6" w14:paraId="31291355" w14:textId="77777777" w:rsidTr="005F7B9F">
        <w:trPr>
          <w:trHeight w:val="281"/>
          <w:tblHeader/>
        </w:trPr>
        <w:tc>
          <w:tcPr>
            <w:tcW w:w="2127" w:type="dxa"/>
            <w:tcBorders>
              <w:top w:val="single" w:sz="4" w:space="0" w:color="auto"/>
              <w:bottom w:val="single" w:sz="4" w:space="0" w:color="auto"/>
            </w:tcBorders>
            <w:shd w:val="clear" w:color="auto" w:fill="auto"/>
            <w:vAlign w:val="center"/>
            <w:hideMark/>
          </w:tcPr>
          <w:p w14:paraId="0DF3CD42"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Temática(s) complementaria(s)</w:t>
            </w:r>
          </w:p>
        </w:tc>
        <w:tc>
          <w:tcPr>
            <w:tcW w:w="7371" w:type="dxa"/>
            <w:tcBorders>
              <w:top w:val="single" w:sz="4" w:space="0" w:color="auto"/>
              <w:bottom w:val="single" w:sz="4" w:space="0" w:color="auto"/>
            </w:tcBorders>
            <w:shd w:val="clear" w:color="auto" w:fill="auto"/>
            <w:vAlign w:val="center"/>
            <w:hideMark/>
          </w:tcPr>
          <w:p w14:paraId="5D160776"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Autor(es)/Aporte del estudio</w:t>
            </w:r>
          </w:p>
        </w:tc>
      </w:tr>
      <w:tr w:rsidR="00A46CE6" w:rsidRPr="00A46CE6" w14:paraId="6A7A4439" w14:textId="77777777" w:rsidTr="005F7B9F">
        <w:trPr>
          <w:trHeight w:val="607"/>
        </w:trPr>
        <w:tc>
          <w:tcPr>
            <w:tcW w:w="2127" w:type="dxa"/>
            <w:vMerge w:val="restart"/>
            <w:tcBorders>
              <w:top w:val="single" w:sz="4" w:space="0" w:color="auto"/>
            </w:tcBorders>
            <w:shd w:val="clear" w:color="auto" w:fill="auto"/>
            <w:vAlign w:val="center"/>
            <w:hideMark/>
          </w:tcPr>
          <w:p w14:paraId="0FD7791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Comedor escolar; Alimentación escolar</w:t>
            </w:r>
          </w:p>
          <w:p w14:paraId="584C95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0D117520"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1C7039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7AE2D10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Moreno (2023): Analiza cómo el Plan de Alimentación Escolar influye en la calidad educativa en Tunja.</w:t>
            </w:r>
          </w:p>
        </w:tc>
      </w:tr>
      <w:tr w:rsidR="00A46CE6" w:rsidRPr="00A46CE6" w14:paraId="3EAF27C6" w14:textId="77777777" w:rsidTr="005F7B9F">
        <w:trPr>
          <w:trHeight w:val="686"/>
        </w:trPr>
        <w:tc>
          <w:tcPr>
            <w:tcW w:w="2127" w:type="dxa"/>
            <w:vMerge/>
            <w:shd w:val="clear" w:color="auto" w:fill="auto"/>
            <w:vAlign w:val="center"/>
            <w:hideMark/>
          </w:tcPr>
          <w:p w14:paraId="6F982595"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AE6AE07"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Durán et al. (2023): Explora percepciones de docentes de educación física sobre el Programa de Alimentación Escolar, destacando fortalezas y debilidades.</w:t>
            </w:r>
          </w:p>
        </w:tc>
      </w:tr>
      <w:tr w:rsidR="00A46CE6" w:rsidRPr="00A46CE6" w14:paraId="4FDAF856" w14:textId="77777777" w:rsidTr="005F7B9F">
        <w:trPr>
          <w:trHeight w:val="696"/>
        </w:trPr>
        <w:tc>
          <w:tcPr>
            <w:tcW w:w="2127" w:type="dxa"/>
            <w:vMerge/>
            <w:shd w:val="clear" w:color="auto" w:fill="auto"/>
            <w:vAlign w:val="center"/>
            <w:hideMark/>
          </w:tcPr>
          <w:p w14:paraId="6095999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6330F3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Porras y Rojas (2024): Investiga el impacto directo del PAE sobre el rendimiento académico en pruebas estandarizadas colombianas.</w:t>
            </w:r>
          </w:p>
        </w:tc>
      </w:tr>
      <w:tr w:rsidR="00A46CE6" w:rsidRPr="00A46CE6" w14:paraId="7D38854A" w14:textId="77777777" w:rsidTr="005F7B9F">
        <w:trPr>
          <w:trHeight w:val="564"/>
        </w:trPr>
        <w:tc>
          <w:tcPr>
            <w:tcW w:w="2127" w:type="dxa"/>
            <w:vMerge/>
            <w:tcBorders>
              <w:bottom w:val="single" w:sz="4" w:space="0" w:color="auto"/>
            </w:tcBorders>
            <w:shd w:val="clear" w:color="auto" w:fill="auto"/>
            <w:vAlign w:val="center"/>
            <w:hideMark/>
          </w:tcPr>
          <w:p w14:paraId="1E75C8C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27A4ED8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roofErr w:type="spellStart"/>
            <w:r w:rsidRPr="00A46CE6">
              <w:rPr>
                <w:rFonts w:ascii="Arial" w:eastAsia="Times New Roman" w:hAnsi="Arial" w:cs="Arial"/>
                <w:color w:val="000000"/>
                <w:kern w:val="0"/>
                <w:sz w:val="20"/>
                <w:szCs w:val="20"/>
                <w:lang w:val="es-419" w:eastAsia="es-419"/>
                <w14:ligatures w14:val="none"/>
              </w:rPr>
              <w:t>Collante</w:t>
            </w:r>
            <w:proofErr w:type="spellEnd"/>
            <w:r w:rsidRPr="00A46CE6">
              <w:rPr>
                <w:rFonts w:ascii="Arial" w:eastAsia="Times New Roman" w:hAnsi="Arial" w:cs="Arial"/>
                <w:color w:val="000000"/>
                <w:kern w:val="0"/>
                <w:sz w:val="20"/>
                <w:szCs w:val="20"/>
                <w:lang w:val="es-419" w:eastAsia="es-419"/>
                <w14:ligatures w14:val="none"/>
              </w:rPr>
              <w:t>, Rodríguez y Sánchez (2022): Evidencia cómo los refrigerios escolares potencian resultados educativos en Colombia.</w:t>
            </w:r>
          </w:p>
        </w:tc>
      </w:tr>
      <w:tr w:rsidR="00A46CE6" w:rsidRPr="00A46CE6" w14:paraId="6563C09C" w14:textId="77777777" w:rsidTr="005F7B9F">
        <w:trPr>
          <w:trHeight w:val="558"/>
        </w:trPr>
        <w:tc>
          <w:tcPr>
            <w:tcW w:w="2127" w:type="dxa"/>
            <w:vMerge w:val="restart"/>
            <w:tcBorders>
              <w:top w:val="single" w:sz="4" w:space="0" w:color="auto"/>
            </w:tcBorders>
            <w:shd w:val="clear" w:color="auto" w:fill="auto"/>
            <w:vAlign w:val="center"/>
            <w:hideMark/>
          </w:tcPr>
          <w:p w14:paraId="7C5E6BC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Alimentación</w:t>
            </w:r>
          </w:p>
          <w:p w14:paraId="4D58BF54"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0B0C8DD"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916ADD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617C5A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09059812"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6A79147"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57D271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D52409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17852F36"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6B70E73B"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Acosta et al. (2021): Sistematiza evidencia sobre incidencia directa de la alimentación en rendimiento escolar infantil inicial.</w:t>
            </w:r>
          </w:p>
        </w:tc>
      </w:tr>
      <w:tr w:rsidR="00A46CE6" w:rsidRPr="00A46CE6" w14:paraId="787BEB4E" w14:textId="77777777" w:rsidTr="005F7B9F">
        <w:trPr>
          <w:trHeight w:val="552"/>
        </w:trPr>
        <w:tc>
          <w:tcPr>
            <w:tcW w:w="2127" w:type="dxa"/>
            <w:vMerge/>
            <w:shd w:val="clear" w:color="auto" w:fill="auto"/>
            <w:vAlign w:val="center"/>
            <w:hideMark/>
          </w:tcPr>
          <w:p w14:paraId="3EE11C61"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5D0A8AC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Durán et al. (2023): Relaciona factores nutricionales con rendimiento académico en contexto universitario.</w:t>
            </w:r>
          </w:p>
        </w:tc>
      </w:tr>
      <w:tr w:rsidR="00A46CE6" w:rsidRPr="00A46CE6" w14:paraId="283435FF" w14:textId="77777777" w:rsidTr="005F7B9F">
        <w:trPr>
          <w:trHeight w:val="560"/>
        </w:trPr>
        <w:tc>
          <w:tcPr>
            <w:tcW w:w="2127" w:type="dxa"/>
            <w:vMerge/>
            <w:shd w:val="clear" w:color="auto" w:fill="auto"/>
            <w:vAlign w:val="center"/>
            <w:hideMark/>
          </w:tcPr>
          <w:p w14:paraId="44FF13C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08A7CB70"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González (2021): Examina cómo el estado nutricional afecta al rendimiento académico general.</w:t>
            </w:r>
          </w:p>
        </w:tc>
      </w:tr>
      <w:tr w:rsidR="00A46CE6" w:rsidRPr="00A46CE6" w14:paraId="4577956E" w14:textId="77777777" w:rsidTr="005F7B9F">
        <w:trPr>
          <w:trHeight w:val="554"/>
        </w:trPr>
        <w:tc>
          <w:tcPr>
            <w:tcW w:w="2127" w:type="dxa"/>
            <w:vMerge/>
            <w:shd w:val="clear" w:color="auto" w:fill="auto"/>
            <w:vAlign w:val="center"/>
            <w:hideMark/>
          </w:tcPr>
          <w:p w14:paraId="760834DA"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3E0786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Santos y Barros (2022): Analiza la influencia nutricional sobre el desempeño escolar específico en una institución educativa.</w:t>
            </w:r>
          </w:p>
        </w:tc>
      </w:tr>
      <w:tr w:rsidR="00A46CE6" w:rsidRPr="00A46CE6" w14:paraId="113924B1" w14:textId="77777777" w:rsidTr="005F7B9F">
        <w:trPr>
          <w:trHeight w:val="562"/>
        </w:trPr>
        <w:tc>
          <w:tcPr>
            <w:tcW w:w="2127" w:type="dxa"/>
            <w:vMerge/>
            <w:shd w:val="clear" w:color="auto" w:fill="auto"/>
            <w:vAlign w:val="center"/>
            <w:hideMark/>
          </w:tcPr>
          <w:p w14:paraId="17AC7587"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E258A5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roofErr w:type="spellStart"/>
            <w:r w:rsidRPr="00A46CE6">
              <w:rPr>
                <w:rFonts w:ascii="Arial" w:eastAsia="Times New Roman" w:hAnsi="Arial" w:cs="Arial"/>
                <w:color w:val="000000"/>
                <w:kern w:val="0"/>
                <w:sz w:val="20"/>
                <w:szCs w:val="20"/>
                <w:lang w:val="es-419" w:eastAsia="es-419"/>
                <w14:ligatures w14:val="none"/>
              </w:rPr>
              <w:t>Ceme</w:t>
            </w:r>
            <w:proofErr w:type="spellEnd"/>
            <w:r w:rsidRPr="00A46CE6">
              <w:rPr>
                <w:rFonts w:ascii="Arial" w:eastAsia="Times New Roman" w:hAnsi="Arial" w:cs="Arial"/>
                <w:color w:val="000000"/>
                <w:kern w:val="0"/>
                <w:sz w:val="20"/>
                <w:szCs w:val="20"/>
                <w:lang w:val="es-419" w:eastAsia="es-419"/>
                <w14:ligatures w14:val="none"/>
              </w:rPr>
              <w:t xml:space="preserve"> (2021): Establece una relación directa entre hábitos alimenticios y desarrollo cognitivo infantil.</w:t>
            </w:r>
          </w:p>
        </w:tc>
      </w:tr>
      <w:tr w:rsidR="00A46CE6" w:rsidRPr="00A46CE6" w14:paraId="6CD00B61" w14:textId="77777777" w:rsidTr="005F7B9F">
        <w:trPr>
          <w:trHeight w:val="556"/>
        </w:trPr>
        <w:tc>
          <w:tcPr>
            <w:tcW w:w="2127" w:type="dxa"/>
            <w:vMerge/>
            <w:shd w:val="clear" w:color="auto" w:fill="auto"/>
            <w:vAlign w:val="center"/>
            <w:hideMark/>
          </w:tcPr>
          <w:p w14:paraId="5841622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5F5F79C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roofErr w:type="spellStart"/>
            <w:r w:rsidRPr="00A46CE6">
              <w:rPr>
                <w:rFonts w:ascii="Arial" w:eastAsia="Times New Roman" w:hAnsi="Arial" w:cs="Arial"/>
                <w:color w:val="000000"/>
                <w:kern w:val="0"/>
                <w:sz w:val="20"/>
                <w:szCs w:val="20"/>
                <w:lang w:val="es-419" w:eastAsia="es-419"/>
                <w14:ligatures w14:val="none"/>
              </w:rPr>
              <w:t>Pugo</w:t>
            </w:r>
            <w:proofErr w:type="spellEnd"/>
            <w:r w:rsidRPr="00A46CE6">
              <w:rPr>
                <w:rFonts w:ascii="Arial" w:eastAsia="Times New Roman" w:hAnsi="Arial" w:cs="Arial"/>
                <w:color w:val="000000"/>
                <w:kern w:val="0"/>
                <w:sz w:val="20"/>
                <w:szCs w:val="20"/>
                <w:lang w:val="es-419" w:eastAsia="es-419"/>
                <w14:ligatures w14:val="none"/>
              </w:rPr>
              <w:t xml:space="preserve"> y </w:t>
            </w:r>
            <w:proofErr w:type="spellStart"/>
            <w:r w:rsidRPr="00A46CE6">
              <w:rPr>
                <w:rFonts w:ascii="Arial" w:eastAsia="Times New Roman" w:hAnsi="Arial" w:cs="Arial"/>
                <w:color w:val="000000"/>
                <w:kern w:val="0"/>
                <w:sz w:val="20"/>
                <w:szCs w:val="20"/>
                <w:lang w:val="es-419" w:eastAsia="es-419"/>
                <w14:ligatures w14:val="none"/>
              </w:rPr>
              <w:t>Zhinin</w:t>
            </w:r>
            <w:proofErr w:type="spellEnd"/>
            <w:r w:rsidRPr="00A46CE6">
              <w:rPr>
                <w:rFonts w:ascii="Arial" w:eastAsia="Times New Roman" w:hAnsi="Arial" w:cs="Arial"/>
                <w:color w:val="000000"/>
                <w:kern w:val="0"/>
                <w:sz w:val="20"/>
                <w:szCs w:val="20"/>
                <w:lang w:val="es-419" w:eastAsia="es-419"/>
                <w14:ligatures w14:val="none"/>
              </w:rPr>
              <w:t xml:space="preserve"> (2020): Vincula hábitos nutricionales con desempeño académico en escolares ecuatorianos.</w:t>
            </w:r>
          </w:p>
        </w:tc>
      </w:tr>
      <w:tr w:rsidR="00A46CE6" w:rsidRPr="00A46CE6" w14:paraId="57D830C9" w14:textId="77777777" w:rsidTr="005F7B9F">
        <w:trPr>
          <w:trHeight w:val="564"/>
        </w:trPr>
        <w:tc>
          <w:tcPr>
            <w:tcW w:w="2127" w:type="dxa"/>
            <w:vMerge/>
            <w:shd w:val="clear" w:color="auto" w:fill="auto"/>
            <w:vAlign w:val="center"/>
            <w:hideMark/>
          </w:tcPr>
          <w:p w14:paraId="04516FA5"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334B3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Huamani (2021): Confirma la influencia del estado nutricional en el rendimiento académico escolar específico.</w:t>
            </w:r>
          </w:p>
        </w:tc>
      </w:tr>
      <w:tr w:rsidR="00A46CE6" w:rsidRPr="00A46CE6" w14:paraId="0E9FBF97" w14:textId="77777777" w:rsidTr="005F7B9F">
        <w:trPr>
          <w:trHeight w:val="544"/>
        </w:trPr>
        <w:tc>
          <w:tcPr>
            <w:tcW w:w="2127" w:type="dxa"/>
            <w:vMerge/>
            <w:shd w:val="clear" w:color="auto" w:fill="auto"/>
            <w:vAlign w:val="center"/>
            <w:hideMark/>
          </w:tcPr>
          <w:p w14:paraId="1BD47AB2"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173B2D0"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García y Cristina (2024): Examina relación entre nutrición y desempeño académico adolescente.</w:t>
            </w:r>
          </w:p>
        </w:tc>
      </w:tr>
      <w:tr w:rsidR="00A46CE6" w:rsidRPr="00A46CE6" w14:paraId="0E9CCC6A" w14:textId="77777777" w:rsidTr="005F7B9F">
        <w:trPr>
          <w:trHeight w:val="566"/>
        </w:trPr>
        <w:tc>
          <w:tcPr>
            <w:tcW w:w="2127" w:type="dxa"/>
            <w:vMerge/>
            <w:shd w:val="clear" w:color="auto" w:fill="auto"/>
            <w:vAlign w:val="center"/>
            <w:hideMark/>
          </w:tcPr>
          <w:p w14:paraId="2185B82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21F6A82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Sáez y Guillermo (2022): Vincula estilos de vida con rendimiento académico universitario.</w:t>
            </w:r>
          </w:p>
        </w:tc>
      </w:tr>
      <w:tr w:rsidR="00A46CE6" w:rsidRPr="00A46CE6" w14:paraId="65F3FAAA" w14:textId="77777777" w:rsidTr="005F7B9F">
        <w:trPr>
          <w:trHeight w:val="560"/>
        </w:trPr>
        <w:tc>
          <w:tcPr>
            <w:tcW w:w="2127" w:type="dxa"/>
            <w:vMerge/>
            <w:tcBorders>
              <w:bottom w:val="single" w:sz="4" w:space="0" w:color="auto"/>
            </w:tcBorders>
            <w:shd w:val="clear" w:color="auto" w:fill="auto"/>
            <w:vAlign w:val="center"/>
            <w:hideMark/>
          </w:tcPr>
          <w:p w14:paraId="305AAA7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214B6F27"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Forero et al. (2023): Analiza la relación general entre hábitos alimenticios y rendimiento escolar en América Latina.</w:t>
            </w:r>
          </w:p>
        </w:tc>
      </w:tr>
      <w:tr w:rsidR="00A46CE6" w:rsidRPr="00A46CE6" w14:paraId="3D939020" w14:textId="77777777" w:rsidTr="005F7B9F">
        <w:trPr>
          <w:trHeight w:val="540"/>
        </w:trPr>
        <w:tc>
          <w:tcPr>
            <w:tcW w:w="2127" w:type="dxa"/>
            <w:vMerge w:val="restart"/>
            <w:tcBorders>
              <w:top w:val="single" w:sz="4" w:space="0" w:color="auto"/>
              <w:bottom w:val="single" w:sz="4" w:space="0" w:color="auto"/>
            </w:tcBorders>
            <w:shd w:val="clear" w:color="auto" w:fill="auto"/>
            <w:vAlign w:val="center"/>
            <w:hideMark/>
          </w:tcPr>
          <w:p w14:paraId="5BE4413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Crecimiento y desarrollo</w:t>
            </w:r>
          </w:p>
          <w:p w14:paraId="5EA7E0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95DA8A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491C1A69"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lastRenderedPageBreak/>
              <w:t> </w:t>
            </w:r>
          </w:p>
        </w:tc>
        <w:tc>
          <w:tcPr>
            <w:tcW w:w="7371" w:type="dxa"/>
            <w:tcBorders>
              <w:top w:val="single" w:sz="4" w:space="0" w:color="auto"/>
            </w:tcBorders>
            <w:shd w:val="clear" w:color="auto" w:fill="auto"/>
            <w:vAlign w:val="center"/>
            <w:hideMark/>
          </w:tcPr>
          <w:p w14:paraId="562DFEC4"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lastRenderedPageBreak/>
              <w:t>Merchán et al. (2024): Evidencia cómo la desnutrición limita desarrollo integral infantil en América Latina.</w:t>
            </w:r>
          </w:p>
        </w:tc>
      </w:tr>
      <w:tr w:rsidR="00A46CE6" w:rsidRPr="00A46CE6" w14:paraId="6F57BD0B" w14:textId="77777777" w:rsidTr="005F7B9F">
        <w:trPr>
          <w:trHeight w:val="576"/>
        </w:trPr>
        <w:tc>
          <w:tcPr>
            <w:tcW w:w="2127" w:type="dxa"/>
            <w:vMerge/>
            <w:tcBorders>
              <w:bottom w:val="single" w:sz="4" w:space="0" w:color="auto"/>
            </w:tcBorders>
            <w:shd w:val="clear" w:color="auto" w:fill="auto"/>
            <w:vAlign w:val="center"/>
            <w:hideMark/>
          </w:tcPr>
          <w:p w14:paraId="610CFD2E"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A59BA9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Cruz et al. (2024): Vincula directamente nutrición con desarrollo físico-cognitivo en preescolares ecuatorianos.</w:t>
            </w:r>
          </w:p>
        </w:tc>
      </w:tr>
      <w:tr w:rsidR="00A46CE6" w:rsidRPr="00A46CE6" w14:paraId="69A86368" w14:textId="77777777" w:rsidTr="005F7B9F">
        <w:trPr>
          <w:trHeight w:val="556"/>
        </w:trPr>
        <w:tc>
          <w:tcPr>
            <w:tcW w:w="2127" w:type="dxa"/>
            <w:vMerge/>
            <w:tcBorders>
              <w:bottom w:val="single" w:sz="4" w:space="0" w:color="auto"/>
            </w:tcBorders>
            <w:shd w:val="clear" w:color="auto" w:fill="auto"/>
            <w:vAlign w:val="center"/>
            <w:hideMark/>
          </w:tcPr>
          <w:p w14:paraId="13FC43D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FC23CE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Amaya y Agudelo (2020): Destaca cómo la malnutrición afecta negativamente el desarrollo social infantil en Medellín.</w:t>
            </w:r>
          </w:p>
        </w:tc>
      </w:tr>
      <w:tr w:rsidR="00A46CE6" w:rsidRPr="00A46CE6" w14:paraId="79ADD8CE" w14:textId="77777777" w:rsidTr="005F7B9F">
        <w:trPr>
          <w:trHeight w:val="529"/>
        </w:trPr>
        <w:tc>
          <w:tcPr>
            <w:tcW w:w="2127" w:type="dxa"/>
            <w:vMerge/>
            <w:tcBorders>
              <w:bottom w:val="single" w:sz="4" w:space="0" w:color="auto"/>
            </w:tcBorders>
            <w:shd w:val="clear" w:color="auto" w:fill="auto"/>
            <w:vAlign w:val="center"/>
            <w:hideMark/>
          </w:tcPr>
          <w:p w14:paraId="7BFA6AA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50DAEC7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Cortés y Pérez (2023): Profundiza en cómo la desnutrición crónica afecta crecimiento y desarrollo infantil.</w:t>
            </w:r>
          </w:p>
        </w:tc>
      </w:tr>
      <w:tr w:rsidR="00A46CE6" w:rsidRPr="00A46CE6" w14:paraId="6C3396E4" w14:textId="77777777" w:rsidTr="005F7B9F">
        <w:trPr>
          <w:trHeight w:val="530"/>
        </w:trPr>
        <w:tc>
          <w:tcPr>
            <w:tcW w:w="2127" w:type="dxa"/>
            <w:vMerge w:val="restart"/>
            <w:tcBorders>
              <w:top w:val="single" w:sz="4" w:space="0" w:color="auto"/>
            </w:tcBorders>
            <w:shd w:val="clear" w:color="auto" w:fill="auto"/>
            <w:vAlign w:val="center"/>
            <w:hideMark/>
          </w:tcPr>
          <w:p w14:paraId="1D635FA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Desnutrición; Malnutrición</w:t>
            </w:r>
          </w:p>
        </w:tc>
        <w:tc>
          <w:tcPr>
            <w:tcW w:w="7371" w:type="dxa"/>
            <w:tcBorders>
              <w:top w:val="single" w:sz="4" w:space="0" w:color="auto"/>
            </w:tcBorders>
            <w:shd w:val="clear" w:color="auto" w:fill="auto"/>
            <w:vAlign w:val="center"/>
            <w:hideMark/>
          </w:tcPr>
          <w:p w14:paraId="08597D96"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Cantos (2020): Investiga impacto específico de la desnutrición en el rendimiento escolar.</w:t>
            </w:r>
          </w:p>
        </w:tc>
      </w:tr>
      <w:tr w:rsidR="00A46CE6" w:rsidRPr="00A46CE6" w14:paraId="4C3F7E1D" w14:textId="77777777" w:rsidTr="005F7B9F">
        <w:trPr>
          <w:trHeight w:val="580"/>
        </w:trPr>
        <w:tc>
          <w:tcPr>
            <w:tcW w:w="2127" w:type="dxa"/>
            <w:vMerge/>
            <w:shd w:val="clear" w:color="auto" w:fill="auto"/>
            <w:vAlign w:val="center"/>
            <w:hideMark/>
          </w:tcPr>
          <w:p w14:paraId="123099E6"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D8CC3C6"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Ticona (2021): Relaciona directamente desnutrición con desempeño académico en escolares peruanos.</w:t>
            </w:r>
          </w:p>
        </w:tc>
      </w:tr>
      <w:tr w:rsidR="00A46CE6" w:rsidRPr="00A46CE6" w14:paraId="41EA5DAE" w14:textId="77777777" w:rsidTr="005F7B9F">
        <w:trPr>
          <w:trHeight w:val="524"/>
        </w:trPr>
        <w:tc>
          <w:tcPr>
            <w:tcW w:w="2127" w:type="dxa"/>
            <w:vMerge/>
            <w:shd w:val="clear" w:color="auto" w:fill="auto"/>
            <w:vAlign w:val="center"/>
            <w:hideMark/>
          </w:tcPr>
          <w:p w14:paraId="3AD5E9B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B72E5E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Feijoo (2020): Establece vínculo entre desnutrición temprana y bajo rendimiento escolar preescolar.</w:t>
            </w:r>
          </w:p>
        </w:tc>
      </w:tr>
      <w:tr w:rsidR="00A46CE6" w:rsidRPr="00A46CE6" w14:paraId="3ACE2C38" w14:textId="77777777" w:rsidTr="005F7B9F">
        <w:trPr>
          <w:trHeight w:val="545"/>
        </w:trPr>
        <w:tc>
          <w:tcPr>
            <w:tcW w:w="2127" w:type="dxa"/>
            <w:vMerge/>
            <w:shd w:val="clear" w:color="auto" w:fill="auto"/>
            <w:vAlign w:val="center"/>
            <w:hideMark/>
          </w:tcPr>
          <w:p w14:paraId="5718ADBB"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8CDD0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Trávez et al. (2024): Confirma la influencia negativa de desnutrición en desempeño académico adolescente.</w:t>
            </w:r>
          </w:p>
        </w:tc>
      </w:tr>
      <w:tr w:rsidR="00A46CE6" w:rsidRPr="00A46CE6" w14:paraId="4A6D086D" w14:textId="77777777" w:rsidTr="005F7B9F">
        <w:trPr>
          <w:trHeight w:val="573"/>
        </w:trPr>
        <w:tc>
          <w:tcPr>
            <w:tcW w:w="2127" w:type="dxa"/>
            <w:vMerge/>
            <w:tcBorders>
              <w:bottom w:val="single" w:sz="4" w:space="0" w:color="auto"/>
            </w:tcBorders>
            <w:shd w:val="clear" w:color="auto" w:fill="auto"/>
            <w:vAlign w:val="center"/>
            <w:hideMark/>
          </w:tcPr>
          <w:p w14:paraId="12832B5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4D22C85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Santisteban (2021): Relaciona desnutrición infantil con dificultades específicas de aprendizaje inicial.</w:t>
            </w:r>
          </w:p>
        </w:tc>
      </w:tr>
    </w:tbl>
    <w:p w14:paraId="53E90E5F"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2ED9250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Resulta especialmente interesante que el mayor porcentaje de publicaciones recopiladas se concentre en el año 2024, lo que evidencia un interés creciente y vigente en investigar la relación entre nutrición y desempeño escolar. Tal concentración da cuenta de la actualidad del tema y de la urgencia e importancia social y académica que adquiere en escenarios contemporáneos. Asimismo, el hecho de que la mayoría de los estudios provengan del motor de búsqueda Google Académico indica que gran parte de la producción científica sobre esta problemática está disponible en fuentes abiertas, es decir, están al alcance de los ámbitos académicos, políticos y escolares. En tanto, el equilibrio metodológico entre enfoques cualitativos y cuantitativos, sumado al uso también habitual de métodos mixtos, potencia la trascendencia de estos resultados al integrar diferentes dimensiones del problema nutricional-académico desde múltiples perspectivas investigativas.</w:t>
      </w:r>
    </w:p>
    <w:p w14:paraId="5B6D970A"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Por otro lado, la predominancia clara de la tipología de artículos científicos en la data sugiere una valoración rigurosa y sistemática en la investigación del fenómeno estudiado, lo que consolida una base empírica interesante que refuerza su validez científica y aplicabilidad práctica. Ahora bien, desde el punto de vista temático, la revisión </w:t>
      </w:r>
      <w:r w:rsidRPr="00A46CE6">
        <w:rPr>
          <w:rFonts w:ascii="Arial" w:eastAsia="Calibri" w:hAnsi="Arial" w:cs="Times New Roman"/>
          <w:kern w:val="0"/>
          <w:szCs w:val="24"/>
          <w:lang w:val="es-419"/>
          <w14:ligatures w14:val="none"/>
        </w:rPr>
        <w:lastRenderedPageBreak/>
        <w:t>reveló que la nutrición aparece como un eje central ampliamente consensuado, vinculado estrechamente con el rendimiento académico y el 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p>
    <w:p w14:paraId="16484841"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Finalmente, las temáticas complementarias que se hicieron evidentes en la búsqueda (desnutrición, malnutrición, obesidad, programas escolares de alimentación, condición física y factores socioeconómicos) permiten identificar claramente ámbitos específicos de intervención educativa y social. La presencia amplia de estudios latinoamericanos destaca la relevancia regional y la necesidad urgente de atender estos factores nutricionales en el territorio.</w:t>
      </w:r>
    </w:p>
    <w:p w14:paraId="6E08B57C"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3A144E6F" w14:textId="77777777" w:rsidR="001963DD" w:rsidRDefault="001963DD"/>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E6"/>
    <w:rsid w:val="001963DD"/>
    <w:rsid w:val="001D46CB"/>
    <w:rsid w:val="002942DB"/>
    <w:rsid w:val="005E3097"/>
    <w:rsid w:val="00A46CE6"/>
    <w:rsid w:val="00DC2E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AF03"/>
  <w15:chartTrackingRefBased/>
  <w15:docId w15:val="{711F7B9A-4AB2-43A6-8783-2E8183E8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6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46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46C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46C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46C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46C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6C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6C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6C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C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46C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46C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46C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46C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46C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6C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6C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6CE6"/>
    <w:rPr>
      <w:rFonts w:eastAsiaTheme="majorEastAsia" w:cstheme="majorBidi"/>
      <w:color w:val="272727" w:themeColor="text1" w:themeTint="D8"/>
    </w:rPr>
  </w:style>
  <w:style w:type="paragraph" w:styleId="Ttulo">
    <w:name w:val="Title"/>
    <w:basedOn w:val="Normal"/>
    <w:next w:val="Normal"/>
    <w:link w:val="TtuloCar"/>
    <w:uiPriority w:val="10"/>
    <w:qFormat/>
    <w:rsid w:val="00A46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6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6C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6C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6CE6"/>
    <w:pPr>
      <w:spacing w:before="160"/>
      <w:jc w:val="center"/>
    </w:pPr>
    <w:rPr>
      <w:i/>
      <w:iCs/>
      <w:color w:val="404040" w:themeColor="text1" w:themeTint="BF"/>
    </w:rPr>
  </w:style>
  <w:style w:type="character" w:customStyle="1" w:styleId="CitaCar">
    <w:name w:val="Cita Car"/>
    <w:basedOn w:val="Fuentedeprrafopredeter"/>
    <w:link w:val="Cita"/>
    <w:uiPriority w:val="29"/>
    <w:rsid w:val="00A46CE6"/>
    <w:rPr>
      <w:i/>
      <w:iCs/>
      <w:color w:val="404040" w:themeColor="text1" w:themeTint="BF"/>
    </w:rPr>
  </w:style>
  <w:style w:type="paragraph" w:styleId="Prrafodelista">
    <w:name w:val="List Paragraph"/>
    <w:basedOn w:val="Normal"/>
    <w:uiPriority w:val="34"/>
    <w:qFormat/>
    <w:rsid w:val="00A46CE6"/>
    <w:pPr>
      <w:ind w:left="720"/>
      <w:contextualSpacing/>
    </w:pPr>
  </w:style>
  <w:style w:type="character" w:styleId="nfasisintenso">
    <w:name w:val="Intense Emphasis"/>
    <w:basedOn w:val="Fuentedeprrafopredeter"/>
    <w:uiPriority w:val="21"/>
    <w:qFormat/>
    <w:rsid w:val="00A46CE6"/>
    <w:rPr>
      <w:i/>
      <w:iCs/>
      <w:color w:val="2F5496" w:themeColor="accent1" w:themeShade="BF"/>
    </w:rPr>
  </w:style>
  <w:style w:type="paragraph" w:styleId="Citadestacada">
    <w:name w:val="Intense Quote"/>
    <w:basedOn w:val="Normal"/>
    <w:next w:val="Normal"/>
    <w:link w:val="CitadestacadaCar"/>
    <w:uiPriority w:val="30"/>
    <w:qFormat/>
    <w:rsid w:val="00A46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46CE6"/>
    <w:rPr>
      <w:i/>
      <w:iCs/>
      <w:color w:val="2F5496" w:themeColor="accent1" w:themeShade="BF"/>
    </w:rPr>
  </w:style>
  <w:style w:type="character" w:styleId="Referenciaintensa">
    <w:name w:val="Intense Reference"/>
    <w:basedOn w:val="Fuentedeprrafopredeter"/>
    <w:uiPriority w:val="32"/>
    <w:qFormat/>
    <w:rsid w:val="00A46CE6"/>
    <w:rPr>
      <w:b/>
      <w:bCs/>
      <w:smallCaps/>
      <w:color w:val="2F5496" w:themeColor="accent1" w:themeShade="BF"/>
      <w:spacing w:val="5"/>
    </w:rPr>
  </w:style>
  <w:style w:type="paragraph" w:customStyle="1" w:styleId="Autores">
    <w:name w:val="Autores"/>
    <w:basedOn w:val="Normal"/>
    <w:qFormat/>
    <w:rsid w:val="00A46CE6"/>
    <w:pPr>
      <w:spacing w:after="0" w:line="480" w:lineRule="auto"/>
      <w:jc w:val="center"/>
    </w:pPr>
    <w:rPr>
      <w:rFonts w:ascii="Arial" w:hAnsi="Arial"/>
      <w:kern w:val="0"/>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D555-4F04-8219-A24A6D4BF034}"/>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1CF3-400C-97E6-83D5F654760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AEF5-4F9B-8845-C056DDCF24E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B390-4AA9-86DA-81486F6C7408}"/>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s>
</file>

<file path=customXml/itemProps1.xml><?xml version="1.0" encoding="utf-8"?>
<ds:datastoreItem xmlns:ds="http://schemas.openxmlformats.org/officeDocument/2006/customXml" ds:itemID="{C561DDFF-D42D-4F35-86E4-7A24DEFFD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2052</Words>
  <Characters>11290</Characters>
  <Application>Microsoft Office Word</Application>
  <DocSecurity>0</DocSecurity>
  <Lines>94</Lines>
  <Paragraphs>26</Paragraphs>
  <ScaleCrop>false</ScaleCrop>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2025-04-03T19:15:00Z</dcterms:created>
  <dcterms:modified xsi:type="dcterms:W3CDTF">2025-04-03T19:20:00Z</dcterms:modified>
</cp:coreProperties>
</file>