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60758" w14:textId="77777777" w:rsidR="00FB4FB7" w:rsidRPr="00FB4FB7" w:rsidRDefault="00FB4FB7" w:rsidP="00FB4FB7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419"/>
        </w:rPr>
      </w:pPr>
      <w:bookmarkStart w:id="0" w:name="_Hlk193377968"/>
      <w:r w:rsidRPr="00FB4FB7">
        <w:rPr>
          <w:rFonts w:ascii="Times New Roman" w:hAnsi="Times New Roman" w:cs="Times New Roman"/>
          <w:b/>
          <w:bCs/>
          <w:sz w:val="24"/>
          <w:szCs w:val="24"/>
          <w:lang w:val="es-419"/>
        </w:rPr>
        <w:t xml:space="preserve">Factores nutricionales que inciden en el rendimiento escolar: </w:t>
      </w:r>
      <w:r w:rsidRPr="00FB4FB7">
        <w:rPr>
          <w:rFonts w:ascii="Times New Roman" w:hAnsi="Times New Roman" w:cs="Times New Roman"/>
          <w:b/>
          <w:bCs/>
          <w:sz w:val="24"/>
          <w:szCs w:val="24"/>
          <w:lang w:val="es-419"/>
        </w:rPr>
        <w:br/>
        <w:t>Una revisión de la literatura entre 2020-2025</w:t>
      </w:r>
    </w:p>
    <w:p w14:paraId="20B955EC" w14:textId="59521D45" w:rsidR="0007657C" w:rsidRDefault="009C76A3" w:rsidP="00B048DA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>
        <w:rPr>
          <w:rFonts w:ascii="Times New Roman" w:hAnsi="Times New Roman" w:cs="Times New Roman"/>
          <w:sz w:val="24"/>
          <w:szCs w:val="24"/>
          <w:lang w:val="es-419"/>
        </w:rPr>
        <w:t xml:space="preserve">El estudio de revisión planteado parte de la siguiente pregunta problema: </w:t>
      </w:r>
      <w:r w:rsidR="00B048DA" w:rsidRPr="00B048DA">
        <w:rPr>
          <w:rFonts w:ascii="Times New Roman" w:hAnsi="Times New Roman" w:cs="Times New Roman"/>
          <w:sz w:val="24"/>
          <w:szCs w:val="24"/>
          <w:lang w:val="es-419"/>
        </w:rPr>
        <w:t xml:space="preserve">¿Cuáles son los factores nutricionales que inciden en el rendimiento escolar de los estudiantes? </w:t>
      </w:r>
      <w:r>
        <w:rPr>
          <w:rFonts w:ascii="Times New Roman" w:hAnsi="Times New Roman" w:cs="Times New Roman"/>
          <w:sz w:val="24"/>
          <w:szCs w:val="24"/>
          <w:lang w:val="es-419"/>
        </w:rPr>
        <w:t xml:space="preserve">En busca de una respuesta argumentada, se realizó la revisión de </w:t>
      </w:r>
      <w:r w:rsidR="00B048DA" w:rsidRPr="00B048DA">
        <w:rPr>
          <w:rFonts w:ascii="Times New Roman" w:hAnsi="Times New Roman" w:cs="Times New Roman"/>
          <w:sz w:val="24"/>
          <w:szCs w:val="24"/>
          <w:lang w:val="es-419"/>
        </w:rPr>
        <w:t>estudios recientes (de entre 2020-2025) que abord</w:t>
      </w:r>
      <w:r>
        <w:rPr>
          <w:rFonts w:ascii="Times New Roman" w:hAnsi="Times New Roman" w:cs="Times New Roman"/>
          <w:sz w:val="24"/>
          <w:szCs w:val="24"/>
          <w:lang w:val="es-419"/>
        </w:rPr>
        <w:t>ara</w:t>
      </w:r>
      <w:r w:rsidR="00B048DA" w:rsidRPr="00B048DA">
        <w:rPr>
          <w:rFonts w:ascii="Times New Roman" w:hAnsi="Times New Roman" w:cs="Times New Roman"/>
          <w:sz w:val="24"/>
          <w:szCs w:val="24"/>
          <w:lang w:val="es-419"/>
        </w:rPr>
        <w:t xml:space="preserve">n los factores nutricionales incidentes en la función cognitiva y, consecuentemente, en el rendimiento académico estudiantil. </w:t>
      </w:r>
      <w:r>
        <w:rPr>
          <w:rFonts w:ascii="Times New Roman" w:hAnsi="Times New Roman" w:cs="Times New Roman"/>
          <w:sz w:val="24"/>
          <w:szCs w:val="24"/>
          <w:lang w:val="es-419"/>
        </w:rPr>
        <w:t xml:space="preserve">Para ello, se consultaron </w:t>
      </w:r>
      <w:r w:rsidR="00B048DA" w:rsidRPr="00B048DA">
        <w:rPr>
          <w:rFonts w:ascii="Times New Roman" w:hAnsi="Times New Roman" w:cs="Times New Roman"/>
          <w:sz w:val="24"/>
          <w:szCs w:val="24"/>
          <w:lang w:val="es-419"/>
        </w:rPr>
        <w:t xml:space="preserve">bases de datos como PubMed, Medline, </w:t>
      </w:r>
      <w:proofErr w:type="spellStart"/>
      <w:r w:rsidR="00B048DA" w:rsidRPr="00B048DA">
        <w:rPr>
          <w:rFonts w:ascii="Times New Roman" w:hAnsi="Times New Roman" w:cs="Times New Roman"/>
          <w:sz w:val="24"/>
          <w:szCs w:val="24"/>
          <w:lang w:val="es-419"/>
        </w:rPr>
        <w:t>Science</w:t>
      </w:r>
      <w:proofErr w:type="spellEnd"/>
      <w:r w:rsidR="00B048DA" w:rsidRPr="00B048DA">
        <w:rPr>
          <w:rFonts w:ascii="Times New Roman" w:hAnsi="Times New Roman" w:cs="Times New Roman"/>
          <w:sz w:val="24"/>
          <w:szCs w:val="24"/>
          <w:lang w:val="es-419"/>
        </w:rPr>
        <w:t xml:space="preserve"> Direct, Web </w:t>
      </w:r>
      <w:proofErr w:type="spellStart"/>
      <w:r w:rsidR="00B048DA" w:rsidRPr="00B048DA">
        <w:rPr>
          <w:rFonts w:ascii="Times New Roman" w:hAnsi="Times New Roman" w:cs="Times New Roman"/>
          <w:sz w:val="24"/>
          <w:szCs w:val="24"/>
          <w:lang w:val="es-419"/>
        </w:rPr>
        <w:t>of</w:t>
      </w:r>
      <w:proofErr w:type="spellEnd"/>
      <w:r w:rsidR="00B048DA" w:rsidRPr="00B048DA">
        <w:rPr>
          <w:rFonts w:ascii="Times New Roman" w:hAnsi="Times New Roman" w:cs="Times New Roman"/>
          <w:sz w:val="24"/>
          <w:szCs w:val="24"/>
          <w:lang w:val="es-419"/>
        </w:rPr>
        <w:t xml:space="preserve"> </w:t>
      </w:r>
      <w:proofErr w:type="spellStart"/>
      <w:r w:rsidR="00B048DA" w:rsidRPr="00B048DA">
        <w:rPr>
          <w:rFonts w:ascii="Times New Roman" w:hAnsi="Times New Roman" w:cs="Times New Roman"/>
          <w:sz w:val="24"/>
          <w:szCs w:val="24"/>
          <w:lang w:val="es-419"/>
        </w:rPr>
        <w:t>Science</w:t>
      </w:r>
      <w:proofErr w:type="spellEnd"/>
      <w:r w:rsidR="00B048DA" w:rsidRPr="00B048DA">
        <w:rPr>
          <w:rFonts w:ascii="Times New Roman" w:hAnsi="Times New Roman" w:cs="Times New Roman"/>
          <w:sz w:val="24"/>
          <w:szCs w:val="24"/>
          <w:lang w:val="es-419"/>
        </w:rPr>
        <w:t xml:space="preserve"> y Google Académico</w:t>
      </w:r>
      <w:r w:rsidR="0007355F">
        <w:rPr>
          <w:rFonts w:ascii="Times New Roman" w:hAnsi="Times New Roman" w:cs="Times New Roman"/>
          <w:sz w:val="24"/>
          <w:szCs w:val="24"/>
          <w:lang w:val="es-419"/>
        </w:rPr>
        <w:t>, utilizando como predictores de búsqueda las palabras “nutrición”, “rendimiento académico” y “aprendizaje”</w:t>
      </w:r>
      <w:r w:rsidR="00B048DA" w:rsidRPr="00B048DA">
        <w:rPr>
          <w:rFonts w:ascii="Times New Roman" w:hAnsi="Times New Roman" w:cs="Times New Roman"/>
          <w:sz w:val="24"/>
          <w:szCs w:val="24"/>
          <w:lang w:val="es-419"/>
        </w:rPr>
        <w:t>.</w:t>
      </w:r>
      <w:r w:rsidR="0007355F">
        <w:rPr>
          <w:rFonts w:ascii="Times New Roman" w:hAnsi="Times New Roman" w:cs="Times New Roman"/>
          <w:sz w:val="24"/>
          <w:szCs w:val="24"/>
          <w:lang w:val="es-419"/>
        </w:rPr>
        <w:t xml:space="preserve"> Después de un primer filtro general, se a</w:t>
      </w:r>
      <w:r w:rsidR="007240F3">
        <w:rPr>
          <w:rFonts w:ascii="Times New Roman" w:hAnsi="Times New Roman" w:cs="Times New Roman"/>
          <w:sz w:val="24"/>
          <w:szCs w:val="24"/>
          <w:lang w:val="es-419"/>
        </w:rPr>
        <w:t>isló una data compuesta por cincuenta (</w:t>
      </w:r>
      <w:r w:rsidR="00B048DA" w:rsidRPr="00B048DA">
        <w:rPr>
          <w:rFonts w:ascii="Times New Roman" w:hAnsi="Times New Roman" w:cs="Times New Roman"/>
          <w:sz w:val="24"/>
          <w:szCs w:val="24"/>
          <w:lang w:val="es-419"/>
        </w:rPr>
        <w:t>50</w:t>
      </w:r>
      <w:r w:rsidR="007240F3">
        <w:rPr>
          <w:rFonts w:ascii="Times New Roman" w:hAnsi="Times New Roman" w:cs="Times New Roman"/>
          <w:sz w:val="24"/>
          <w:szCs w:val="24"/>
          <w:lang w:val="es-419"/>
        </w:rPr>
        <w:t>)</w:t>
      </w:r>
      <w:r w:rsidR="00B048DA" w:rsidRPr="00B048DA">
        <w:rPr>
          <w:rFonts w:ascii="Times New Roman" w:hAnsi="Times New Roman" w:cs="Times New Roman"/>
          <w:sz w:val="24"/>
          <w:szCs w:val="24"/>
          <w:lang w:val="es-419"/>
        </w:rPr>
        <w:t xml:space="preserve"> documentos</w:t>
      </w:r>
      <w:r w:rsidR="007240F3">
        <w:rPr>
          <w:rFonts w:ascii="Times New Roman" w:hAnsi="Times New Roman" w:cs="Times New Roman"/>
          <w:sz w:val="24"/>
          <w:szCs w:val="24"/>
          <w:lang w:val="es-419"/>
        </w:rPr>
        <w:t xml:space="preserve"> de diferente tipología (predominantemente artículos científicos)</w:t>
      </w:r>
      <w:r w:rsidR="00B048DA" w:rsidRPr="00B048DA">
        <w:rPr>
          <w:rFonts w:ascii="Times New Roman" w:hAnsi="Times New Roman" w:cs="Times New Roman"/>
          <w:sz w:val="24"/>
          <w:szCs w:val="24"/>
          <w:lang w:val="es-419"/>
        </w:rPr>
        <w:t xml:space="preserve">, que </w:t>
      </w:r>
      <w:r w:rsidR="000B15EB">
        <w:rPr>
          <w:rFonts w:ascii="Times New Roman" w:hAnsi="Times New Roman" w:cs="Times New Roman"/>
          <w:sz w:val="24"/>
          <w:szCs w:val="24"/>
          <w:lang w:val="es-419"/>
        </w:rPr>
        <w:t>aportan</w:t>
      </w:r>
      <w:r w:rsidR="00B048DA" w:rsidRPr="00B048DA">
        <w:rPr>
          <w:rFonts w:ascii="Times New Roman" w:hAnsi="Times New Roman" w:cs="Times New Roman"/>
          <w:sz w:val="24"/>
          <w:szCs w:val="24"/>
          <w:lang w:val="es-419"/>
        </w:rPr>
        <w:t xml:space="preserve"> contribuciones representativas.</w:t>
      </w:r>
      <w:r w:rsidR="0007657C">
        <w:rPr>
          <w:rFonts w:ascii="Times New Roman" w:hAnsi="Times New Roman" w:cs="Times New Roman"/>
          <w:sz w:val="24"/>
          <w:szCs w:val="24"/>
          <w:lang w:val="es-419"/>
        </w:rPr>
        <w:t xml:space="preserve"> A continuación, se realiza una breve cartografía de sus características. </w:t>
      </w:r>
    </w:p>
    <w:p w14:paraId="280C2E52" w14:textId="7D02B287" w:rsidR="00902C16" w:rsidRDefault="0007657C" w:rsidP="00B048DA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>
        <w:rPr>
          <w:rFonts w:ascii="Times New Roman" w:hAnsi="Times New Roman" w:cs="Times New Roman"/>
          <w:sz w:val="24"/>
          <w:szCs w:val="24"/>
          <w:lang w:val="es-419"/>
        </w:rPr>
        <w:tab/>
        <w:t xml:space="preserve">En lo que respecta a su rango temporal, </w:t>
      </w:r>
      <w:r w:rsidR="002844DC">
        <w:rPr>
          <w:rFonts w:ascii="Times New Roman" w:hAnsi="Times New Roman" w:cs="Times New Roman"/>
          <w:sz w:val="24"/>
          <w:szCs w:val="24"/>
          <w:lang w:val="es-419"/>
        </w:rPr>
        <w:t xml:space="preserve">la mayoría de los estudios catalogados </w:t>
      </w:r>
      <w:r w:rsidR="006F013B">
        <w:rPr>
          <w:rFonts w:ascii="Times New Roman" w:hAnsi="Times New Roman" w:cs="Times New Roman"/>
          <w:sz w:val="24"/>
          <w:szCs w:val="24"/>
          <w:lang w:val="es-419"/>
        </w:rPr>
        <w:t xml:space="preserve">(24%) </w:t>
      </w:r>
      <w:r w:rsidR="002844DC">
        <w:rPr>
          <w:rFonts w:ascii="Times New Roman" w:hAnsi="Times New Roman" w:cs="Times New Roman"/>
          <w:sz w:val="24"/>
          <w:szCs w:val="24"/>
          <w:lang w:val="es-419"/>
        </w:rPr>
        <w:t>fueron publicados en 2024, lo que da cuenta de un vigente interés investigativo en la temática de interés</w:t>
      </w:r>
      <w:r w:rsidR="00902C16">
        <w:rPr>
          <w:rFonts w:ascii="Times New Roman" w:hAnsi="Times New Roman" w:cs="Times New Roman"/>
          <w:sz w:val="24"/>
          <w:szCs w:val="24"/>
          <w:lang w:val="es-419"/>
        </w:rPr>
        <w:t xml:space="preserve"> (ver Figura 1).</w:t>
      </w:r>
      <w:r w:rsidR="00521DB0">
        <w:rPr>
          <w:rFonts w:ascii="Times New Roman" w:hAnsi="Times New Roman" w:cs="Times New Roman"/>
          <w:sz w:val="24"/>
          <w:szCs w:val="24"/>
          <w:lang w:val="es-419"/>
        </w:rPr>
        <w:t xml:space="preserve"> Por otro lado, en lo que respecta a su procedencia, los trabajos fueron aislados, principalmente </w:t>
      </w:r>
      <w:r w:rsidR="006F013B">
        <w:rPr>
          <w:rFonts w:ascii="Times New Roman" w:hAnsi="Times New Roman" w:cs="Times New Roman"/>
          <w:sz w:val="24"/>
          <w:szCs w:val="24"/>
          <w:lang w:val="es-419"/>
        </w:rPr>
        <w:t>en la base de datos Google Académico (</w:t>
      </w:r>
      <w:r w:rsidR="00EE57D7">
        <w:rPr>
          <w:rFonts w:ascii="Times New Roman" w:hAnsi="Times New Roman" w:cs="Times New Roman"/>
          <w:sz w:val="24"/>
          <w:szCs w:val="24"/>
          <w:lang w:val="es-419"/>
        </w:rPr>
        <w:t xml:space="preserve">58%), como se aprecia en la Figura 2. </w:t>
      </w:r>
      <w:r w:rsidR="00E540CB">
        <w:rPr>
          <w:rFonts w:ascii="Times New Roman" w:hAnsi="Times New Roman" w:cs="Times New Roman"/>
          <w:sz w:val="24"/>
          <w:szCs w:val="24"/>
          <w:lang w:val="es-419"/>
        </w:rPr>
        <w:t xml:space="preserve">Por último, </w:t>
      </w:r>
      <w:r w:rsidR="00CB603D">
        <w:rPr>
          <w:rFonts w:ascii="Times New Roman" w:hAnsi="Times New Roman" w:cs="Times New Roman"/>
          <w:sz w:val="24"/>
          <w:szCs w:val="24"/>
          <w:lang w:val="es-419"/>
        </w:rPr>
        <w:t>en la Figura 3 se describe la agrupación de los documentos consultados por su tipología. En este caso, se identifica una clara preponderancia de los artículos de carácter científico</w:t>
      </w:r>
      <w:r w:rsidR="00F1042F">
        <w:rPr>
          <w:rFonts w:ascii="Times New Roman" w:hAnsi="Times New Roman" w:cs="Times New Roman"/>
          <w:sz w:val="24"/>
          <w:szCs w:val="24"/>
          <w:lang w:val="es-419"/>
        </w:rPr>
        <w:t xml:space="preserve"> (38%), seguidos por trabajos de grado pertinentes (</w:t>
      </w:r>
      <w:r w:rsidR="00B65FC0">
        <w:rPr>
          <w:rFonts w:ascii="Times New Roman" w:hAnsi="Times New Roman" w:cs="Times New Roman"/>
          <w:sz w:val="24"/>
          <w:szCs w:val="24"/>
          <w:lang w:val="es-419"/>
        </w:rPr>
        <w:t xml:space="preserve">28%). Los datos reseñados permiten tener una visión general de las características </w:t>
      </w:r>
      <w:r w:rsidR="00C70111">
        <w:rPr>
          <w:rFonts w:ascii="Times New Roman" w:hAnsi="Times New Roman" w:cs="Times New Roman"/>
          <w:sz w:val="24"/>
          <w:szCs w:val="24"/>
          <w:lang w:val="es-419"/>
        </w:rPr>
        <w:t xml:space="preserve">bibliométricas de los estudios considerados. </w:t>
      </w:r>
      <w:r w:rsidR="00CB603D">
        <w:rPr>
          <w:rFonts w:ascii="Times New Roman" w:hAnsi="Times New Roman" w:cs="Times New Roman"/>
          <w:sz w:val="24"/>
          <w:szCs w:val="24"/>
          <w:lang w:val="es-419"/>
        </w:rPr>
        <w:t xml:space="preserve"> </w:t>
      </w:r>
    </w:p>
    <w:p w14:paraId="6FB79637" w14:textId="77777777" w:rsidR="008E7922" w:rsidRDefault="008E7922" w:rsidP="00B048DA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</w:p>
    <w:p w14:paraId="32502330" w14:textId="1754D48E" w:rsidR="008E6401" w:rsidRPr="008E6401" w:rsidRDefault="008E6401" w:rsidP="008E6401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8E6401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Figur</w:t>
      </w:r>
      <w:r w:rsidR="008E7922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proofErr w:type="spellEnd"/>
      <w:r w:rsidRPr="008E640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8E7922">
        <w:rPr>
          <w:rFonts w:ascii="Times New Roman" w:hAnsi="Times New Roman" w:cs="Times New Roman"/>
          <w:b/>
          <w:sz w:val="24"/>
          <w:szCs w:val="24"/>
          <w:lang w:val="en-US"/>
        </w:rPr>
        <w:t>1</w:t>
      </w:r>
    </w:p>
    <w:p w14:paraId="4762BF35" w14:textId="57002778" w:rsidR="008E6401" w:rsidRPr="008E6401" w:rsidRDefault="008E7922" w:rsidP="008E6401">
      <w:pPr>
        <w:spacing w:line="48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Cantidad</w:t>
      </w:r>
      <w:proofErr w:type="spellEnd"/>
      <w:r w:rsidR="00330107">
        <w:rPr>
          <w:rFonts w:ascii="Times New Roman" w:hAnsi="Times New Roman" w:cs="Times New Roman"/>
          <w:i/>
          <w:sz w:val="24"/>
          <w:szCs w:val="24"/>
          <w:lang w:val="en-US"/>
        </w:rPr>
        <w:t xml:space="preserve"> de </w:t>
      </w:r>
      <w:proofErr w:type="spellStart"/>
      <w:r w:rsidR="00330107">
        <w:rPr>
          <w:rFonts w:ascii="Times New Roman" w:hAnsi="Times New Roman" w:cs="Times New Roman"/>
          <w:i/>
          <w:sz w:val="24"/>
          <w:szCs w:val="24"/>
          <w:lang w:val="en-US"/>
        </w:rPr>
        <w:t>trabajos</w:t>
      </w:r>
      <w:proofErr w:type="spellEnd"/>
      <w:r w:rsidR="00330107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330107">
        <w:rPr>
          <w:rFonts w:ascii="Times New Roman" w:hAnsi="Times New Roman" w:cs="Times New Roman"/>
          <w:i/>
          <w:sz w:val="24"/>
          <w:szCs w:val="24"/>
          <w:lang w:val="en-US"/>
        </w:rPr>
        <w:t>publicados</w:t>
      </w:r>
      <w:proofErr w:type="spellEnd"/>
      <w:r w:rsidR="00330107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330107">
        <w:rPr>
          <w:rFonts w:ascii="Times New Roman" w:hAnsi="Times New Roman" w:cs="Times New Roman"/>
          <w:i/>
          <w:sz w:val="24"/>
          <w:szCs w:val="24"/>
          <w:lang w:val="en-US"/>
        </w:rPr>
        <w:t>por</w:t>
      </w:r>
      <w:proofErr w:type="spellEnd"/>
      <w:r w:rsidR="00330107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330107">
        <w:rPr>
          <w:rFonts w:ascii="Times New Roman" w:hAnsi="Times New Roman" w:cs="Times New Roman"/>
          <w:i/>
          <w:sz w:val="24"/>
          <w:szCs w:val="24"/>
          <w:lang w:val="en-US"/>
        </w:rPr>
        <w:t>año</w:t>
      </w:r>
      <w:proofErr w:type="spellEnd"/>
    </w:p>
    <w:p w14:paraId="09C111FC" w14:textId="633B1B02" w:rsidR="00B048DA" w:rsidRPr="00B048DA" w:rsidRDefault="008E7922" w:rsidP="00B048DA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>
        <w:rPr>
          <w:noProof/>
        </w:rPr>
        <w:drawing>
          <wp:inline distT="0" distB="0" distL="0" distR="0" wp14:anchorId="6D881123" wp14:editId="6251F312">
            <wp:extent cx="5562600" cy="2743200"/>
            <wp:effectExtent l="0" t="0" r="0" b="15240"/>
            <wp:docPr id="1520743986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E869AE2E-F010-E23F-DC26-68F559F2083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r w:rsidR="00902C16">
        <w:rPr>
          <w:rFonts w:ascii="Times New Roman" w:hAnsi="Times New Roman" w:cs="Times New Roman"/>
          <w:sz w:val="24"/>
          <w:szCs w:val="24"/>
          <w:lang w:val="es-419"/>
        </w:rPr>
        <w:t xml:space="preserve"> </w:t>
      </w:r>
      <w:r w:rsidR="00B048DA" w:rsidRPr="00B048DA">
        <w:rPr>
          <w:rFonts w:ascii="Times New Roman" w:hAnsi="Times New Roman" w:cs="Times New Roman"/>
          <w:sz w:val="24"/>
          <w:szCs w:val="24"/>
          <w:lang w:val="es-419"/>
        </w:rPr>
        <w:t xml:space="preserve"> </w:t>
      </w:r>
    </w:p>
    <w:p w14:paraId="728EE4FF" w14:textId="4EDB9676" w:rsidR="00E54C6C" w:rsidRDefault="00E54C6C" w:rsidP="00FB4FB7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</w:p>
    <w:p w14:paraId="3A1BD828" w14:textId="3F1FC68C" w:rsidR="00EE57D7" w:rsidRPr="008E6401" w:rsidRDefault="00EE57D7" w:rsidP="00EE57D7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8E6401">
        <w:rPr>
          <w:rFonts w:ascii="Times New Roman" w:hAnsi="Times New Roman" w:cs="Times New Roman"/>
          <w:b/>
          <w:sz w:val="24"/>
          <w:szCs w:val="24"/>
          <w:lang w:val="en-US"/>
        </w:rPr>
        <w:t>Figur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proofErr w:type="spellEnd"/>
      <w:r w:rsidRPr="008E640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</w:p>
    <w:p w14:paraId="1AAEAC7C" w14:textId="3C5D2123" w:rsidR="00EE57D7" w:rsidRDefault="00EE57D7" w:rsidP="00EE57D7">
      <w:pPr>
        <w:spacing w:line="480" w:lineRule="auto"/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Cantidad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trabajos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B92AAD">
        <w:rPr>
          <w:rFonts w:ascii="Times New Roman" w:hAnsi="Times New Roman" w:cs="Times New Roman"/>
          <w:i/>
          <w:sz w:val="24"/>
          <w:szCs w:val="24"/>
          <w:lang w:val="en-US"/>
        </w:rPr>
        <w:t>por</w:t>
      </w:r>
      <w:proofErr w:type="spellEnd"/>
      <w:r w:rsidR="00B92AAD">
        <w:rPr>
          <w:rFonts w:ascii="Times New Roman" w:hAnsi="Times New Roman" w:cs="Times New Roman"/>
          <w:i/>
          <w:sz w:val="24"/>
          <w:szCs w:val="24"/>
          <w:lang w:val="en-US"/>
        </w:rPr>
        <w:t xml:space="preserve"> base de </w:t>
      </w:r>
      <w:proofErr w:type="spellStart"/>
      <w:r w:rsidR="00B92AAD">
        <w:rPr>
          <w:rFonts w:ascii="Times New Roman" w:hAnsi="Times New Roman" w:cs="Times New Roman"/>
          <w:i/>
          <w:sz w:val="24"/>
          <w:szCs w:val="24"/>
          <w:lang w:val="en-US"/>
        </w:rPr>
        <w:t>dato</w:t>
      </w:r>
      <w:proofErr w:type="spellEnd"/>
      <w:r w:rsidR="00B92AAD">
        <w:rPr>
          <w:rFonts w:ascii="Times New Roman" w:hAnsi="Times New Roman" w:cs="Times New Roman"/>
          <w:i/>
          <w:sz w:val="24"/>
          <w:szCs w:val="24"/>
          <w:lang w:val="en-US"/>
        </w:rPr>
        <w:t xml:space="preserve"> de </w:t>
      </w:r>
      <w:proofErr w:type="spellStart"/>
      <w:r w:rsidR="00B92AAD">
        <w:rPr>
          <w:rFonts w:ascii="Times New Roman" w:hAnsi="Times New Roman" w:cs="Times New Roman"/>
          <w:i/>
          <w:sz w:val="24"/>
          <w:szCs w:val="24"/>
          <w:lang w:val="en-US"/>
        </w:rPr>
        <w:t>aislamiento</w:t>
      </w:r>
      <w:proofErr w:type="spellEnd"/>
    </w:p>
    <w:p w14:paraId="36BC796D" w14:textId="54233CE1" w:rsidR="00B92AAD" w:rsidRDefault="00B92AAD" w:rsidP="00EE57D7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>
        <w:rPr>
          <w:noProof/>
        </w:rPr>
        <w:drawing>
          <wp:inline distT="0" distB="0" distL="0" distR="0" wp14:anchorId="66E36990" wp14:editId="67527B52">
            <wp:extent cx="5638800" cy="2743200"/>
            <wp:effectExtent l="0" t="0" r="0" b="7620"/>
            <wp:docPr id="1447318174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55D195D1-7E2F-BAA6-52FB-3208FB6062A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7831EA23" w14:textId="78F1E976" w:rsidR="00B65FC0" w:rsidRPr="008E6401" w:rsidRDefault="00B65FC0" w:rsidP="00B65FC0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8E6401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Figur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proofErr w:type="spellEnd"/>
      <w:r w:rsidRPr="008E640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</w:p>
    <w:p w14:paraId="1EF17FF4" w14:textId="5D51D50F" w:rsidR="00426777" w:rsidRDefault="00B65FC0" w:rsidP="00B65FC0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Cantidad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trabajos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por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tipología</w:t>
      </w:r>
      <w:proofErr w:type="spellEnd"/>
    </w:p>
    <w:p w14:paraId="25F57E79" w14:textId="4174AAAC" w:rsidR="00426777" w:rsidRDefault="00426777" w:rsidP="00EE57D7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>
        <w:rPr>
          <w:noProof/>
        </w:rPr>
        <w:drawing>
          <wp:inline distT="0" distB="0" distL="0" distR="0" wp14:anchorId="33C44F98" wp14:editId="5840E96E">
            <wp:extent cx="5715000" cy="2743200"/>
            <wp:effectExtent l="0" t="0" r="0" b="0"/>
            <wp:docPr id="385176805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90FA73DE-93C4-ACC2-36F1-D20AAC2146D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5F6D051F" w14:textId="77777777" w:rsidR="00C70111" w:rsidRDefault="00C70111" w:rsidP="00EE57D7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</w:p>
    <w:bookmarkEnd w:id="0"/>
    <w:p w14:paraId="16122DB9" w14:textId="76841F9B" w:rsidR="00A51B6B" w:rsidRDefault="00C70111" w:rsidP="00EE57D7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>
        <w:rPr>
          <w:rFonts w:ascii="Times New Roman" w:hAnsi="Times New Roman" w:cs="Times New Roman"/>
          <w:sz w:val="24"/>
          <w:szCs w:val="24"/>
          <w:lang w:val="es-419"/>
        </w:rPr>
        <w:tab/>
        <w:t xml:space="preserve">Ahora bien, en lo que concierne a su contenido, el análisis de palabras clave permitió identificar </w:t>
      </w:r>
      <w:r w:rsidR="00A51B6B">
        <w:rPr>
          <w:rFonts w:ascii="Times New Roman" w:hAnsi="Times New Roman" w:cs="Times New Roman"/>
          <w:sz w:val="24"/>
          <w:szCs w:val="24"/>
          <w:lang w:val="es-419"/>
        </w:rPr>
        <w:t xml:space="preserve">los </w:t>
      </w:r>
      <w:r w:rsidR="00592687">
        <w:rPr>
          <w:rFonts w:ascii="Times New Roman" w:hAnsi="Times New Roman" w:cs="Times New Roman"/>
          <w:sz w:val="24"/>
          <w:szCs w:val="24"/>
          <w:lang w:val="es-419"/>
        </w:rPr>
        <w:t xml:space="preserve">nodos </w:t>
      </w:r>
      <w:r w:rsidR="00A51B6B">
        <w:rPr>
          <w:rFonts w:ascii="Times New Roman" w:hAnsi="Times New Roman" w:cs="Times New Roman"/>
          <w:sz w:val="24"/>
          <w:szCs w:val="24"/>
          <w:lang w:val="es-419"/>
        </w:rPr>
        <w:t>de interés que se describen en la Figura 4</w:t>
      </w:r>
      <w:r w:rsidR="006A5DF5">
        <w:rPr>
          <w:rFonts w:ascii="Times New Roman" w:hAnsi="Times New Roman" w:cs="Times New Roman"/>
          <w:sz w:val="24"/>
          <w:szCs w:val="24"/>
          <w:lang w:val="es-419"/>
        </w:rPr>
        <w:t xml:space="preserve">, </w:t>
      </w:r>
      <w:r w:rsidR="003F1730">
        <w:rPr>
          <w:rFonts w:ascii="Times New Roman" w:hAnsi="Times New Roman" w:cs="Times New Roman"/>
          <w:sz w:val="24"/>
          <w:szCs w:val="24"/>
          <w:lang w:val="es-419"/>
        </w:rPr>
        <w:t>con una correlación general con el nodo “Nutrición”</w:t>
      </w:r>
      <w:r w:rsidR="00A51B6B">
        <w:rPr>
          <w:rFonts w:ascii="Times New Roman" w:hAnsi="Times New Roman" w:cs="Times New Roman"/>
          <w:sz w:val="24"/>
          <w:szCs w:val="24"/>
          <w:lang w:val="es-419"/>
        </w:rPr>
        <w:t xml:space="preserve">. </w:t>
      </w:r>
    </w:p>
    <w:p w14:paraId="41EBC2CC" w14:textId="6B775AA9" w:rsidR="00F11DA6" w:rsidRPr="008E6401" w:rsidRDefault="00F11DA6" w:rsidP="00F11DA6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8E6401">
        <w:rPr>
          <w:rFonts w:ascii="Times New Roman" w:hAnsi="Times New Roman" w:cs="Times New Roman"/>
          <w:b/>
          <w:sz w:val="24"/>
          <w:szCs w:val="24"/>
          <w:lang w:val="en-US"/>
        </w:rPr>
        <w:t>Figur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proofErr w:type="spellEnd"/>
      <w:r w:rsidRPr="008E640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</w:p>
    <w:p w14:paraId="34CDCF13" w14:textId="4A79FBEB" w:rsidR="006A5DF5" w:rsidRDefault="00E112B8" w:rsidP="00EE57D7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>
        <w:rPr>
          <w:rFonts w:ascii="Times New Roman" w:hAnsi="Times New Roman" w:cs="Times New Roman"/>
          <w:noProof/>
          <w:sz w:val="24"/>
          <w:szCs w:val="24"/>
          <w:lang w:val="es-419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422CFC4" wp14:editId="43055BED">
                <wp:simplePos x="0" y="0"/>
                <wp:positionH relativeFrom="column">
                  <wp:posOffset>1905</wp:posOffset>
                </wp:positionH>
                <wp:positionV relativeFrom="paragraph">
                  <wp:posOffset>357505</wp:posOffset>
                </wp:positionV>
                <wp:extent cx="5966460" cy="1996440"/>
                <wp:effectExtent l="0" t="0" r="15240" b="22860"/>
                <wp:wrapNone/>
                <wp:docPr id="629565352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6460" cy="1996440"/>
                          <a:chOff x="0" y="0"/>
                          <a:chExt cx="5966460" cy="1996440"/>
                        </a:xfrm>
                      </wpg:grpSpPr>
                      <wps:wsp>
                        <wps:cNvPr id="1859151941" name="Cuadro de texto 2"/>
                        <wps:cNvSpPr txBox="1"/>
                        <wps:spPr>
                          <a:xfrm>
                            <a:off x="2011680" y="1676400"/>
                            <a:ext cx="1882140" cy="3200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0445E8E" w14:textId="157C178B" w:rsidR="00881C55" w:rsidRPr="003F1730" w:rsidRDefault="00881C55" w:rsidP="003F173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  <w:r w:rsidRPr="003F1730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Nutrición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946036" name="Cuadro de texto 2"/>
                        <wps:cNvSpPr txBox="1"/>
                        <wps:spPr>
                          <a:xfrm>
                            <a:off x="0" y="982980"/>
                            <a:ext cx="1882140" cy="3200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7DD78AD" w14:textId="4D4BCBC7" w:rsidR="00881C55" w:rsidRPr="003F1730" w:rsidRDefault="00881C55" w:rsidP="003F173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3F1730">
                                <w:rPr>
                                  <w:rFonts w:ascii="Times New Roman" w:hAnsi="Times New Roman" w:cs="Times New Roman"/>
                                </w:rPr>
                                <w:t>Rendimiento académico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121275" name="Cuadro de texto 2"/>
                        <wps:cNvSpPr txBox="1"/>
                        <wps:spPr>
                          <a:xfrm>
                            <a:off x="4084320" y="922020"/>
                            <a:ext cx="1882140" cy="3200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FD56B5B" w14:textId="12D62EEE" w:rsidR="00881C55" w:rsidRPr="003F1730" w:rsidRDefault="00881C55" w:rsidP="003F173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3F1730">
                                <w:rPr>
                                  <w:rFonts w:ascii="Times New Roman" w:hAnsi="Times New Roman" w:cs="Times New Roman"/>
                                </w:rPr>
                                <w:t>Aprendizaje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819410" name="Cuadro de texto 2"/>
                        <wps:cNvSpPr txBox="1"/>
                        <wps:spPr>
                          <a:xfrm>
                            <a:off x="487680" y="15240"/>
                            <a:ext cx="1882140" cy="3200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DD31E34" w14:textId="42C8F43C" w:rsidR="00881C55" w:rsidRPr="003F1730" w:rsidRDefault="00881C55" w:rsidP="003F173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3F1730">
                                <w:rPr>
                                  <w:rFonts w:ascii="Times New Roman" w:hAnsi="Times New Roman" w:cs="Times New Roman"/>
                                </w:rPr>
                                <w:t>Educación nutricional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026995" name="Cuadro de texto 2"/>
                        <wps:cNvSpPr txBox="1"/>
                        <wps:spPr>
                          <a:xfrm>
                            <a:off x="3520440" y="0"/>
                            <a:ext cx="1882140" cy="3200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3F027D0" w14:textId="2987BA01" w:rsidR="003F1730" w:rsidRPr="003F1730" w:rsidRDefault="003F1730" w:rsidP="003F173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3F1730">
                                <w:rPr>
                                  <w:rFonts w:ascii="Times New Roman" w:hAnsi="Times New Roman" w:cs="Times New Roman"/>
                                </w:rPr>
                                <w:t>Hábitos alimenticios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500178" name="Conector recto de flecha 3"/>
                        <wps:cNvCnPr/>
                        <wps:spPr>
                          <a:xfrm flipH="1" flipV="1">
                            <a:off x="834390" y="1306830"/>
                            <a:ext cx="2065020" cy="35052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81036157" name="Conector recto de flecha 4"/>
                        <wps:cNvCnPr/>
                        <wps:spPr>
                          <a:xfrm flipV="1">
                            <a:off x="2903220" y="1245870"/>
                            <a:ext cx="2175510" cy="41529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12742385" name="Conector recto de flecha 5"/>
                        <wps:cNvCnPr/>
                        <wps:spPr>
                          <a:xfrm flipH="1" flipV="1">
                            <a:off x="1394460" y="335280"/>
                            <a:ext cx="1508760" cy="13335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2200329" name="Conector recto de flecha 6"/>
                        <wps:cNvCnPr/>
                        <wps:spPr>
                          <a:xfrm flipV="1">
                            <a:off x="2903220" y="335280"/>
                            <a:ext cx="1592580" cy="134112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5012108" name="Conector recto de flecha 8"/>
                        <wps:cNvCnPr/>
                        <wps:spPr>
                          <a:xfrm>
                            <a:off x="4495800" y="335280"/>
                            <a:ext cx="582930" cy="586740"/>
                          </a:xfrm>
                          <a:prstGeom prst="straightConnector1">
                            <a:avLst/>
                          </a:prstGeom>
                          <a:ln>
                            <a:prstDash val="dash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479105" name="Conector recto de flecha 9"/>
                        <wps:cNvCnPr/>
                        <wps:spPr>
                          <a:xfrm flipH="1">
                            <a:off x="838200" y="335280"/>
                            <a:ext cx="560070" cy="647700"/>
                          </a:xfrm>
                          <a:prstGeom prst="straightConnector1">
                            <a:avLst/>
                          </a:prstGeom>
                          <a:ln>
                            <a:prstDash val="dash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9892382" name="Conector recto de flecha 10"/>
                        <wps:cNvCnPr/>
                        <wps:spPr>
                          <a:xfrm>
                            <a:off x="1882140" y="1143000"/>
                            <a:ext cx="2202180" cy="0"/>
                          </a:xfrm>
                          <a:prstGeom prst="straightConnector1">
                            <a:avLst/>
                          </a:prstGeom>
                          <a:ln>
                            <a:prstDash val="dash"/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22CFC4" id="Grupo 12" o:spid="_x0000_s1026" style="position:absolute;left:0;text-align:left;margin-left:.15pt;margin-top:28.15pt;width:469.8pt;height:157.2pt;z-index:251675648" coordsize="59664,199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20116;top:16764;width:18822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" fillcolor="white [3201]" strokeweight=".5pt">
                  <v:textbox>
                    <w:txbxContent>
                      <w:p w14:paraId="60445E8E" w14:textId="157C178B" w:rsidR="00881C55" w:rsidRPr="003F1730" w:rsidRDefault="00881C55" w:rsidP="003F1730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3F1730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Nutrición</w:t>
                        </w:r>
                      </w:p>
                    </w:txbxContent>
                  </v:textbox>
                </v:shape>
                <v:shape id="Cuadro de texto 2" o:spid="_x0000_s1028" type="#_x0000_t202" style="position:absolute;top:9829;width:18821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" fillcolor="white [3201]" strokeweight=".5pt">
                  <v:textbox>
                    <w:txbxContent>
                      <w:p w14:paraId="17DD78AD" w14:textId="4D4BCBC7" w:rsidR="00881C55" w:rsidRPr="003F1730" w:rsidRDefault="00881C55" w:rsidP="003F1730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3F1730">
                          <w:rPr>
                            <w:rFonts w:ascii="Times New Roman" w:hAnsi="Times New Roman" w:cs="Times New Roman"/>
                          </w:rPr>
                          <w:t>Rendimiento académico</w:t>
                        </w:r>
                      </w:p>
                    </w:txbxContent>
                  </v:textbox>
                </v:shape>
                <v:shape id="Cuadro de texto 2" o:spid="_x0000_s1029" type="#_x0000_t202" style="position:absolute;left:40843;top:9220;width:1882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" fillcolor="white [3201]" strokeweight=".5pt">
                  <v:textbox>
                    <w:txbxContent>
                      <w:p w14:paraId="6FD56B5B" w14:textId="12D62EEE" w:rsidR="00881C55" w:rsidRPr="003F1730" w:rsidRDefault="00881C55" w:rsidP="003F1730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3F1730">
                          <w:rPr>
                            <w:rFonts w:ascii="Times New Roman" w:hAnsi="Times New Roman" w:cs="Times New Roman"/>
                          </w:rPr>
                          <w:t>Aprendizaje</w:t>
                        </w:r>
                      </w:p>
                    </w:txbxContent>
                  </v:textbox>
                </v:shape>
                <v:shape id="Cuadro de texto 2" o:spid="_x0000_s1030" type="#_x0000_t202" style="position:absolute;left:4876;top:152;width:18822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" fillcolor="white [3201]" strokeweight=".5pt">
                  <v:textbox>
                    <w:txbxContent>
                      <w:p w14:paraId="3DD31E34" w14:textId="42C8F43C" w:rsidR="00881C55" w:rsidRPr="003F1730" w:rsidRDefault="00881C55" w:rsidP="003F1730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3F1730">
                          <w:rPr>
                            <w:rFonts w:ascii="Times New Roman" w:hAnsi="Times New Roman" w:cs="Times New Roman"/>
                          </w:rPr>
                          <w:t>Educación nutricional</w:t>
                        </w:r>
                      </w:p>
                    </w:txbxContent>
                  </v:textbox>
                </v:shape>
                <v:shape id="Cuadro de texto 2" o:spid="_x0000_s1031" type="#_x0000_t202" style="position:absolute;left:35204;width:18821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" fillcolor="white [3201]" strokeweight=".5pt">
                  <v:textbox>
                    <w:txbxContent>
                      <w:p w14:paraId="53F027D0" w14:textId="2987BA01" w:rsidR="003F1730" w:rsidRPr="003F1730" w:rsidRDefault="003F1730" w:rsidP="003F1730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3F1730">
                          <w:rPr>
                            <w:rFonts w:ascii="Times New Roman" w:hAnsi="Times New Roman" w:cs="Times New Roman"/>
                          </w:rPr>
                          <w:t>Hábitos alimenticios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3" o:spid="_x0000_s1032" type="#_x0000_t32" style="position:absolute;left:8343;top:13068;width:20651;height:350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" strokecolor="#156082 [3204]" strokeweight=".5pt">
                  <v:stroke endarrow="block" joinstyle="miter"/>
                </v:shape>
                <v:shape id="Conector recto de flecha 4" o:spid="_x0000_s1033" type="#_x0000_t32" style="position:absolute;left:29032;top:12458;width:21755;height:415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" strokecolor="#156082 [3204]" strokeweight=".5pt">
                  <v:stroke endarrow="block" joinstyle="miter"/>
                </v:shape>
                <v:shape id="Conector recto de flecha 5" o:spid="_x0000_s1034" type="#_x0000_t32" style="position:absolute;left:13944;top:3352;width:15088;height:1333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" strokecolor="#156082 [3204]" strokeweight=".5pt">
                  <v:stroke endarrow="block" joinstyle="miter"/>
                </v:shape>
                <v:shape id="Conector recto de flecha 6" o:spid="_x0000_s1035" type="#_x0000_t32" style="position:absolute;left:29032;top:3352;width:15926;height:1341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" strokecolor="#156082 [3204]" strokeweight=".5pt">
                  <v:stroke endarrow="block" joinstyle="miter"/>
                </v:shape>
                <v:shape id="Conector recto de flecha 8" o:spid="_x0000_s1036" type="#_x0000_t32" style="position:absolute;left:44958;top:3352;width:5829;height:58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" strokecolor="#156082 [3204]" strokeweight=".5pt">
                  <v:stroke dashstyle="dash" endarrow="block" joinstyle="miter"/>
                </v:shape>
                <v:shape id="Conector recto de flecha 9" o:spid="_x0000_s1037" type="#_x0000_t32" style="position:absolute;left:8382;top:3352;width:5600;height:647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" strokecolor="#156082 [3204]" strokeweight=".5pt">
                  <v:stroke dashstyle="dash" endarrow="block" joinstyle="miter"/>
                </v:shape>
                <v:shape id="Conector recto de flecha 10" o:spid="_x0000_s1038" type="#_x0000_t32" style="position:absolute;left:18821;top:11430;width:220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" strokecolor="#156082 [3204]" strokeweight=".5pt">
                  <v:stroke dashstyle="dash" startarrow="block" endarrow="block" joinstyle="miter"/>
                </v:shape>
              </v:group>
            </w:pict>
          </mc:Fallback>
        </mc:AlternateContent>
      </w:r>
      <w:r w:rsidR="00F11DA6">
        <w:rPr>
          <w:rFonts w:ascii="Times New Roman" w:hAnsi="Times New Roman" w:cs="Times New Roman"/>
          <w:i/>
          <w:sz w:val="24"/>
          <w:szCs w:val="24"/>
          <w:lang w:val="en-US"/>
        </w:rPr>
        <w:t xml:space="preserve">Nodos </w:t>
      </w:r>
      <w:proofErr w:type="spellStart"/>
      <w:r w:rsidR="00F11DA6">
        <w:rPr>
          <w:rFonts w:ascii="Times New Roman" w:hAnsi="Times New Roman" w:cs="Times New Roman"/>
          <w:i/>
          <w:sz w:val="24"/>
          <w:szCs w:val="24"/>
          <w:lang w:val="en-US"/>
        </w:rPr>
        <w:t>temáticos</w:t>
      </w:r>
      <w:proofErr w:type="spellEnd"/>
      <w:r w:rsidR="00F11DA6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F11DA6">
        <w:rPr>
          <w:rFonts w:ascii="Times New Roman" w:hAnsi="Times New Roman" w:cs="Times New Roman"/>
          <w:i/>
          <w:sz w:val="24"/>
          <w:szCs w:val="24"/>
          <w:lang w:val="en-US"/>
        </w:rPr>
        <w:t>caracterizados</w:t>
      </w:r>
      <w:proofErr w:type="spellEnd"/>
    </w:p>
    <w:p w14:paraId="328C0DB3" w14:textId="00F26E2C" w:rsidR="00C70111" w:rsidRDefault="00A51B6B" w:rsidP="00EE57D7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>
        <w:rPr>
          <w:rFonts w:ascii="Times New Roman" w:hAnsi="Times New Roman" w:cs="Times New Roman"/>
          <w:sz w:val="24"/>
          <w:szCs w:val="24"/>
          <w:lang w:val="es-419"/>
        </w:rPr>
        <w:t xml:space="preserve"> </w:t>
      </w:r>
    </w:p>
    <w:p w14:paraId="156FE60C" w14:textId="77777777" w:rsidR="00CF6B28" w:rsidRDefault="00CF6B28" w:rsidP="00EE57D7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</w:p>
    <w:p w14:paraId="43CDF83B" w14:textId="77777777" w:rsidR="00CF6B28" w:rsidRDefault="00CF6B28" w:rsidP="00EE57D7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</w:p>
    <w:p w14:paraId="7D95C50A" w14:textId="77777777" w:rsidR="00CF6B28" w:rsidRDefault="00CF6B28" w:rsidP="00EE57D7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</w:p>
    <w:p w14:paraId="430D29B8" w14:textId="702207AB" w:rsidR="00CF6B28" w:rsidRDefault="000347C5" w:rsidP="00EE57D7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>
        <w:rPr>
          <w:rFonts w:ascii="Times New Roman" w:hAnsi="Times New Roman" w:cs="Times New Roman"/>
          <w:sz w:val="24"/>
          <w:szCs w:val="24"/>
          <w:lang w:val="es-419"/>
        </w:rPr>
        <w:lastRenderedPageBreak/>
        <w:tab/>
        <w:t xml:space="preserve">De la Figura 4 se desprende que </w:t>
      </w:r>
      <w:r w:rsidR="00121532">
        <w:rPr>
          <w:rFonts w:ascii="Times New Roman" w:hAnsi="Times New Roman" w:cs="Times New Roman"/>
          <w:sz w:val="24"/>
          <w:szCs w:val="24"/>
          <w:lang w:val="es-419"/>
        </w:rPr>
        <w:t>los estudios recolectados toman como eje en común la nutrición</w:t>
      </w:r>
      <w:r w:rsidR="00F062F8">
        <w:rPr>
          <w:rFonts w:ascii="Times New Roman" w:hAnsi="Times New Roman" w:cs="Times New Roman"/>
          <w:sz w:val="24"/>
          <w:szCs w:val="24"/>
          <w:lang w:val="es-419"/>
        </w:rPr>
        <w:t xml:space="preserve">, el cual conecta en la mayoría de los casos con el rendimiento académico </w:t>
      </w:r>
      <w:r w:rsidR="00CE5764">
        <w:rPr>
          <w:rFonts w:ascii="Times New Roman" w:hAnsi="Times New Roman" w:cs="Times New Roman"/>
          <w:sz w:val="24"/>
          <w:szCs w:val="24"/>
          <w:lang w:val="es-419"/>
        </w:rPr>
        <w:t xml:space="preserve">y el aprendizaje. </w:t>
      </w:r>
      <w:r w:rsidR="00B41053">
        <w:rPr>
          <w:rFonts w:ascii="Times New Roman" w:hAnsi="Times New Roman" w:cs="Times New Roman"/>
          <w:sz w:val="24"/>
          <w:szCs w:val="24"/>
          <w:lang w:val="es-419"/>
        </w:rPr>
        <w:t xml:space="preserve">Otros elementos coincidentes de repetida aparición en relación con el nodo principal y los de apoyo son la educación nutricional y los hábitos alimenticios. </w:t>
      </w:r>
      <w:r w:rsidR="006F4E39">
        <w:rPr>
          <w:rFonts w:ascii="Times New Roman" w:hAnsi="Times New Roman" w:cs="Times New Roman"/>
          <w:sz w:val="24"/>
          <w:szCs w:val="24"/>
          <w:lang w:val="es-419"/>
        </w:rPr>
        <w:t>Son escasas las desviaciones temáticas identificadas más allá de los cinco nodos referenciados</w:t>
      </w:r>
      <w:r w:rsidR="00054932">
        <w:rPr>
          <w:rFonts w:ascii="Times New Roman" w:hAnsi="Times New Roman" w:cs="Times New Roman"/>
          <w:sz w:val="24"/>
          <w:szCs w:val="24"/>
          <w:lang w:val="es-419"/>
        </w:rPr>
        <w:t xml:space="preserve">, y en la mayoría de los casos se trata de </w:t>
      </w:r>
      <w:r w:rsidR="004B2371">
        <w:rPr>
          <w:rFonts w:ascii="Times New Roman" w:hAnsi="Times New Roman" w:cs="Times New Roman"/>
          <w:sz w:val="24"/>
          <w:szCs w:val="24"/>
          <w:lang w:val="es-419"/>
        </w:rPr>
        <w:t>temáticas subsidiarias de las otras (obesidad, malnutrición, sobrepeso, educación, calificaciones, etc.).</w:t>
      </w:r>
      <w:r w:rsidR="00431417">
        <w:rPr>
          <w:rFonts w:ascii="Times New Roman" w:hAnsi="Times New Roman" w:cs="Times New Roman"/>
          <w:sz w:val="24"/>
          <w:szCs w:val="24"/>
          <w:lang w:val="es-419"/>
        </w:rPr>
        <w:t xml:space="preserve"> </w:t>
      </w:r>
    </w:p>
    <w:p w14:paraId="1556D140" w14:textId="47EC5FD9" w:rsidR="00431417" w:rsidRDefault="00431417" w:rsidP="00EE57D7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>
        <w:rPr>
          <w:rFonts w:ascii="Times New Roman" w:hAnsi="Times New Roman" w:cs="Times New Roman"/>
          <w:sz w:val="24"/>
          <w:szCs w:val="24"/>
          <w:lang w:val="es-419"/>
        </w:rPr>
        <w:tab/>
      </w:r>
      <w:r w:rsidR="0025248C">
        <w:rPr>
          <w:rFonts w:ascii="Times New Roman" w:hAnsi="Times New Roman" w:cs="Times New Roman"/>
          <w:sz w:val="24"/>
          <w:szCs w:val="24"/>
          <w:lang w:val="es-419"/>
        </w:rPr>
        <w:t xml:space="preserve">En cuanto a los enfoques, se identificó un equilibrio entre los abordajes cualitativos y cuantitativos (ambos con el </w:t>
      </w:r>
      <w:r w:rsidR="0074226F">
        <w:rPr>
          <w:rFonts w:ascii="Times New Roman" w:hAnsi="Times New Roman" w:cs="Times New Roman"/>
          <w:sz w:val="24"/>
          <w:szCs w:val="24"/>
          <w:lang w:val="es-419"/>
        </w:rPr>
        <w:t xml:space="preserve">36%), aunque una buena cantidad de trabajo sigue una perspectiva mixta (ver Figura 5). </w:t>
      </w:r>
    </w:p>
    <w:p w14:paraId="300F7ED1" w14:textId="223CB7F8" w:rsidR="0074226F" w:rsidRPr="008E6401" w:rsidRDefault="0074226F" w:rsidP="0074226F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8E6401">
        <w:rPr>
          <w:rFonts w:ascii="Times New Roman" w:hAnsi="Times New Roman" w:cs="Times New Roman"/>
          <w:b/>
          <w:sz w:val="24"/>
          <w:szCs w:val="24"/>
          <w:lang w:val="en-US"/>
        </w:rPr>
        <w:t>Figur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proofErr w:type="spellEnd"/>
      <w:r w:rsidRPr="008E640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</w:p>
    <w:p w14:paraId="5D80DA29" w14:textId="3EA8EEAA" w:rsidR="0074226F" w:rsidRDefault="0074226F" w:rsidP="0074226F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Cantidad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trabajos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por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enfoque</w:t>
      </w:r>
      <w:proofErr w:type="spellEnd"/>
    </w:p>
    <w:p w14:paraId="117A9EBB" w14:textId="1620CACA" w:rsidR="0074226F" w:rsidRDefault="00EF62EB" w:rsidP="00EE57D7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>
        <w:rPr>
          <w:noProof/>
        </w:rPr>
        <w:drawing>
          <wp:inline distT="0" distB="0" distL="0" distR="0" wp14:anchorId="0310650E" wp14:editId="3C25D2E2">
            <wp:extent cx="5676900" cy="2743200"/>
            <wp:effectExtent l="0" t="0" r="0" b="0"/>
            <wp:docPr id="1504267544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E79EB6EC-E95F-3469-55DE-34C4D667032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2111CC89" w14:textId="7CFBAB82" w:rsidR="008F3169" w:rsidRDefault="008F3169" w:rsidP="00EE57D7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</w:p>
    <w:p w14:paraId="367C7B29" w14:textId="77777777" w:rsidR="008F3169" w:rsidRDefault="008F3169" w:rsidP="00EE57D7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</w:p>
    <w:p w14:paraId="5F37D30F" w14:textId="582CA2EB" w:rsidR="00F10DE1" w:rsidRDefault="00F10DE1" w:rsidP="00F10DE1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r>
        <w:rPr>
          <w:rFonts w:ascii="Times New Roman" w:hAnsi="Times New Roman" w:cs="Times New Roman"/>
          <w:sz w:val="24"/>
          <w:szCs w:val="24"/>
          <w:lang w:val="es-419"/>
        </w:rPr>
        <w:lastRenderedPageBreak/>
        <w:t xml:space="preserve">Por último, </w:t>
      </w:r>
      <w:r w:rsidR="008743D7">
        <w:rPr>
          <w:rFonts w:ascii="Times New Roman" w:hAnsi="Times New Roman" w:cs="Times New Roman"/>
          <w:sz w:val="24"/>
          <w:szCs w:val="24"/>
          <w:lang w:val="es-419"/>
        </w:rPr>
        <w:t xml:space="preserve">en la Tabla 1 </w:t>
      </w:r>
      <w:r w:rsidR="00F52CD4">
        <w:rPr>
          <w:rFonts w:ascii="Times New Roman" w:hAnsi="Times New Roman" w:cs="Times New Roman"/>
          <w:sz w:val="24"/>
          <w:szCs w:val="24"/>
          <w:lang w:val="es-419"/>
        </w:rPr>
        <w:t xml:space="preserve">se ofrece una clasificación </w:t>
      </w:r>
      <w:r w:rsidR="009C3B87">
        <w:rPr>
          <w:rFonts w:ascii="Times New Roman" w:hAnsi="Times New Roman" w:cs="Times New Roman"/>
          <w:sz w:val="24"/>
          <w:szCs w:val="24"/>
          <w:lang w:val="es-419"/>
        </w:rPr>
        <w:t xml:space="preserve">detallada de las </w:t>
      </w:r>
      <w:r w:rsidR="00F52CD4">
        <w:rPr>
          <w:rFonts w:ascii="Times New Roman" w:hAnsi="Times New Roman" w:cs="Times New Roman"/>
          <w:sz w:val="24"/>
          <w:szCs w:val="24"/>
          <w:lang w:val="es-419"/>
        </w:rPr>
        <w:t>temática</w:t>
      </w:r>
      <w:r w:rsidR="009C3B87">
        <w:rPr>
          <w:rFonts w:ascii="Times New Roman" w:hAnsi="Times New Roman" w:cs="Times New Roman"/>
          <w:sz w:val="24"/>
          <w:szCs w:val="24"/>
          <w:lang w:val="es-419"/>
        </w:rPr>
        <w:t>s</w:t>
      </w:r>
      <w:r w:rsidR="00F52CD4">
        <w:rPr>
          <w:rFonts w:ascii="Times New Roman" w:hAnsi="Times New Roman" w:cs="Times New Roman"/>
          <w:sz w:val="24"/>
          <w:szCs w:val="24"/>
          <w:lang w:val="es-419"/>
        </w:rPr>
        <w:t xml:space="preserve"> </w:t>
      </w:r>
      <w:r w:rsidR="009C3B87">
        <w:rPr>
          <w:rFonts w:ascii="Times New Roman" w:hAnsi="Times New Roman" w:cs="Times New Roman"/>
          <w:sz w:val="24"/>
          <w:szCs w:val="24"/>
          <w:lang w:val="es-419"/>
        </w:rPr>
        <w:t>complementarias</w:t>
      </w:r>
      <w:r w:rsidR="00F24998">
        <w:rPr>
          <w:rFonts w:ascii="Times New Roman" w:hAnsi="Times New Roman" w:cs="Times New Roman"/>
          <w:sz w:val="24"/>
          <w:szCs w:val="24"/>
          <w:lang w:val="es-419"/>
        </w:rPr>
        <w:t>, más allá de los nodos generales,</w:t>
      </w:r>
      <w:r w:rsidR="00F52CD4">
        <w:rPr>
          <w:rFonts w:ascii="Times New Roman" w:hAnsi="Times New Roman" w:cs="Times New Roman"/>
          <w:sz w:val="24"/>
          <w:szCs w:val="24"/>
          <w:lang w:val="es-419"/>
        </w:rPr>
        <w:t xml:space="preserve"> para </w:t>
      </w:r>
      <w:r w:rsidR="0005232F">
        <w:rPr>
          <w:rFonts w:ascii="Times New Roman" w:hAnsi="Times New Roman" w:cs="Times New Roman"/>
          <w:sz w:val="24"/>
          <w:szCs w:val="24"/>
          <w:lang w:val="es-419"/>
        </w:rPr>
        <w:t>mayor claridad de los componentes abordados</w:t>
      </w:r>
    </w:p>
    <w:p w14:paraId="3B6B1221" w14:textId="663DC9CD" w:rsidR="008743D7" w:rsidRPr="008E6401" w:rsidRDefault="00F10DE1" w:rsidP="008743D7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s-419"/>
        </w:rPr>
        <w:t xml:space="preserve"> </w:t>
      </w:r>
      <w:proofErr w:type="spellStart"/>
      <w:r w:rsidR="008743D7">
        <w:rPr>
          <w:rFonts w:ascii="Times New Roman" w:hAnsi="Times New Roman" w:cs="Times New Roman"/>
          <w:b/>
          <w:sz w:val="24"/>
          <w:szCs w:val="24"/>
          <w:lang w:val="en-US"/>
        </w:rPr>
        <w:t>Tabla</w:t>
      </w:r>
      <w:proofErr w:type="spellEnd"/>
      <w:r w:rsidR="008743D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</w:t>
      </w:r>
    </w:p>
    <w:p w14:paraId="15A34319" w14:textId="2ED29044" w:rsidR="008743D7" w:rsidRDefault="008743D7" w:rsidP="008743D7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Clasificación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por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temáticas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complementarias</w:t>
      </w:r>
      <w:proofErr w:type="spellEnd"/>
    </w:p>
    <w:tbl>
      <w:tblPr>
        <w:tblStyle w:val="Tablaconcuadrcula"/>
        <w:tblW w:w="8918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15"/>
        <w:gridCol w:w="4343"/>
        <w:gridCol w:w="2260"/>
      </w:tblGrid>
      <w:tr w:rsidR="000621B8" w:rsidRPr="00E5638B" w14:paraId="27C684DA" w14:textId="77777777" w:rsidTr="0039019B">
        <w:trPr>
          <w:tblHeader/>
        </w:trPr>
        <w:tc>
          <w:tcPr>
            <w:tcW w:w="2315" w:type="dxa"/>
            <w:vAlign w:val="center"/>
          </w:tcPr>
          <w:p w14:paraId="04F73060" w14:textId="7E6B5838" w:rsidR="000621B8" w:rsidRPr="00E5638B" w:rsidRDefault="000621B8" w:rsidP="00E5638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</w:pPr>
            <w:r w:rsidRPr="00E5638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  <w:t>Temática(s) complementaria(s)</w:t>
            </w:r>
          </w:p>
        </w:tc>
        <w:tc>
          <w:tcPr>
            <w:tcW w:w="4343" w:type="dxa"/>
            <w:vAlign w:val="center"/>
          </w:tcPr>
          <w:p w14:paraId="1A078574" w14:textId="66FA8668" w:rsidR="000621B8" w:rsidRPr="00E5638B" w:rsidRDefault="000621B8" w:rsidP="00E5638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</w:pPr>
            <w:r w:rsidRPr="00E5638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  <w:t>Trabajo</w:t>
            </w:r>
          </w:p>
        </w:tc>
        <w:tc>
          <w:tcPr>
            <w:tcW w:w="2260" w:type="dxa"/>
            <w:vAlign w:val="center"/>
          </w:tcPr>
          <w:p w14:paraId="2D977DEC" w14:textId="0CCB9020" w:rsidR="000621B8" w:rsidRPr="00E5638B" w:rsidRDefault="000621B8" w:rsidP="00E5638B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</w:pPr>
            <w:r w:rsidRPr="00E5638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  <w:t>Autores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s-419"/>
              </w:rPr>
              <w:t xml:space="preserve"> (año)</w:t>
            </w:r>
          </w:p>
        </w:tc>
      </w:tr>
      <w:tr w:rsidR="000621B8" w:rsidRPr="00E5638B" w14:paraId="13814530" w14:textId="77777777" w:rsidTr="0039019B">
        <w:tc>
          <w:tcPr>
            <w:tcW w:w="2315" w:type="dxa"/>
            <w:vMerge w:val="restart"/>
            <w:vAlign w:val="center"/>
          </w:tcPr>
          <w:p w14:paraId="05E368EE" w14:textId="53729186" w:rsidR="000621B8" w:rsidRPr="00E5638B" w:rsidRDefault="000621B8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E5638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Comedor escolar; Alimentación escolar</w:t>
            </w:r>
          </w:p>
        </w:tc>
        <w:tc>
          <w:tcPr>
            <w:tcW w:w="4343" w:type="dxa"/>
            <w:vAlign w:val="center"/>
          </w:tcPr>
          <w:p w14:paraId="003D1BC0" w14:textId="2EC2FA7C" w:rsidR="000621B8" w:rsidRPr="00E5638B" w:rsidRDefault="000621B8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E5638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Efectos de la alimentación en el desempeño escolar de los estudiantes de transición</w:t>
            </w:r>
          </w:p>
        </w:tc>
        <w:tc>
          <w:tcPr>
            <w:tcW w:w="2260" w:type="dxa"/>
            <w:vAlign w:val="center"/>
          </w:tcPr>
          <w:p w14:paraId="435E4B73" w14:textId="5515BC7F" w:rsidR="000621B8" w:rsidRPr="00E5638B" w:rsidRDefault="000621B8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E5638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Medina y Mosquera (2022)</w:t>
            </w:r>
          </w:p>
        </w:tc>
      </w:tr>
      <w:tr w:rsidR="00A90C22" w:rsidRPr="00E5638B" w14:paraId="07257F6C" w14:textId="77777777" w:rsidTr="0039019B">
        <w:tc>
          <w:tcPr>
            <w:tcW w:w="2315" w:type="dxa"/>
            <w:vMerge/>
            <w:vAlign w:val="center"/>
          </w:tcPr>
          <w:p w14:paraId="518E00BF" w14:textId="77777777" w:rsidR="00A90C22" w:rsidRPr="00E5638B" w:rsidRDefault="00A90C22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4FBF82D1" w14:textId="22EC77EA" w:rsidR="00A90C22" w:rsidRPr="00E5638B" w:rsidRDefault="00A90C22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A90C22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Evaluación de la calidad en la prestación del servicio del Programa de Alimentación Escolar de la Institución Educativa Nuestra Señora de Las Mercedes-Sardinata (Norte De Santander)</w:t>
            </w:r>
          </w:p>
        </w:tc>
        <w:tc>
          <w:tcPr>
            <w:tcW w:w="2260" w:type="dxa"/>
            <w:vAlign w:val="center"/>
          </w:tcPr>
          <w:p w14:paraId="010A6731" w14:textId="264FE1EF" w:rsidR="00A90C22" w:rsidRPr="00E5638B" w:rsidRDefault="00A90C22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Velázquez et al. (2022)</w:t>
            </w:r>
          </w:p>
        </w:tc>
      </w:tr>
      <w:tr w:rsidR="00BA2351" w:rsidRPr="00E5638B" w14:paraId="2EFFD9AE" w14:textId="77777777" w:rsidTr="0039019B">
        <w:tc>
          <w:tcPr>
            <w:tcW w:w="2315" w:type="dxa"/>
            <w:vMerge/>
            <w:vAlign w:val="center"/>
          </w:tcPr>
          <w:p w14:paraId="7293C260" w14:textId="77777777" w:rsidR="00BA2351" w:rsidRPr="00E5638B" w:rsidRDefault="00BA2351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2994DE34" w14:textId="515EEADB" w:rsidR="00BA2351" w:rsidRPr="008576E0" w:rsidRDefault="00BA2351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BA2351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Plan de Alimentación Escolar y su incidencia en la calidad educativa de Tunja, Boyacá</w:t>
            </w:r>
          </w:p>
        </w:tc>
        <w:tc>
          <w:tcPr>
            <w:tcW w:w="2260" w:type="dxa"/>
            <w:vAlign w:val="center"/>
          </w:tcPr>
          <w:p w14:paraId="4F1D3826" w14:textId="19AA7631" w:rsidR="00BA2351" w:rsidRDefault="00BA2351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Moreno (2023)</w:t>
            </w:r>
          </w:p>
        </w:tc>
      </w:tr>
      <w:tr w:rsidR="008576E0" w:rsidRPr="00E5638B" w14:paraId="186B760E" w14:textId="77777777" w:rsidTr="0039019B">
        <w:tc>
          <w:tcPr>
            <w:tcW w:w="2315" w:type="dxa"/>
            <w:vMerge/>
            <w:vAlign w:val="center"/>
          </w:tcPr>
          <w:p w14:paraId="0800E1F6" w14:textId="77777777" w:rsidR="008576E0" w:rsidRPr="00E5638B" w:rsidRDefault="008576E0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24E95869" w14:textId="7FA67FC7" w:rsidR="008576E0" w:rsidRPr="007A5BC7" w:rsidRDefault="008576E0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8576E0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Percepción de los Docentes Encargados del Área de Educación Fí­sica Frente al Programa de Alimentación Escolar (PAE) en las Escuelas Públicas de Bucaramanga</w:t>
            </w:r>
          </w:p>
        </w:tc>
        <w:tc>
          <w:tcPr>
            <w:tcW w:w="2260" w:type="dxa"/>
            <w:vAlign w:val="center"/>
          </w:tcPr>
          <w:p w14:paraId="26F176E8" w14:textId="6247A2B3" w:rsidR="008576E0" w:rsidRDefault="008576E0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Durán et al. (2023)</w:t>
            </w:r>
          </w:p>
        </w:tc>
      </w:tr>
      <w:tr w:rsidR="0009175A" w:rsidRPr="00E5638B" w14:paraId="75A07613" w14:textId="77777777" w:rsidTr="0039019B">
        <w:tc>
          <w:tcPr>
            <w:tcW w:w="2315" w:type="dxa"/>
            <w:vMerge/>
            <w:vAlign w:val="center"/>
          </w:tcPr>
          <w:p w14:paraId="28EC2249" w14:textId="77777777" w:rsidR="0009175A" w:rsidRPr="00E5638B" w:rsidRDefault="0009175A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05EC06EA" w14:textId="4CA4C26B" w:rsidR="0009175A" w:rsidRPr="007A5BC7" w:rsidRDefault="0009175A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09175A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JUNAEB en colegios municipales: ¿Entrega una alimentación adecuada para el desarrollo cognitivo de estudiantes de primer ciclo?</w:t>
            </w:r>
          </w:p>
        </w:tc>
        <w:tc>
          <w:tcPr>
            <w:tcW w:w="2260" w:type="dxa"/>
            <w:vAlign w:val="center"/>
          </w:tcPr>
          <w:p w14:paraId="4AD201EB" w14:textId="15C02366" w:rsidR="0009175A" w:rsidRDefault="0009175A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Calisto y Díaz (2019)</w:t>
            </w:r>
          </w:p>
        </w:tc>
      </w:tr>
      <w:tr w:rsidR="007A5BC7" w:rsidRPr="00E5638B" w14:paraId="4C2BE3BB" w14:textId="77777777" w:rsidTr="0039019B">
        <w:tc>
          <w:tcPr>
            <w:tcW w:w="2315" w:type="dxa"/>
            <w:vMerge/>
            <w:vAlign w:val="center"/>
          </w:tcPr>
          <w:p w14:paraId="1EC6B8FB" w14:textId="77777777" w:rsidR="007A5BC7" w:rsidRPr="00E5638B" w:rsidRDefault="007A5BC7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48B33DCA" w14:textId="09986915" w:rsidR="007A5BC7" w:rsidRPr="00E5638B" w:rsidRDefault="007A5BC7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7A5BC7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Efecto del Programa de Alimentación Escolar (PAE) en el Rendimiento Académico de los Estudiantes en las Pruebas Saber 11 de Matemáticas y Lectura de Colegios Públicos en Colombia (2019 y 2022)</w:t>
            </w:r>
          </w:p>
        </w:tc>
        <w:tc>
          <w:tcPr>
            <w:tcW w:w="2260" w:type="dxa"/>
            <w:vAlign w:val="center"/>
          </w:tcPr>
          <w:p w14:paraId="1F564899" w14:textId="245DD6D6" w:rsidR="007A5BC7" w:rsidRPr="00E5638B" w:rsidRDefault="007A5BC7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Porras y Rojas (2024)</w:t>
            </w:r>
          </w:p>
        </w:tc>
      </w:tr>
      <w:tr w:rsidR="000621B8" w:rsidRPr="00E5638B" w14:paraId="6C84CE9B" w14:textId="77777777" w:rsidTr="0039019B">
        <w:tc>
          <w:tcPr>
            <w:tcW w:w="2315" w:type="dxa"/>
            <w:vMerge/>
            <w:vAlign w:val="center"/>
          </w:tcPr>
          <w:p w14:paraId="6147EC19" w14:textId="36D3374F" w:rsidR="000621B8" w:rsidRPr="00E5638B" w:rsidRDefault="000621B8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1F3954A0" w14:textId="7B9EA835" w:rsidR="000621B8" w:rsidRPr="00E5638B" w:rsidRDefault="000621B8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E5638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El poder de un refrigerio. La alimentación escolar y sus efectos educativos en Colombia</w:t>
            </w:r>
          </w:p>
        </w:tc>
        <w:tc>
          <w:tcPr>
            <w:tcW w:w="2260" w:type="dxa"/>
            <w:vAlign w:val="center"/>
          </w:tcPr>
          <w:p w14:paraId="757033EC" w14:textId="33A80B89" w:rsidR="000621B8" w:rsidRPr="00E5638B" w:rsidRDefault="000621B8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proofErr w:type="spellStart"/>
            <w:r w:rsidRPr="002C4732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Collante</w:t>
            </w:r>
            <w:proofErr w:type="spellEnd"/>
            <w:r w:rsidRPr="002C4732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, Rodrí­guez </w:t>
            </w: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y </w:t>
            </w:r>
            <w:r w:rsidRPr="002C4732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Sánchez </w:t>
            </w: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(2022)</w:t>
            </w:r>
          </w:p>
        </w:tc>
      </w:tr>
      <w:tr w:rsidR="000621B8" w:rsidRPr="00E5638B" w14:paraId="160C1C77" w14:textId="77777777" w:rsidTr="0039019B">
        <w:tc>
          <w:tcPr>
            <w:tcW w:w="2315" w:type="dxa"/>
            <w:vMerge/>
            <w:vAlign w:val="center"/>
          </w:tcPr>
          <w:p w14:paraId="5FF36BBD" w14:textId="77777777" w:rsidR="000621B8" w:rsidRPr="00E5638B" w:rsidRDefault="000621B8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18791D43" w14:textId="4A266E1C" w:rsidR="000621B8" w:rsidRPr="00E5638B" w:rsidRDefault="000621B8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D84DD2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Aceptabilidad de alimentos según </w:t>
            </w:r>
            <w:proofErr w:type="spellStart"/>
            <w:r w:rsidRPr="00D84DD2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sociodiversidad</w:t>
            </w:r>
            <w:proofErr w:type="spellEnd"/>
            <w:r w:rsidRPr="00D84DD2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en comedores escolares de Brasil</w:t>
            </w:r>
          </w:p>
        </w:tc>
        <w:tc>
          <w:tcPr>
            <w:tcW w:w="2260" w:type="dxa"/>
            <w:vAlign w:val="center"/>
          </w:tcPr>
          <w:p w14:paraId="79644085" w14:textId="35306A53" w:rsidR="000621B8" w:rsidRPr="00E5638B" w:rsidRDefault="000621B8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Días et al. (2023)</w:t>
            </w:r>
          </w:p>
        </w:tc>
      </w:tr>
      <w:tr w:rsidR="000621B8" w:rsidRPr="00E5638B" w14:paraId="2517D650" w14:textId="77777777" w:rsidTr="0039019B">
        <w:tc>
          <w:tcPr>
            <w:tcW w:w="2315" w:type="dxa"/>
            <w:vMerge/>
            <w:vAlign w:val="center"/>
          </w:tcPr>
          <w:p w14:paraId="42C31F71" w14:textId="77777777" w:rsidR="000621B8" w:rsidRPr="00E5638B" w:rsidRDefault="000621B8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529A0AEA" w14:textId="2F3EEEA5" w:rsidR="000621B8" w:rsidRPr="00E5638B" w:rsidRDefault="000621B8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F9566C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Gestión de la inocuidad-calidad alimentaria para un servicio de alimentación escolar con énfasis en la diversidad de la dieta en el departamento de Tolima, Colombia en la era post COVID-19</w:t>
            </w:r>
          </w:p>
        </w:tc>
        <w:tc>
          <w:tcPr>
            <w:tcW w:w="2260" w:type="dxa"/>
            <w:vAlign w:val="center"/>
          </w:tcPr>
          <w:p w14:paraId="7AA19D2E" w14:textId="78B5F894" w:rsidR="000621B8" w:rsidRPr="00E5638B" w:rsidRDefault="000621B8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9F6D37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Salguero</w:t>
            </w: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(2022)</w:t>
            </w:r>
          </w:p>
        </w:tc>
      </w:tr>
      <w:tr w:rsidR="003A75AC" w:rsidRPr="00E5638B" w14:paraId="26F972E3" w14:textId="77777777" w:rsidTr="0039019B">
        <w:tc>
          <w:tcPr>
            <w:tcW w:w="2315" w:type="dxa"/>
            <w:vMerge w:val="restart"/>
            <w:vAlign w:val="center"/>
          </w:tcPr>
          <w:p w14:paraId="2895EE5E" w14:textId="57B45FA7" w:rsidR="003A75AC" w:rsidRPr="00E5638B" w:rsidRDefault="003A75AC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Alimentación</w:t>
            </w:r>
          </w:p>
        </w:tc>
        <w:tc>
          <w:tcPr>
            <w:tcW w:w="4343" w:type="dxa"/>
            <w:vAlign w:val="center"/>
          </w:tcPr>
          <w:p w14:paraId="1AE6549B" w14:textId="5B663DCE" w:rsidR="003A75AC" w:rsidRPr="00E5638B" w:rsidRDefault="003A75AC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8D018E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Revisión Sistemática: La Alimentación y su Incidencia en el Rendimiento Escolar en los Niños de Inicial</w:t>
            </w:r>
          </w:p>
        </w:tc>
        <w:tc>
          <w:tcPr>
            <w:tcW w:w="2260" w:type="dxa"/>
            <w:vAlign w:val="center"/>
          </w:tcPr>
          <w:p w14:paraId="11488A97" w14:textId="49901022" w:rsidR="003A75AC" w:rsidRPr="00E5638B" w:rsidRDefault="003A75AC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Acosta et al. (2021)</w:t>
            </w:r>
          </w:p>
        </w:tc>
      </w:tr>
      <w:tr w:rsidR="00341199" w:rsidRPr="00E5638B" w14:paraId="34F280D2" w14:textId="77777777" w:rsidTr="0039019B">
        <w:tc>
          <w:tcPr>
            <w:tcW w:w="2315" w:type="dxa"/>
            <w:vMerge/>
            <w:vAlign w:val="center"/>
          </w:tcPr>
          <w:p w14:paraId="4A026D6D" w14:textId="77777777" w:rsidR="00341199" w:rsidRDefault="00341199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5A2CDB9E" w14:textId="4E66ACBE" w:rsidR="00341199" w:rsidRPr="00CC77A8" w:rsidRDefault="00341199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341199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Relación entre factores nutricionales y nivel académico en estudiantes de la Universidad Regional Autónoma de Los Andes</w:t>
            </w:r>
          </w:p>
        </w:tc>
        <w:tc>
          <w:tcPr>
            <w:tcW w:w="2260" w:type="dxa"/>
            <w:vAlign w:val="center"/>
          </w:tcPr>
          <w:p w14:paraId="05F22141" w14:textId="37DA1F64" w:rsidR="00341199" w:rsidRDefault="00341199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Durán et al. (2023)</w:t>
            </w:r>
          </w:p>
        </w:tc>
      </w:tr>
      <w:tr w:rsidR="00CC77A8" w:rsidRPr="00E5638B" w14:paraId="69518CAB" w14:textId="77777777" w:rsidTr="0039019B">
        <w:tc>
          <w:tcPr>
            <w:tcW w:w="2315" w:type="dxa"/>
            <w:vMerge/>
            <w:vAlign w:val="center"/>
          </w:tcPr>
          <w:p w14:paraId="346ADBE1" w14:textId="77777777" w:rsidR="00CC77A8" w:rsidRDefault="00CC77A8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028218A4" w14:textId="3C72165F" w:rsidR="00CC77A8" w:rsidRPr="008D018E" w:rsidRDefault="00CC77A8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CC77A8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Estado nutricional y su influencia en el rendimiento académico</w:t>
            </w:r>
          </w:p>
        </w:tc>
        <w:tc>
          <w:tcPr>
            <w:tcW w:w="2260" w:type="dxa"/>
            <w:vAlign w:val="center"/>
          </w:tcPr>
          <w:p w14:paraId="53F7ED25" w14:textId="1B8BFB30" w:rsidR="00CC77A8" w:rsidRDefault="00CC77A8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González (2021)</w:t>
            </w:r>
          </w:p>
        </w:tc>
      </w:tr>
      <w:tr w:rsidR="00FB03A9" w:rsidRPr="00E5638B" w14:paraId="3D5A65E8" w14:textId="77777777" w:rsidTr="0039019B">
        <w:tc>
          <w:tcPr>
            <w:tcW w:w="2315" w:type="dxa"/>
            <w:vMerge/>
            <w:vAlign w:val="center"/>
          </w:tcPr>
          <w:p w14:paraId="11B65A5B" w14:textId="77777777" w:rsidR="00FB03A9" w:rsidRDefault="00FB03A9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1BB50192" w14:textId="32136FD2" w:rsidR="00FB03A9" w:rsidRPr="00CC77A8" w:rsidRDefault="00FB03A9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FB03A9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Influencia del Estado Nutricional en el Rendimiento Académico en una institución educativa</w:t>
            </w:r>
          </w:p>
        </w:tc>
        <w:tc>
          <w:tcPr>
            <w:tcW w:w="2260" w:type="dxa"/>
            <w:vAlign w:val="center"/>
          </w:tcPr>
          <w:p w14:paraId="0A0A047A" w14:textId="2B482E9F" w:rsidR="00FB03A9" w:rsidRDefault="00FB03A9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Santos y Barros (2022)</w:t>
            </w:r>
          </w:p>
        </w:tc>
      </w:tr>
      <w:tr w:rsidR="005B3261" w:rsidRPr="00E5638B" w14:paraId="5B9DBB38" w14:textId="77777777" w:rsidTr="0039019B">
        <w:tc>
          <w:tcPr>
            <w:tcW w:w="2315" w:type="dxa"/>
            <w:vMerge/>
            <w:vAlign w:val="center"/>
          </w:tcPr>
          <w:p w14:paraId="4A4D29EB" w14:textId="77777777" w:rsidR="005B3261" w:rsidRDefault="005B3261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0D4E06B3" w14:textId="07DEF40B" w:rsidR="005B3261" w:rsidRPr="00F254C9" w:rsidRDefault="005B3261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5B3261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Loncheras saludables y su </w:t>
            </w:r>
            <w:r w:rsidR="00666E4D" w:rsidRPr="005B3261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relación</w:t>
            </w:r>
            <w:r w:rsidRPr="005B3261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con el rendimiento escolar en niños del nivel inicial de la institución educativa integrada </w:t>
            </w:r>
            <w:proofErr w:type="spellStart"/>
            <w:r w:rsidRPr="005B3261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N°</w:t>
            </w:r>
            <w:proofErr w:type="spellEnd"/>
            <w:r w:rsidRPr="005B3261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15 - 20347 – Santa </w:t>
            </w:r>
            <w:r w:rsidR="00666E4D" w:rsidRPr="005B3261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María</w:t>
            </w:r>
            <w:r w:rsidRPr="005B3261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– Huaura</w:t>
            </w:r>
          </w:p>
        </w:tc>
        <w:tc>
          <w:tcPr>
            <w:tcW w:w="2260" w:type="dxa"/>
            <w:vAlign w:val="center"/>
          </w:tcPr>
          <w:p w14:paraId="0563AAD7" w14:textId="5FB423D9" w:rsidR="005B3261" w:rsidRDefault="005B3261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Romero y Peña (2023)</w:t>
            </w:r>
          </w:p>
        </w:tc>
      </w:tr>
      <w:tr w:rsidR="00F254C9" w:rsidRPr="00E5638B" w14:paraId="05E3E70B" w14:textId="77777777" w:rsidTr="0039019B">
        <w:tc>
          <w:tcPr>
            <w:tcW w:w="2315" w:type="dxa"/>
            <w:vMerge/>
            <w:vAlign w:val="center"/>
          </w:tcPr>
          <w:p w14:paraId="3362C765" w14:textId="77777777" w:rsidR="00F254C9" w:rsidRDefault="00F254C9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6F882BF4" w14:textId="4D1680BF" w:rsidR="00F254C9" w:rsidRPr="00390EEC" w:rsidRDefault="00F254C9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F254C9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Los hábitos alimenticios y su incidencia en el desarrollo cognitivo de los niños de la Escuela Emilio Rivas Huerta 2020 - 2021</w:t>
            </w:r>
          </w:p>
        </w:tc>
        <w:tc>
          <w:tcPr>
            <w:tcW w:w="2260" w:type="dxa"/>
            <w:vAlign w:val="center"/>
          </w:tcPr>
          <w:p w14:paraId="560B2DAB" w14:textId="5E244906" w:rsidR="00F254C9" w:rsidRDefault="00F254C9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Ceme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(2021)</w:t>
            </w:r>
          </w:p>
        </w:tc>
      </w:tr>
      <w:tr w:rsidR="00390EEC" w:rsidRPr="00E5638B" w14:paraId="6679B4D1" w14:textId="77777777" w:rsidTr="0039019B">
        <w:tc>
          <w:tcPr>
            <w:tcW w:w="2315" w:type="dxa"/>
            <w:vMerge/>
            <w:vAlign w:val="center"/>
          </w:tcPr>
          <w:p w14:paraId="5674B6C0" w14:textId="77777777" w:rsidR="00390EEC" w:rsidRDefault="00390EEC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5693D291" w14:textId="68EC53AC" w:rsidR="00390EEC" w:rsidRPr="00542257" w:rsidRDefault="00390EEC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390EEC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Impacto de la Nutrición en el Rendimiento Académico: Una Revisión Narrativa</w:t>
            </w:r>
          </w:p>
        </w:tc>
        <w:tc>
          <w:tcPr>
            <w:tcW w:w="2260" w:type="dxa"/>
            <w:vAlign w:val="center"/>
          </w:tcPr>
          <w:p w14:paraId="0001F752" w14:textId="5908F1F3" w:rsidR="00390EEC" w:rsidRDefault="00390EEC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León et al. (2023)</w:t>
            </w:r>
          </w:p>
        </w:tc>
      </w:tr>
      <w:tr w:rsidR="00390EEC" w:rsidRPr="00E5638B" w14:paraId="5F4EFD43" w14:textId="77777777" w:rsidTr="0039019B">
        <w:tc>
          <w:tcPr>
            <w:tcW w:w="2315" w:type="dxa"/>
            <w:vMerge/>
            <w:vAlign w:val="center"/>
          </w:tcPr>
          <w:p w14:paraId="4154F8DF" w14:textId="77777777" w:rsidR="00390EEC" w:rsidRDefault="00390EEC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73DC6B16" w14:textId="2EF97433" w:rsidR="00390EEC" w:rsidRPr="00542257" w:rsidRDefault="00DC37E4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DC37E4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Hábitos nutricionales, estado nutricional y su relación con el rendimiento académico en escolares de la Unidad Educativa Fiscomisional "Corazón de María" del Cantón Biblián, 2019.</w:t>
            </w:r>
          </w:p>
        </w:tc>
        <w:tc>
          <w:tcPr>
            <w:tcW w:w="2260" w:type="dxa"/>
            <w:vAlign w:val="center"/>
          </w:tcPr>
          <w:p w14:paraId="6A05104B" w14:textId="78901FB7" w:rsidR="00390EEC" w:rsidRDefault="00DC37E4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proofErr w:type="spellStart"/>
            <w:r w:rsidRPr="00DC37E4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Pug</w:t>
            </w: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y</w:t>
            </w:r>
            <w:r w:rsidRPr="00DC37E4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</w:t>
            </w:r>
            <w:proofErr w:type="spellStart"/>
            <w:r w:rsidRPr="00DC37E4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Zhinin</w:t>
            </w:r>
            <w:proofErr w:type="spellEnd"/>
            <w:r w:rsidRPr="00DC37E4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(2020)</w:t>
            </w:r>
          </w:p>
        </w:tc>
      </w:tr>
      <w:tr w:rsidR="00390EEC" w:rsidRPr="00E5638B" w14:paraId="21BA6C64" w14:textId="77777777" w:rsidTr="0039019B">
        <w:tc>
          <w:tcPr>
            <w:tcW w:w="2315" w:type="dxa"/>
            <w:vMerge/>
            <w:vAlign w:val="center"/>
          </w:tcPr>
          <w:p w14:paraId="790AAACF" w14:textId="77777777" w:rsidR="00390EEC" w:rsidRDefault="00390EEC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2947CB13" w14:textId="05AB8CA9" w:rsidR="00390EEC" w:rsidRPr="00542257" w:rsidRDefault="00512FB9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512FB9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Influencia del estado nutricional en el rendimiento académico de los alumnos del colegio </w:t>
            </w:r>
            <w:proofErr w:type="spellStart"/>
            <w:r w:rsidRPr="00512FB9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N°</w:t>
            </w:r>
            <w:proofErr w:type="spellEnd"/>
            <w:r w:rsidRPr="00512FB9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22320 – Parcona, año 2020</w:t>
            </w:r>
          </w:p>
        </w:tc>
        <w:tc>
          <w:tcPr>
            <w:tcW w:w="2260" w:type="dxa"/>
            <w:vAlign w:val="center"/>
          </w:tcPr>
          <w:p w14:paraId="424665C1" w14:textId="3D055B71" w:rsidR="00390EEC" w:rsidRDefault="00512FB9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Huamani (2021)</w:t>
            </w:r>
          </w:p>
        </w:tc>
      </w:tr>
      <w:tr w:rsidR="00542257" w:rsidRPr="00E5638B" w14:paraId="13D50AFA" w14:textId="77777777" w:rsidTr="0039019B">
        <w:tc>
          <w:tcPr>
            <w:tcW w:w="2315" w:type="dxa"/>
            <w:vMerge/>
            <w:vAlign w:val="center"/>
          </w:tcPr>
          <w:p w14:paraId="53796667" w14:textId="77777777" w:rsidR="00542257" w:rsidRDefault="00542257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735A6172" w14:textId="7C21CAD3" w:rsidR="00542257" w:rsidRPr="000C1A62" w:rsidRDefault="00542257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542257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Estado nutricional y rendimiento académico en adolescentes</w:t>
            </w:r>
          </w:p>
        </w:tc>
        <w:tc>
          <w:tcPr>
            <w:tcW w:w="2260" w:type="dxa"/>
            <w:vAlign w:val="center"/>
          </w:tcPr>
          <w:p w14:paraId="6D593F0F" w14:textId="4F3E5779" w:rsidR="00542257" w:rsidRDefault="00542257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García y Cristina (2024)</w:t>
            </w:r>
          </w:p>
        </w:tc>
      </w:tr>
      <w:tr w:rsidR="000C1A62" w:rsidRPr="00E5638B" w14:paraId="23DF6D11" w14:textId="77777777" w:rsidTr="0039019B">
        <w:tc>
          <w:tcPr>
            <w:tcW w:w="2315" w:type="dxa"/>
            <w:vMerge/>
            <w:vAlign w:val="center"/>
          </w:tcPr>
          <w:p w14:paraId="2329421D" w14:textId="77777777" w:rsidR="000C1A62" w:rsidRDefault="000C1A62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00DA11C7" w14:textId="6B740B5D" w:rsidR="000C1A62" w:rsidRPr="008D018E" w:rsidRDefault="000C1A62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0C1A62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El Impacto de la Calidad Nutricional en el Desarrollo Cognitivo</w:t>
            </w:r>
          </w:p>
        </w:tc>
        <w:tc>
          <w:tcPr>
            <w:tcW w:w="2260" w:type="dxa"/>
            <w:vAlign w:val="center"/>
          </w:tcPr>
          <w:p w14:paraId="48E8BE75" w14:textId="0C157C6B" w:rsidR="000C1A62" w:rsidRDefault="000C1A62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Fernández (2024)</w:t>
            </w:r>
          </w:p>
        </w:tc>
      </w:tr>
      <w:tr w:rsidR="00A316CD" w:rsidRPr="00E5638B" w14:paraId="24282B38" w14:textId="77777777" w:rsidTr="0039019B">
        <w:tc>
          <w:tcPr>
            <w:tcW w:w="2315" w:type="dxa"/>
            <w:vMerge/>
            <w:vAlign w:val="center"/>
          </w:tcPr>
          <w:p w14:paraId="48B33C93" w14:textId="77777777" w:rsidR="00A316CD" w:rsidRPr="00E5638B" w:rsidRDefault="00A316CD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1F279F15" w14:textId="62F57A15" w:rsidR="00A316CD" w:rsidRPr="00800AE5" w:rsidRDefault="00A316CD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A316C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Hábitos de alimentación saludable y su incidencia en el rendimiento académico en los estudiantes de educación básica media</w:t>
            </w:r>
          </w:p>
        </w:tc>
        <w:tc>
          <w:tcPr>
            <w:tcW w:w="2260" w:type="dxa"/>
            <w:vAlign w:val="center"/>
          </w:tcPr>
          <w:p w14:paraId="4E0EADA3" w14:textId="1F64DBF3" w:rsidR="00A316CD" w:rsidRDefault="00A316CD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Fernández (2024)</w:t>
            </w:r>
          </w:p>
        </w:tc>
      </w:tr>
      <w:tr w:rsidR="00A316CD" w:rsidRPr="00E5638B" w14:paraId="3B0D613E" w14:textId="77777777" w:rsidTr="0039019B">
        <w:tc>
          <w:tcPr>
            <w:tcW w:w="2315" w:type="dxa"/>
            <w:vMerge/>
            <w:vAlign w:val="center"/>
          </w:tcPr>
          <w:p w14:paraId="551EACDB" w14:textId="77777777" w:rsidR="00A316CD" w:rsidRPr="00E5638B" w:rsidRDefault="00A316CD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14DA2527" w14:textId="0EF97E75" w:rsidR="00A316CD" w:rsidRPr="00800AE5" w:rsidRDefault="005C13E9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5C13E9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Relación entre estilos de vida y rendimiento académico en estudiantes universitarios (caso de estudio: Universidad Uniciencia de la ciudad de Bucaramanga del año 2019)</w:t>
            </w:r>
          </w:p>
        </w:tc>
        <w:tc>
          <w:tcPr>
            <w:tcW w:w="2260" w:type="dxa"/>
            <w:vAlign w:val="center"/>
          </w:tcPr>
          <w:p w14:paraId="0FD0099C" w14:textId="1B7B9C0D" w:rsidR="00A316CD" w:rsidRDefault="005C13E9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Sáez y Guillermo (2022)</w:t>
            </w:r>
          </w:p>
        </w:tc>
      </w:tr>
      <w:tr w:rsidR="003A75AC" w:rsidRPr="00E5638B" w14:paraId="0A8D4C59" w14:textId="77777777" w:rsidTr="0039019B">
        <w:tc>
          <w:tcPr>
            <w:tcW w:w="2315" w:type="dxa"/>
            <w:vMerge/>
            <w:vAlign w:val="center"/>
          </w:tcPr>
          <w:p w14:paraId="1A5B8E23" w14:textId="77777777" w:rsidR="003A75AC" w:rsidRPr="00E5638B" w:rsidRDefault="003A75AC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45689F7E" w14:textId="3615F48D" w:rsidR="003A75AC" w:rsidRPr="00E5638B" w:rsidRDefault="003A75AC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800AE5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Alimentación Infantil, su Importancia en el Aprendizaje Escolar</w:t>
            </w:r>
          </w:p>
        </w:tc>
        <w:tc>
          <w:tcPr>
            <w:tcW w:w="2260" w:type="dxa"/>
            <w:vAlign w:val="center"/>
          </w:tcPr>
          <w:p w14:paraId="59BB8940" w14:textId="5A3DA864" w:rsidR="003A75AC" w:rsidRPr="00E5638B" w:rsidRDefault="003A75AC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Cardozo y Ramírez (2025)</w:t>
            </w:r>
          </w:p>
        </w:tc>
      </w:tr>
      <w:tr w:rsidR="003A75AC" w:rsidRPr="00E5638B" w14:paraId="2A6D99EE" w14:textId="77777777" w:rsidTr="0039019B">
        <w:tc>
          <w:tcPr>
            <w:tcW w:w="2315" w:type="dxa"/>
            <w:vMerge/>
            <w:vAlign w:val="center"/>
          </w:tcPr>
          <w:p w14:paraId="46F116D3" w14:textId="77777777" w:rsidR="003A75AC" w:rsidRPr="00E5638B" w:rsidRDefault="003A75AC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2A0573DF" w14:textId="4CA0BAA8" w:rsidR="003A75AC" w:rsidRPr="00E5638B" w:rsidRDefault="003A75AC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602238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Relación entre hábitos alimenticios y el rendimiento académico de niños y adolescentes en América Latina</w:t>
            </w:r>
          </w:p>
        </w:tc>
        <w:tc>
          <w:tcPr>
            <w:tcW w:w="2260" w:type="dxa"/>
            <w:vAlign w:val="center"/>
          </w:tcPr>
          <w:p w14:paraId="2E3B0CFA" w14:textId="5A1747EB" w:rsidR="003A75AC" w:rsidRPr="00E5638B" w:rsidRDefault="003A75AC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Forero et al. (2023)</w:t>
            </w:r>
          </w:p>
        </w:tc>
      </w:tr>
      <w:tr w:rsidR="003A75AC" w:rsidRPr="00E5638B" w14:paraId="52C42D0E" w14:textId="77777777" w:rsidTr="0039019B">
        <w:tc>
          <w:tcPr>
            <w:tcW w:w="2315" w:type="dxa"/>
            <w:vMerge/>
            <w:vAlign w:val="center"/>
          </w:tcPr>
          <w:p w14:paraId="631AF4F8" w14:textId="77777777" w:rsidR="003A75AC" w:rsidRPr="00E5638B" w:rsidRDefault="003A75AC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1C34C2FC" w14:textId="2BDD229E" w:rsidR="003A75AC" w:rsidRPr="00E5638B" w:rsidRDefault="003A75AC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3A75AC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La educación alimentaria y su incidencia en el desarrollo cognitivo en niños de 4 a 5 años de Educación Inicial</w:t>
            </w:r>
          </w:p>
        </w:tc>
        <w:tc>
          <w:tcPr>
            <w:tcW w:w="2260" w:type="dxa"/>
            <w:vAlign w:val="center"/>
          </w:tcPr>
          <w:p w14:paraId="2F28FED0" w14:textId="1448E6F5" w:rsidR="003A75AC" w:rsidRPr="00E5638B" w:rsidRDefault="003A75AC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Lema (2022)</w:t>
            </w:r>
          </w:p>
        </w:tc>
      </w:tr>
      <w:tr w:rsidR="008743D7" w:rsidRPr="00E5638B" w14:paraId="74B4B92F" w14:textId="77777777" w:rsidTr="0039019B">
        <w:tc>
          <w:tcPr>
            <w:tcW w:w="2315" w:type="dxa"/>
            <w:vMerge w:val="restart"/>
            <w:vAlign w:val="center"/>
          </w:tcPr>
          <w:p w14:paraId="77B06A08" w14:textId="03C9B66B" w:rsidR="008743D7" w:rsidRPr="00E5638B" w:rsidRDefault="008743D7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Crecimiento y desarrollo</w:t>
            </w:r>
          </w:p>
        </w:tc>
        <w:tc>
          <w:tcPr>
            <w:tcW w:w="4343" w:type="dxa"/>
            <w:vAlign w:val="center"/>
          </w:tcPr>
          <w:p w14:paraId="45E09E2E" w14:textId="384C0C28" w:rsidR="008743D7" w:rsidRPr="00E5638B" w:rsidRDefault="008743D7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3E6C15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Impacto de la desnutrición en el desarrollo infantil de América Latina: implicaciones para la salud y el desarrollo integral</w:t>
            </w:r>
          </w:p>
        </w:tc>
        <w:tc>
          <w:tcPr>
            <w:tcW w:w="2260" w:type="dxa"/>
            <w:vAlign w:val="center"/>
          </w:tcPr>
          <w:p w14:paraId="55212C7E" w14:textId="5C82A195" w:rsidR="008743D7" w:rsidRPr="00E5638B" w:rsidRDefault="008743D7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Merchán et al. (2024)</w:t>
            </w:r>
          </w:p>
        </w:tc>
      </w:tr>
      <w:tr w:rsidR="008743D7" w:rsidRPr="00E5638B" w14:paraId="69CE7B04" w14:textId="77777777" w:rsidTr="0039019B">
        <w:tc>
          <w:tcPr>
            <w:tcW w:w="2315" w:type="dxa"/>
            <w:vMerge/>
            <w:vAlign w:val="center"/>
          </w:tcPr>
          <w:p w14:paraId="56D6CCCB" w14:textId="77777777" w:rsidR="008743D7" w:rsidRPr="00E5638B" w:rsidRDefault="008743D7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097B7AB1" w14:textId="1E7E8462" w:rsidR="008743D7" w:rsidRPr="00E5638B" w:rsidRDefault="008743D7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BD393E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Alimentación y aprendizajes: aliados estratégicos del desarrollo fí­sico-cognitivo en niños de centros preescolares en Machala-Ecuador</w:t>
            </w:r>
          </w:p>
        </w:tc>
        <w:tc>
          <w:tcPr>
            <w:tcW w:w="2260" w:type="dxa"/>
            <w:vAlign w:val="center"/>
          </w:tcPr>
          <w:p w14:paraId="611E7DD7" w14:textId="5116B75E" w:rsidR="008743D7" w:rsidRPr="00E5638B" w:rsidRDefault="008743D7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Cruz et al. (2024)</w:t>
            </w:r>
          </w:p>
        </w:tc>
      </w:tr>
      <w:tr w:rsidR="008743D7" w:rsidRPr="00E5638B" w14:paraId="7CC1D4A0" w14:textId="77777777" w:rsidTr="0039019B">
        <w:tc>
          <w:tcPr>
            <w:tcW w:w="2315" w:type="dxa"/>
            <w:vMerge/>
            <w:vAlign w:val="center"/>
          </w:tcPr>
          <w:p w14:paraId="305C1DE8" w14:textId="77777777" w:rsidR="008743D7" w:rsidRPr="00E5638B" w:rsidRDefault="008743D7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58F41C8E" w14:textId="7CFC561F" w:rsidR="008743D7" w:rsidRPr="00E5638B" w:rsidRDefault="008743D7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070572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La incidencia de la desnutrición y la malnutrición en el desarrollo social de la infancia con 30 familias de la ciudad de Medellín</w:t>
            </w:r>
          </w:p>
        </w:tc>
        <w:tc>
          <w:tcPr>
            <w:tcW w:w="2260" w:type="dxa"/>
            <w:vAlign w:val="center"/>
          </w:tcPr>
          <w:p w14:paraId="27F8542C" w14:textId="31A21903" w:rsidR="008743D7" w:rsidRPr="00E5638B" w:rsidRDefault="008743D7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Amaya y Agudelo (2020)</w:t>
            </w:r>
          </w:p>
        </w:tc>
      </w:tr>
      <w:tr w:rsidR="008743D7" w:rsidRPr="00E5638B" w14:paraId="774624E6" w14:textId="77777777" w:rsidTr="0039019B">
        <w:tc>
          <w:tcPr>
            <w:tcW w:w="2315" w:type="dxa"/>
            <w:vMerge/>
            <w:vAlign w:val="center"/>
          </w:tcPr>
          <w:p w14:paraId="3680DF2C" w14:textId="77777777" w:rsidR="008743D7" w:rsidRPr="00E5638B" w:rsidRDefault="008743D7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08FE59DA" w14:textId="29F7B973" w:rsidR="008743D7" w:rsidRPr="00E5638B" w:rsidRDefault="008743D7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070572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Desnutrición crónica infantil y sus efectos en el crecimiento y desarrollo</w:t>
            </w:r>
          </w:p>
        </w:tc>
        <w:tc>
          <w:tcPr>
            <w:tcW w:w="2260" w:type="dxa"/>
            <w:vAlign w:val="center"/>
          </w:tcPr>
          <w:p w14:paraId="20C9C2E2" w14:textId="04C512D4" w:rsidR="008743D7" w:rsidRPr="00E5638B" w:rsidRDefault="008743D7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Cortés y Pérez (2023)</w:t>
            </w:r>
          </w:p>
        </w:tc>
      </w:tr>
      <w:tr w:rsidR="00542257" w:rsidRPr="00E5638B" w14:paraId="7DC00A97" w14:textId="77777777" w:rsidTr="0039019B">
        <w:tc>
          <w:tcPr>
            <w:tcW w:w="2315" w:type="dxa"/>
            <w:vMerge w:val="restart"/>
            <w:vAlign w:val="center"/>
          </w:tcPr>
          <w:p w14:paraId="76975055" w14:textId="1B4CB171" w:rsidR="00542257" w:rsidRPr="00E5638B" w:rsidRDefault="00542257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Desnutrición; Malnutrición</w:t>
            </w:r>
          </w:p>
        </w:tc>
        <w:tc>
          <w:tcPr>
            <w:tcW w:w="4343" w:type="dxa"/>
            <w:vAlign w:val="center"/>
          </w:tcPr>
          <w:p w14:paraId="25F1B21C" w14:textId="0E66662D" w:rsidR="00542257" w:rsidRPr="00E5638B" w:rsidRDefault="00542257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323F99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Creencias sobre alimentación y obesidad infantil en cuidadores de escolares mapuches y no mapuches</w:t>
            </w:r>
          </w:p>
        </w:tc>
        <w:tc>
          <w:tcPr>
            <w:tcW w:w="2260" w:type="dxa"/>
            <w:vAlign w:val="center"/>
          </w:tcPr>
          <w:p w14:paraId="444A9EEF" w14:textId="144259C5" w:rsidR="00542257" w:rsidRPr="00E5638B" w:rsidRDefault="00542257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Altamirano y Hetz (2024)</w:t>
            </w:r>
          </w:p>
        </w:tc>
      </w:tr>
      <w:tr w:rsidR="00ED6F0D" w:rsidRPr="00E5638B" w14:paraId="5451C58F" w14:textId="77777777" w:rsidTr="0039019B">
        <w:tc>
          <w:tcPr>
            <w:tcW w:w="2315" w:type="dxa"/>
            <w:vMerge/>
            <w:vAlign w:val="center"/>
          </w:tcPr>
          <w:p w14:paraId="6EC49A4E" w14:textId="77777777" w:rsidR="00ED6F0D" w:rsidRPr="00E5638B" w:rsidRDefault="00ED6F0D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07609A00" w14:textId="7612D2CB" w:rsidR="00ED6F0D" w:rsidRPr="00D911CB" w:rsidRDefault="00ED6F0D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ED6F0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Impacto de la desnutrición en el desarrollo infantil de América Latina: implicaciones para la salud y el desarrollo integral</w:t>
            </w:r>
          </w:p>
        </w:tc>
        <w:tc>
          <w:tcPr>
            <w:tcW w:w="2260" w:type="dxa"/>
            <w:vAlign w:val="center"/>
          </w:tcPr>
          <w:p w14:paraId="2000A8A0" w14:textId="1CA83AB7" w:rsidR="00ED6F0D" w:rsidRDefault="00ED6F0D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Merchán et al. (2024)</w:t>
            </w:r>
          </w:p>
        </w:tc>
      </w:tr>
      <w:tr w:rsidR="0049689C" w:rsidRPr="00E5638B" w14:paraId="7482ED7E" w14:textId="77777777" w:rsidTr="0039019B">
        <w:tc>
          <w:tcPr>
            <w:tcW w:w="2315" w:type="dxa"/>
            <w:vMerge/>
            <w:vAlign w:val="center"/>
          </w:tcPr>
          <w:p w14:paraId="54467F23" w14:textId="77777777" w:rsidR="0049689C" w:rsidRPr="00E5638B" w:rsidRDefault="0049689C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2F8840F3" w14:textId="4F7E30BB" w:rsidR="0049689C" w:rsidRPr="00D911CB" w:rsidRDefault="0049689C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49689C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Desnutrición y su impacto en el rendimiento escolar</w:t>
            </w:r>
          </w:p>
        </w:tc>
        <w:tc>
          <w:tcPr>
            <w:tcW w:w="2260" w:type="dxa"/>
            <w:vAlign w:val="center"/>
          </w:tcPr>
          <w:p w14:paraId="19307EF3" w14:textId="3BD97AD2" w:rsidR="0049689C" w:rsidRDefault="0049689C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Cantos (2020)</w:t>
            </w:r>
          </w:p>
        </w:tc>
      </w:tr>
      <w:tr w:rsidR="00D911CB" w:rsidRPr="00E5638B" w14:paraId="27288BA9" w14:textId="77777777" w:rsidTr="0039019B">
        <w:tc>
          <w:tcPr>
            <w:tcW w:w="2315" w:type="dxa"/>
            <w:vMerge/>
            <w:vAlign w:val="center"/>
          </w:tcPr>
          <w:p w14:paraId="20435A6F" w14:textId="77777777" w:rsidR="00D911CB" w:rsidRPr="00E5638B" w:rsidRDefault="00D911CB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52F1052D" w14:textId="1C959411" w:rsidR="00D911CB" w:rsidRPr="00D911CB" w:rsidRDefault="00D911CB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D911C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Influencia de la desnutrición en el rendimiento académico en escolares del primer y segundo grado de la I.E.P. 70613 “TUPAC AMARU” SUYO, 2019</w:t>
            </w:r>
          </w:p>
        </w:tc>
        <w:tc>
          <w:tcPr>
            <w:tcW w:w="2260" w:type="dxa"/>
            <w:vAlign w:val="center"/>
          </w:tcPr>
          <w:p w14:paraId="036079AD" w14:textId="61A18CA5" w:rsidR="00D911CB" w:rsidRDefault="00D911CB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Ticona (2021)</w:t>
            </w:r>
          </w:p>
        </w:tc>
      </w:tr>
      <w:tr w:rsidR="002C32DA" w:rsidRPr="00E5638B" w14:paraId="632462DC" w14:textId="77777777" w:rsidTr="0039019B">
        <w:tc>
          <w:tcPr>
            <w:tcW w:w="2315" w:type="dxa"/>
            <w:vMerge/>
            <w:vAlign w:val="center"/>
          </w:tcPr>
          <w:p w14:paraId="2009495C" w14:textId="77777777" w:rsidR="002C32DA" w:rsidRPr="00E5638B" w:rsidRDefault="002C32DA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1F50178E" w14:textId="079826E6" w:rsidR="002C32DA" w:rsidRPr="00D911CB" w:rsidRDefault="002C32DA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2C32DA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La malnutrición y su relación en el desarrollo cognitivo en niños de la primera infancia</w:t>
            </w:r>
          </w:p>
        </w:tc>
        <w:tc>
          <w:tcPr>
            <w:tcW w:w="2260" w:type="dxa"/>
            <w:vAlign w:val="center"/>
          </w:tcPr>
          <w:p w14:paraId="5EA460DA" w14:textId="7D523EB9" w:rsidR="002C32DA" w:rsidRDefault="002C32DA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2C32DA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Ocaña-Noriega</w:t>
            </w: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y </w:t>
            </w:r>
            <w:r w:rsidRPr="002C32DA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Sagñay-Llinin </w:t>
            </w: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(2020)</w:t>
            </w:r>
          </w:p>
        </w:tc>
      </w:tr>
      <w:tr w:rsidR="00D911CB" w:rsidRPr="00E5638B" w14:paraId="518E30E6" w14:textId="77777777" w:rsidTr="0039019B">
        <w:tc>
          <w:tcPr>
            <w:tcW w:w="2315" w:type="dxa"/>
            <w:vMerge/>
            <w:vAlign w:val="center"/>
          </w:tcPr>
          <w:p w14:paraId="0EDF8043" w14:textId="77777777" w:rsidR="00D911CB" w:rsidRPr="00E5638B" w:rsidRDefault="00D911CB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2F4848D5" w14:textId="5BDB8F09" w:rsidR="00D911CB" w:rsidRPr="00BE35BB" w:rsidRDefault="00D911CB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D911C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Influencia de la desnutrición en el rendimiento escolar en edades pre-escolar</w:t>
            </w:r>
          </w:p>
        </w:tc>
        <w:tc>
          <w:tcPr>
            <w:tcW w:w="2260" w:type="dxa"/>
            <w:vAlign w:val="center"/>
          </w:tcPr>
          <w:p w14:paraId="031ED997" w14:textId="6DCA71A5" w:rsidR="00D911CB" w:rsidRDefault="00D911CB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Feijoo (2020)</w:t>
            </w:r>
          </w:p>
        </w:tc>
      </w:tr>
      <w:tr w:rsidR="00E7058A" w:rsidRPr="00E5638B" w14:paraId="0FA9B054" w14:textId="77777777" w:rsidTr="0039019B">
        <w:tc>
          <w:tcPr>
            <w:tcW w:w="2315" w:type="dxa"/>
            <w:vMerge/>
            <w:vAlign w:val="center"/>
          </w:tcPr>
          <w:p w14:paraId="233996F3" w14:textId="77777777" w:rsidR="00E7058A" w:rsidRPr="00E5638B" w:rsidRDefault="00E7058A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7360B5E6" w14:textId="3511694F" w:rsidR="00E7058A" w:rsidRPr="00BE35BB" w:rsidRDefault="00E7058A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E7058A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¿La desnutrición influye en el bajo rendimiento escolar? Un estudio aplicado a estudiantes de noveno grado de la Unidad Educativa “Juan José Flores”, año lectivo 2022-2023, Sigchos Ecuador</w:t>
            </w:r>
          </w:p>
        </w:tc>
        <w:tc>
          <w:tcPr>
            <w:tcW w:w="2260" w:type="dxa"/>
            <w:vAlign w:val="center"/>
          </w:tcPr>
          <w:p w14:paraId="602F3FA6" w14:textId="38C1BD4D" w:rsidR="00E7058A" w:rsidRDefault="00E7058A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Trávez et al. (2024)</w:t>
            </w:r>
          </w:p>
        </w:tc>
      </w:tr>
      <w:tr w:rsidR="00BE35BB" w:rsidRPr="00E5638B" w14:paraId="7C245616" w14:textId="77777777" w:rsidTr="0039019B">
        <w:tc>
          <w:tcPr>
            <w:tcW w:w="2315" w:type="dxa"/>
            <w:vMerge/>
            <w:vAlign w:val="center"/>
          </w:tcPr>
          <w:p w14:paraId="700181AE" w14:textId="77777777" w:rsidR="00BE35BB" w:rsidRPr="00E5638B" w:rsidRDefault="00BE35BB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04D8E2A1" w14:textId="79EFFF97" w:rsidR="00BE35BB" w:rsidRPr="00323F99" w:rsidRDefault="00BE35BB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BE35BB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Influencia de déficits nutricionales y rendimiento escolar en niños de comunidades rurales de Latinoamérica</w:t>
            </w:r>
          </w:p>
        </w:tc>
        <w:tc>
          <w:tcPr>
            <w:tcW w:w="2260" w:type="dxa"/>
            <w:vAlign w:val="center"/>
          </w:tcPr>
          <w:p w14:paraId="0F7AFC0E" w14:textId="198D236A" w:rsidR="00BE35BB" w:rsidRDefault="00BE35BB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Franco et al. (2024)</w:t>
            </w:r>
          </w:p>
        </w:tc>
      </w:tr>
      <w:tr w:rsidR="00542257" w:rsidRPr="00E5638B" w14:paraId="0147CCC6" w14:textId="77777777" w:rsidTr="0039019B">
        <w:tc>
          <w:tcPr>
            <w:tcW w:w="2315" w:type="dxa"/>
            <w:vMerge/>
            <w:vAlign w:val="center"/>
          </w:tcPr>
          <w:p w14:paraId="3DF70379" w14:textId="5830AFC4" w:rsidR="00542257" w:rsidRPr="00E5638B" w:rsidRDefault="00542257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484D19D7" w14:textId="16C60AFA" w:rsidR="00542257" w:rsidRPr="00E5638B" w:rsidRDefault="00542257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323F99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La desnutrición infantil en el proceso del aprendizaje de los niños de 5 años del nivel inicial en la Institución Educativa I.E </w:t>
            </w:r>
            <w:proofErr w:type="spellStart"/>
            <w:r w:rsidRPr="00323F99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N°</w:t>
            </w:r>
            <w:proofErr w:type="spellEnd"/>
            <w:r w:rsidRPr="00323F99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60244 Andrés Avelino Cáceres, Pebas, Loreto, Año 2021</w:t>
            </w:r>
          </w:p>
        </w:tc>
        <w:tc>
          <w:tcPr>
            <w:tcW w:w="2260" w:type="dxa"/>
            <w:vAlign w:val="center"/>
          </w:tcPr>
          <w:p w14:paraId="50E521A0" w14:textId="6B57902F" w:rsidR="00542257" w:rsidRPr="00E5638B" w:rsidRDefault="00542257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Santisteban (2021)</w:t>
            </w:r>
          </w:p>
        </w:tc>
      </w:tr>
      <w:tr w:rsidR="00542257" w:rsidRPr="00E5638B" w14:paraId="61F1F8F9" w14:textId="77777777" w:rsidTr="0039019B">
        <w:tc>
          <w:tcPr>
            <w:tcW w:w="2315" w:type="dxa"/>
            <w:vMerge/>
            <w:vAlign w:val="center"/>
          </w:tcPr>
          <w:p w14:paraId="3A876CA5" w14:textId="78848219" w:rsidR="00542257" w:rsidRPr="00E5638B" w:rsidRDefault="00542257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785FCFEE" w14:textId="13F0A5D4" w:rsidR="00542257" w:rsidRPr="00E5638B" w:rsidRDefault="00542257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E44CC5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Desnutrición y su impacto en el rendimiento escolar</w:t>
            </w:r>
          </w:p>
        </w:tc>
        <w:tc>
          <w:tcPr>
            <w:tcW w:w="2260" w:type="dxa"/>
            <w:vAlign w:val="center"/>
          </w:tcPr>
          <w:p w14:paraId="0EB8C889" w14:textId="49842D19" w:rsidR="00542257" w:rsidRPr="00E5638B" w:rsidRDefault="00542257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Cantos (2020)</w:t>
            </w:r>
          </w:p>
        </w:tc>
      </w:tr>
      <w:tr w:rsidR="0039019B" w:rsidRPr="00E5638B" w14:paraId="0219EC71" w14:textId="77777777" w:rsidTr="0039019B">
        <w:trPr>
          <w:trHeight w:val="1430"/>
        </w:trPr>
        <w:tc>
          <w:tcPr>
            <w:tcW w:w="2315" w:type="dxa"/>
            <w:vAlign w:val="center"/>
          </w:tcPr>
          <w:p w14:paraId="04D3EEEE" w14:textId="09827023" w:rsidR="0039019B" w:rsidRPr="00E5638B" w:rsidRDefault="0039019B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Actividad física; Condición física</w:t>
            </w:r>
          </w:p>
        </w:tc>
        <w:tc>
          <w:tcPr>
            <w:tcW w:w="4343" w:type="dxa"/>
            <w:vAlign w:val="center"/>
          </w:tcPr>
          <w:p w14:paraId="5181D955" w14:textId="5B9590E5" w:rsidR="0039019B" w:rsidRPr="00E5638B" w:rsidRDefault="0039019B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5101B8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Influencia del estado nutricional, nivel de actividad física y condición física en el rendimiento académico de estudiantes universitarios</w:t>
            </w:r>
          </w:p>
        </w:tc>
        <w:tc>
          <w:tcPr>
            <w:tcW w:w="2260" w:type="dxa"/>
            <w:vAlign w:val="center"/>
          </w:tcPr>
          <w:p w14:paraId="7D7B668B" w14:textId="342F3BA8" w:rsidR="0039019B" w:rsidRPr="00E5638B" w:rsidRDefault="0039019B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Montealegre (2022)</w:t>
            </w:r>
          </w:p>
        </w:tc>
      </w:tr>
      <w:tr w:rsidR="0039019B" w:rsidRPr="00E5638B" w14:paraId="2B209A62" w14:textId="77777777" w:rsidTr="0039019B">
        <w:tc>
          <w:tcPr>
            <w:tcW w:w="2315" w:type="dxa"/>
            <w:vMerge w:val="restart"/>
            <w:vAlign w:val="center"/>
          </w:tcPr>
          <w:p w14:paraId="64166009" w14:textId="58BD695C" w:rsidR="0039019B" w:rsidRPr="00E5638B" w:rsidRDefault="0039019B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Primera infancia; población infantil</w:t>
            </w:r>
          </w:p>
        </w:tc>
        <w:tc>
          <w:tcPr>
            <w:tcW w:w="4343" w:type="dxa"/>
            <w:vAlign w:val="center"/>
          </w:tcPr>
          <w:p w14:paraId="496F2491" w14:textId="2D78ED18" w:rsidR="0039019B" w:rsidRPr="00E5638B" w:rsidRDefault="0039019B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FF5DD6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Propuesta pedagógica para la cualificación de agentes educativos sobre factores nutricionales que inciden en el aprendizaje en la primera infancia</w:t>
            </w:r>
          </w:p>
        </w:tc>
        <w:tc>
          <w:tcPr>
            <w:tcW w:w="2260" w:type="dxa"/>
            <w:vAlign w:val="center"/>
          </w:tcPr>
          <w:p w14:paraId="47DAACB6" w14:textId="69E29AF0" w:rsidR="0039019B" w:rsidRPr="00E5638B" w:rsidRDefault="0039019B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Boada y Meza (2022)</w:t>
            </w:r>
          </w:p>
        </w:tc>
      </w:tr>
      <w:tr w:rsidR="0039019B" w:rsidRPr="00E5638B" w14:paraId="704D4BCF" w14:textId="77777777" w:rsidTr="0039019B">
        <w:tc>
          <w:tcPr>
            <w:tcW w:w="2315" w:type="dxa"/>
            <w:vMerge/>
            <w:vAlign w:val="center"/>
          </w:tcPr>
          <w:p w14:paraId="3F60249B" w14:textId="77777777" w:rsidR="0039019B" w:rsidRPr="00E5638B" w:rsidRDefault="0039019B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666919AF" w14:textId="7DD5A3F4" w:rsidR="0039019B" w:rsidRPr="00E5638B" w:rsidRDefault="0039019B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8B7FC9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Educación alimentaria para la prevención de problemas de salud en niños de educación inicia</w:t>
            </w:r>
          </w:p>
        </w:tc>
        <w:tc>
          <w:tcPr>
            <w:tcW w:w="2260" w:type="dxa"/>
            <w:vAlign w:val="center"/>
          </w:tcPr>
          <w:p w14:paraId="690B446F" w14:textId="51AE91BA" w:rsidR="0039019B" w:rsidRPr="00E5638B" w:rsidRDefault="0039019B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Alcívar y Ubilus (2024)</w:t>
            </w:r>
          </w:p>
        </w:tc>
      </w:tr>
      <w:tr w:rsidR="0039019B" w:rsidRPr="00E5638B" w14:paraId="39CA0A5E" w14:textId="77777777" w:rsidTr="0039019B">
        <w:tc>
          <w:tcPr>
            <w:tcW w:w="2315" w:type="dxa"/>
            <w:vMerge/>
            <w:vAlign w:val="center"/>
          </w:tcPr>
          <w:p w14:paraId="53A04D26" w14:textId="77777777" w:rsidR="0039019B" w:rsidRPr="00E5638B" w:rsidRDefault="0039019B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47BC9055" w14:textId="4C4C1997" w:rsidR="0039019B" w:rsidRPr="00E5638B" w:rsidRDefault="0039019B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693534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Estado nutricional y su relación con el rendimiento académico en escolares de 5-7 años de edad en la escuela “</w:t>
            </w:r>
            <w:r w:rsidR="00666E4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B</w:t>
            </w:r>
            <w:r w:rsidRPr="00693534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lanca </w:t>
            </w:r>
            <w:r w:rsidR="00666E4D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V</w:t>
            </w:r>
            <w:r w:rsidRPr="00693534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illamarin Ortiz” del Cantón Montalvo, octubre 2019-marzo 2020</w:t>
            </w:r>
          </w:p>
        </w:tc>
        <w:tc>
          <w:tcPr>
            <w:tcW w:w="2260" w:type="dxa"/>
            <w:vAlign w:val="center"/>
          </w:tcPr>
          <w:p w14:paraId="27F9EB71" w14:textId="67FB27D1" w:rsidR="0039019B" w:rsidRPr="00E5638B" w:rsidRDefault="0039019B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Plúas (2020)</w:t>
            </w:r>
          </w:p>
        </w:tc>
      </w:tr>
      <w:tr w:rsidR="0039019B" w:rsidRPr="00E5638B" w14:paraId="25D02F5B" w14:textId="77777777" w:rsidTr="0039019B">
        <w:tc>
          <w:tcPr>
            <w:tcW w:w="2315" w:type="dxa"/>
            <w:vMerge/>
            <w:vAlign w:val="center"/>
          </w:tcPr>
          <w:p w14:paraId="414045DE" w14:textId="77777777" w:rsidR="0039019B" w:rsidRPr="00E5638B" w:rsidRDefault="0039019B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59C5218D" w14:textId="20C25635" w:rsidR="0039019B" w:rsidRPr="00E5638B" w:rsidRDefault="0039019B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3D4A39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Estado nutricional antropométrico, nivel socioeconómico y rendimiento académico en niños escolares de 6 a 12 años</w:t>
            </w:r>
          </w:p>
        </w:tc>
        <w:tc>
          <w:tcPr>
            <w:tcW w:w="2260" w:type="dxa"/>
            <w:vAlign w:val="center"/>
          </w:tcPr>
          <w:p w14:paraId="7AA4F822" w14:textId="02997F2B" w:rsidR="0039019B" w:rsidRPr="00E5638B" w:rsidRDefault="0039019B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Saintila y Villacis (2020)</w:t>
            </w:r>
          </w:p>
        </w:tc>
      </w:tr>
      <w:tr w:rsidR="0039019B" w:rsidRPr="00E5638B" w14:paraId="011C46A4" w14:textId="77777777" w:rsidTr="0039019B">
        <w:tc>
          <w:tcPr>
            <w:tcW w:w="2315" w:type="dxa"/>
            <w:vMerge/>
            <w:vAlign w:val="center"/>
          </w:tcPr>
          <w:p w14:paraId="4B4FD6E7" w14:textId="77777777" w:rsidR="0039019B" w:rsidRPr="00E5638B" w:rsidRDefault="0039019B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50F43F0C" w14:textId="24EA3788" w:rsidR="0039019B" w:rsidRPr="003D4A39" w:rsidRDefault="0039019B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D07545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Fundamentos teóricos que sustentan el desarrollo de un protocolo de investigación dirigido al favorecimiento de una buena nutrición y su impacto en el rendimiento escolar de los alumnos del 2do grado de la escuela primaria Ignacio Ramírez de Cocula, Guerrero</w:t>
            </w:r>
          </w:p>
        </w:tc>
        <w:tc>
          <w:tcPr>
            <w:tcW w:w="2260" w:type="dxa"/>
            <w:vAlign w:val="center"/>
          </w:tcPr>
          <w:p w14:paraId="4523951D" w14:textId="63DA1BB4" w:rsidR="0039019B" w:rsidRDefault="0039019B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Mendoza (2021)</w:t>
            </w:r>
          </w:p>
        </w:tc>
      </w:tr>
      <w:tr w:rsidR="0039019B" w:rsidRPr="00E5638B" w14:paraId="2DDEE6EA" w14:textId="77777777" w:rsidTr="0039019B">
        <w:tc>
          <w:tcPr>
            <w:tcW w:w="2315" w:type="dxa"/>
            <w:vMerge/>
            <w:vAlign w:val="center"/>
          </w:tcPr>
          <w:p w14:paraId="6B857FDC" w14:textId="77777777" w:rsidR="0039019B" w:rsidRPr="00E5638B" w:rsidRDefault="0039019B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7B8719C6" w14:textId="2498551F" w:rsidR="0039019B" w:rsidRPr="00E5638B" w:rsidRDefault="0039019B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0E116A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La Lonchera Saludable en el Desarrollo Cognitivo de los niños de 4 a 5 años en el Centro de Educación Inicial Pekelandia, Ciudad de Riobamba</w:t>
            </w:r>
          </w:p>
        </w:tc>
        <w:tc>
          <w:tcPr>
            <w:tcW w:w="2260" w:type="dxa"/>
            <w:vAlign w:val="center"/>
          </w:tcPr>
          <w:p w14:paraId="08F4AEB4" w14:textId="4CE74030" w:rsidR="0039019B" w:rsidRPr="00E5638B" w:rsidRDefault="0039019B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Herrera (2023)</w:t>
            </w:r>
          </w:p>
        </w:tc>
      </w:tr>
      <w:tr w:rsidR="000621B8" w:rsidRPr="00E5638B" w14:paraId="5AD12724" w14:textId="77777777" w:rsidTr="0039019B">
        <w:tc>
          <w:tcPr>
            <w:tcW w:w="2315" w:type="dxa"/>
            <w:vAlign w:val="center"/>
          </w:tcPr>
          <w:p w14:paraId="1AE9540F" w14:textId="74ED56E8" w:rsidR="000621B8" w:rsidRPr="00E5638B" w:rsidRDefault="003C7378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Sobrepeso; Obesidad</w:t>
            </w:r>
          </w:p>
        </w:tc>
        <w:tc>
          <w:tcPr>
            <w:tcW w:w="4343" w:type="dxa"/>
            <w:vAlign w:val="center"/>
          </w:tcPr>
          <w:p w14:paraId="044A70A3" w14:textId="070F9A34" w:rsidR="000621B8" w:rsidRPr="00E5638B" w:rsidRDefault="003C7378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3C7378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Prevalencia y tendencia de sobrepeso, obesidad y consumo de alimentos no recomendables en escolares del norte de México</w:t>
            </w:r>
          </w:p>
        </w:tc>
        <w:tc>
          <w:tcPr>
            <w:tcW w:w="2260" w:type="dxa"/>
            <w:vAlign w:val="center"/>
          </w:tcPr>
          <w:p w14:paraId="36CFBEA2" w14:textId="36C26D6A" w:rsidR="000621B8" w:rsidRPr="00E5638B" w:rsidRDefault="003C7378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Almanza (2023)</w:t>
            </w:r>
          </w:p>
        </w:tc>
      </w:tr>
      <w:tr w:rsidR="0039019B" w:rsidRPr="00E5638B" w14:paraId="75A3EF0F" w14:textId="77777777" w:rsidTr="0039019B">
        <w:tc>
          <w:tcPr>
            <w:tcW w:w="2315" w:type="dxa"/>
            <w:vMerge w:val="restart"/>
            <w:vAlign w:val="center"/>
          </w:tcPr>
          <w:p w14:paraId="6C67BF48" w14:textId="09A6CD26" w:rsidR="0039019B" w:rsidRDefault="0039019B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Factores socioeconómicos</w:t>
            </w:r>
          </w:p>
        </w:tc>
        <w:tc>
          <w:tcPr>
            <w:tcW w:w="4343" w:type="dxa"/>
            <w:vAlign w:val="center"/>
          </w:tcPr>
          <w:p w14:paraId="6322196D" w14:textId="690B83AF" w:rsidR="0039019B" w:rsidRPr="003C7378" w:rsidRDefault="0039019B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274970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Factores </w:t>
            </w:r>
            <w:r w:rsidR="00666E4D" w:rsidRPr="00274970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socioeconómicos</w:t>
            </w:r>
            <w:r w:rsidRPr="00274970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que influyen en el rendimiento </w:t>
            </w:r>
            <w:r w:rsidR="00666E4D" w:rsidRPr="00274970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académico</w:t>
            </w:r>
            <w:r w:rsidRPr="00274970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 xml:space="preserve"> de los beneficiarios del programa social beca 18 en Senati Huaraz-2016</w:t>
            </w:r>
          </w:p>
        </w:tc>
        <w:tc>
          <w:tcPr>
            <w:tcW w:w="2260" w:type="dxa"/>
            <w:vAlign w:val="center"/>
          </w:tcPr>
          <w:p w14:paraId="2E365692" w14:textId="02F08BC7" w:rsidR="0039019B" w:rsidRDefault="0039019B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Huerta (2020)</w:t>
            </w:r>
          </w:p>
        </w:tc>
      </w:tr>
      <w:tr w:rsidR="0039019B" w:rsidRPr="00E5638B" w14:paraId="68643068" w14:textId="77777777" w:rsidTr="0039019B">
        <w:tc>
          <w:tcPr>
            <w:tcW w:w="2315" w:type="dxa"/>
            <w:vMerge/>
            <w:vAlign w:val="center"/>
          </w:tcPr>
          <w:p w14:paraId="3F5CC5D5" w14:textId="77777777" w:rsidR="0039019B" w:rsidRDefault="0039019B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651E601B" w14:textId="688D667F" w:rsidR="0039019B" w:rsidRPr="00274970" w:rsidRDefault="0039019B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161456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Aplicación del análisis de componentes principales para determinar los factores que influyen en el rendimiento académico de los estudiantes de nivel secundario público del distrito Layo-Canas 2022</w:t>
            </w:r>
          </w:p>
        </w:tc>
        <w:tc>
          <w:tcPr>
            <w:tcW w:w="2260" w:type="dxa"/>
            <w:vAlign w:val="center"/>
          </w:tcPr>
          <w:p w14:paraId="5959E2F1" w14:textId="277584CC" w:rsidR="0039019B" w:rsidRDefault="0039019B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Hancco y Arce (2024)</w:t>
            </w:r>
          </w:p>
        </w:tc>
      </w:tr>
      <w:tr w:rsidR="0039019B" w:rsidRPr="00E5638B" w14:paraId="42EBF963" w14:textId="77777777" w:rsidTr="0039019B">
        <w:tc>
          <w:tcPr>
            <w:tcW w:w="2315" w:type="dxa"/>
            <w:vMerge/>
            <w:vAlign w:val="center"/>
          </w:tcPr>
          <w:p w14:paraId="41F76614" w14:textId="77777777" w:rsidR="0039019B" w:rsidRDefault="0039019B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</w:p>
        </w:tc>
        <w:tc>
          <w:tcPr>
            <w:tcW w:w="4343" w:type="dxa"/>
            <w:vAlign w:val="center"/>
          </w:tcPr>
          <w:p w14:paraId="4B13E635" w14:textId="7B8D7B7A" w:rsidR="0039019B" w:rsidRPr="00E5638B" w:rsidRDefault="0039019B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 w:rsidRPr="00887413"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Factores de Salud y Socioeconómicos Asociados al Rendimiento Escolar en Familias Monoparentales, Escuela Gaspar Sangurima, Santa Ana, 2021</w:t>
            </w:r>
          </w:p>
        </w:tc>
        <w:tc>
          <w:tcPr>
            <w:tcW w:w="2260" w:type="dxa"/>
            <w:vAlign w:val="center"/>
          </w:tcPr>
          <w:p w14:paraId="55734A08" w14:textId="274E735F" w:rsidR="0039019B" w:rsidRPr="00E5638B" w:rsidRDefault="0039019B" w:rsidP="006733E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s-419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s-419"/>
              </w:rPr>
              <w:t>López et al. (2021)</w:t>
            </w:r>
          </w:p>
        </w:tc>
      </w:tr>
    </w:tbl>
    <w:p w14:paraId="32F07DC5" w14:textId="77777777" w:rsidR="008F3169" w:rsidRPr="008D6D92" w:rsidRDefault="008F3169" w:rsidP="00EE57D7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419"/>
        </w:rPr>
      </w:pPr>
    </w:p>
    <w:sectPr w:rsidR="008F3169" w:rsidRPr="008D6D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7894E" w14:textId="77777777" w:rsidR="00311B83" w:rsidRDefault="00311B83" w:rsidP="00E44CC5">
      <w:pPr>
        <w:spacing w:after="0" w:line="240" w:lineRule="auto"/>
      </w:pPr>
      <w:r>
        <w:separator/>
      </w:r>
    </w:p>
  </w:endnote>
  <w:endnote w:type="continuationSeparator" w:id="0">
    <w:p w14:paraId="4CD5347A" w14:textId="77777777" w:rsidR="00311B83" w:rsidRDefault="00311B83" w:rsidP="00E44C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574B6" w14:textId="77777777" w:rsidR="00311B83" w:rsidRDefault="00311B83" w:rsidP="00E44CC5">
      <w:pPr>
        <w:spacing w:after="0" w:line="240" w:lineRule="auto"/>
      </w:pPr>
      <w:r>
        <w:separator/>
      </w:r>
    </w:p>
  </w:footnote>
  <w:footnote w:type="continuationSeparator" w:id="0">
    <w:p w14:paraId="6D67D44B" w14:textId="77777777" w:rsidR="00311B83" w:rsidRDefault="00311B83" w:rsidP="00E44C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FB7"/>
    <w:rsid w:val="000278FF"/>
    <w:rsid w:val="000347C5"/>
    <w:rsid w:val="0005232F"/>
    <w:rsid w:val="00054932"/>
    <w:rsid w:val="000621B8"/>
    <w:rsid w:val="00070572"/>
    <w:rsid w:val="0007355F"/>
    <w:rsid w:val="0007657C"/>
    <w:rsid w:val="0009175A"/>
    <w:rsid w:val="000B15EB"/>
    <w:rsid w:val="000C1A62"/>
    <w:rsid w:val="000E116A"/>
    <w:rsid w:val="000E4309"/>
    <w:rsid w:val="00121532"/>
    <w:rsid w:val="00134503"/>
    <w:rsid w:val="00161456"/>
    <w:rsid w:val="002339EB"/>
    <w:rsid w:val="0025248C"/>
    <w:rsid w:val="00274970"/>
    <w:rsid w:val="002844DC"/>
    <w:rsid w:val="002C32DA"/>
    <w:rsid w:val="002C4732"/>
    <w:rsid w:val="00311B83"/>
    <w:rsid w:val="003138CB"/>
    <w:rsid w:val="00323F99"/>
    <w:rsid w:val="00330107"/>
    <w:rsid w:val="00341199"/>
    <w:rsid w:val="00354E32"/>
    <w:rsid w:val="0039019B"/>
    <w:rsid w:val="00390EEC"/>
    <w:rsid w:val="003A388A"/>
    <w:rsid w:val="003A75AC"/>
    <w:rsid w:val="003B1E9A"/>
    <w:rsid w:val="003C7378"/>
    <w:rsid w:val="003D4A39"/>
    <w:rsid w:val="003E6C15"/>
    <w:rsid w:val="003F1730"/>
    <w:rsid w:val="00412E8A"/>
    <w:rsid w:val="00423E79"/>
    <w:rsid w:val="00426777"/>
    <w:rsid w:val="00431417"/>
    <w:rsid w:val="0044465F"/>
    <w:rsid w:val="0049689C"/>
    <w:rsid w:val="004B2371"/>
    <w:rsid w:val="004B6042"/>
    <w:rsid w:val="005101B8"/>
    <w:rsid w:val="00512FB9"/>
    <w:rsid w:val="00521DB0"/>
    <w:rsid w:val="00542257"/>
    <w:rsid w:val="005443B7"/>
    <w:rsid w:val="00592687"/>
    <w:rsid w:val="005B3261"/>
    <w:rsid w:val="005C13E9"/>
    <w:rsid w:val="00602238"/>
    <w:rsid w:val="00644708"/>
    <w:rsid w:val="00666E4D"/>
    <w:rsid w:val="006733E4"/>
    <w:rsid w:val="00693534"/>
    <w:rsid w:val="006A5DF5"/>
    <w:rsid w:val="006B0F50"/>
    <w:rsid w:val="006F013B"/>
    <w:rsid w:val="006F4E39"/>
    <w:rsid w:val="00704E98"/>
    <w:rsid w:val="007240F3"/>
    <w:rsid w:val="0074226F"/>
    <w:rsid w:val="00744995"/>
    <w:rsid w:val="00744CFC"/>
    <w:rsid w:val="0077315E"/>
    <w:rsid w:val="007A5BC7"/>
    <w:rsid w:val="00800AE5"/>
    <w:rsid w:val="008034A6"/>
    <w:rsid w:val="008576E0"/>
    <w:rsid w:val="008737EF"/>
    <w:rsid w:val="008743D7"/>
    <w:rsid w:val="00881C55"/>
    <w:rsid w:val="00887413"/>
    <w:rsid w:val="008B7FC9"/>
    <w:rsid w:val="008D018E"/>
    <w:rsid w:val="008D6D92"/>
    <w:rsid w:val="008E6401"/>
    <w:rsid w:val="008E7922"/>
    <w:rsid w:val="008F3169"/>
    <w:rsid w:val="00902C16"/>
    <w:rsid w:val="00995A84"/>
    <w:rsid w:val="009C3B87"/>
    <w:rsid w:val="009C76A3"/>
    <w:rsid w:val="009F6D37"/>
    <w:rsid w:val="00A316CD"/>
    <w:rsid w:val="00A51B6B"/>
    <w:rsid w:val="00A90C22"/>
    <w:rsid w:val="00B048DA"/>
    <w:rsid w:val="00B41053"/>
    <w:rsid w:val="00B65FC0"/>
    <w:rsid w:val="00B716B6"/>
    <w:rsid w:val="00B92AAD"/>
    <w:rsid w:val="00BA2351"/>
    <w:rsid w:val="00BD393E"/>
    <w:rsid w:val="00BE35BB"/>
    <w:rsid w:val="00C23866"/>
    <w:rsid w:val="00C70111"/>
    <w:rsid w:val="00CB603D"/>
    <w:rsid w:val="00CC77A8"/>
    <w:rsid w:val="00CD4F39"/>
    <w:rsid w:val="00CE5764"/>
    <w:rsid w:val="00CF4A53"/>
    <w:rsid w:val="00CF6B28"/>
    <w:rsid w:val="00D07545"/>
    <w:rsid w:val="00D21D19"/>
    <w:rsid w:val="00D84DD2"/>
    <w:rsid w:val="00D911CB"/>
    <w:rsid w:val="00DB44D3"/>
    <w:rsid w:val="00DC37E4"/>
    <w:rsid w:val="00E112B8"/>
    <w:rsid w:val="00E20C41"/>
    <w:rsid w:val="00E44CC5"/>
    <w:rsid w:val="00E540CB"/>
    <w:rsid w:val="00E54C6C"/>
    <w:rsid w:val="00E5638B"/>
    <w:rsid w:val="00E7058A"/>
    <w:rsid w:val="00ED6F0D"/>
    <w:rsid w:val="00EE57D7"/>
    <w:rsid w:val="00EF62EB"/>
    <w:rsid w:val="00F062F8"/>
    <w:rsid w:val="00F1042F"/>
    <w:rsid w:val="00F10DE1"/>
    <w:rsid w:val="00F11DA6"/>
    <w:rsid w:val="00F24998"/>
    <w:rsid w:val="00F254C9"/>
    <w:rsid w:val="00F52CD4"/>
    <w:rsid w:val="00F53DE7"/>
    <w:rsid w:val="00F9566C"/>
    <w:rsid w:val="00FB03A9"/>
    <w:rsid w:val="00FB4FB7"/>
    <w:rsid w:val="00FF0F49"/>
    <w:rsid w:val="00FF5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8727C"/>
  <w15:chartTrackingRefBased/>
  <w15:docId w15:val="{9815E015-C5F5-4CD0-8E24-9922FC8C3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4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4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4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4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4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4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4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4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4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4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4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4F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4F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4F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4F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4F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4F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4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4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4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4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4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4F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4F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4F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4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4F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4FB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10D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E44C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4CC5"/>
  </w:style>
  <w:style w:type="paragraph" w:styleId="Piedepgina">
    <w:name w:val="footer"/>
    <w:basedOn w:val="Normal"/>
    <w:link w:val="PiedepginaCar"/>
    <w:uiPriority w:val="99"/>
    <w:unhideWhenUsed/>
    <w:rsid w:val="00E44C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4C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3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ivand\AppData\Local\Microsoft\Windows\INetCache\IE\QFT7NA6X\Matriz%20de%20An&#225;lisis%20-%20UNAC%20(Jorge%20Hoyos)%20(1)%20(1)%5b1%5d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ivand\AppData\Local\Microsoft\Windows\INetCache\IE\QFT7NA6X\Matriz%20de%20An&#225;lisis%20-%20UNAC%20(Jorge%20Hoyos)%20(1)%20(1)%5b1%5d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ivand\AppData\Local\Microsoft\Windows\INetCache\IE\QFT7NA6X\Matriz%20de%20An&#225;lisis%20-%20UNAC%20(Jorge%20Hoyos)%20(1)%20(1)%5b1%5d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ivand\AppData\Local\Microsoft\Windows\INetCache\IE\QFT7NA6X\Matriz%20de%20An&#225;lisis%20-%20UNAC%20(Jorge%20Hoyos)%20(1)%20(1)%5b1%5d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4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en-US"/>
              <a:t>Cantidad de trabajos por año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s-419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stacked"/>
        <c:varyColors val="0"/>
        <c:ser>
          <c:idx val="0"/>
          <c:order val="0"/>
          <c:tx>
            <c:strRef>
              <c:f>Hoja1!$E$4</c:f>
              <c:strCache>
                <c:ptCount val="1"/>
                <c:pt idx="0">
                  <c:v>Cantidad de trabajos</c:v>
                </c:pt>
              </c:strCache>
            </c:strRef>
          </c:tx>
          <c:spPr>
            <a:pattFill prst="ltUpDiag">
              <a:fgClr>
                <a:schemeClr val="accent1"/>
              </a:fgClr>
              <a:bgClr>
                <a:schemeClr val="bg1"/>
              </a:bgClr>
            </a:patt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s-419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Hoja1!$F$3:$L$3</c:f>
              <c:strCache>
                <c:ptCount val="7"/>
                <c:pt idx="0">
                  <c:v>Año 2019</c:v>
                </c:pt>
                <c:pt idx="1">
                  <c:v>Año 2020</c:v>
                </c:pt>
                <c:pt idx="2">
                  <c:v>Año 2021</c:v>
                </c:pt>
                <c:pt idx="3">
                  <c:v>Año 2022</c:v>
                </c:pt>
                <c:pt idx="4">
                  <c:v>Año 2023</c:v>
                </c:pt>
                <c:pt idx="5">
                  <c:v>Año 2024</c:v>
                </c:pt>
                <c:pt idx="6">
                  <c:v>Año 2025</c:v>
                </c:pt>
              </c:strCache>
            </c:strRef>
          </c:cat>
          <c:val>
            <c:numRef>
              <c:f>Hoja1!$F$4:$L$4</c:f>
              <c:numCache>
                <c:formatCode>General</c:formatCode>
                <c:ptCount val="7"/>
                <c:pt idx="0">
                  <c:v>1</c:v>
                </c:pt>
                <c:pt idx="1">
                  <c:v>9</c:v>
                </c:pt>
                <c:pt idx="2">
                  <c:v>8</c:v>
                </c:pt>
                <c:pt idx="3">
                  <c:v>9</c:v>
                </c:pt>
                <c:pt idx="4">
                  <c:v>9</c:v>
                </c:pt>
                <c:pt idx="5">
                  <c:v>12</c:v>
                </c:pt>
                <c:pt idx="6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7B8-4B68-8866-FBA02CE4967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08726239"/>
        <c:axId val="108728159"/>
        <c:axId val="0"/>
      </c:bar3DChart>
      <c:catAx>
        <c:axId val="10872623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s-419"/>
          </a:p>
        </c:txPr>
        <c:crossAx val="108728159"/>
        <c:crosses val="autoZero"/>
        <c:auto val="1"/>
        <c:lblAlgn val="ctr"/>
        <c:lblOffset val="100"/>
        <c:noMultiLvlLbl val="0"/>
      </c:catAx>
      <c:valAx>
        <c:axId val="10872815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s-419"/>
          </a:p>
        </c:txPr>
        <c:crossAx val="10872623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>
          <a:latin typeface="Times New Roman" panose="02020603050405020304" pitchFamily="18" charset="0"/>
          <a:cs typeface="Times New Roman" panose="02020603050405020304" pitchFamily="18" charset="0"/>
        </a:defRPr>
      </a:pPr>
      <a:endParaRPr lang="es-419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s-419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Hoja1!$E$59</c:f>
              <c:strCache>
                <c:ptCount val="1"/>
                <c:pt idx="0">
                  <c:v>Cantidad de trabajos por base de datos</c:v>
                </c:pt>
              </c:strCache>
            </c:strRef>
          </c:tx>
          <c:spPr>
            <a:pattFill prst="ltUpDiag">
              <a:fgClr>
                <a:schemeClr val="accent1"/>
              </a:fgClr>
              <a:bgClr>
                <a:schemeClr val="bg1"/>
              </a:bgClr>
            </a:patt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s-419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Hoja1!$F$58:$I$58</c:f>
              <c:strCache>
                <c:ptCount val="4"/>
                <c:pt idx="0">
                  <c:v>Dialnet</c:v>
                </c:pt>
                <c:pt idx="1">
                  <c:v>Google Académico</c:v>
                </c:pt>
                <c:pt idx="2">
                  <c:v>Scielo</c:v>
                </c:pt>
                <c:pt idx="3">
                  <c:v>Repositorios</c:v>
                </c:pt>
              </c:strCache>
            </c:strRef>
          </c:cat>
          <c:val>
            <c:numRef>
              <c:f>Hoja1!$F$59:$I$59</c:f>
              <c:numCache>
                <c:formatCode>General</c:formatCode>
                <c:ptCount val="4"/>
                <c:pt idx="0">
                  <c:v>3</c:v>
                </c:pt>
                <c:pt idx="1">
                  <c:v>29</c:v>
                </c:pt>
                <c:pt idx="2">
                  <c:v>5</c:v>
                </c:pt>
                <c:pt idx="3">
                  <c:v>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A00-4A77-B112-F0DA76B4ADE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78444783"/>
        <c:axId val="178445263"/>
        <c:axId val="0"/>
      </c:bar3DChart>
      <c:catAx>
        <c:axId val="17844478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s-419"/>
          </a:p>
        </c:txPr>
        <c:crossAx val="178445263"/>
        <c:crosses val="autoZero"/>
        <c:auto val="1"/>
        <c:lblAlgn val="ctr"/>
        <c:lblOffset val="100"/>
        <c:noMultiLvlLbl val="0"/>
      </c:catAx>
      <c:valAx>
        <c:axId val="1784452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s-419"/>
          </a:p>
        </c:txPr>
        <c:crossAx val="17844478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>
          <a:latin typeface="Times New Roman" panose="02020603050405020304" pitchFamily="18" charset="0"/>
          <a:cs typeface="Times New Roman" panose="02020603050405020304" pitchFamily="18" charset="0"/>
        </a:defRPr>
      </a:pPr>
      <a:endParaRPr lang="es-419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s-419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Hoja2!$E$3</c:f>
              <c:strCache>
                <c:ptCount val="1"/>
                <c:pt idx="0">
                  <c:v>Cantidad de trabajos por tipología</c:v>
                </c:pt>
              </c:strCache>
            </c:strRef>
          </c:tx>
          <c:spPr>
            <a:pattFill prst="ltUpDiag">
              <a:fgClr>
                <a:schemeClr val="accent1"/>
              </a:fgClr>
              <a:bgClr>
                <a:schemeClr val="bg1"/>
              </a:bgClr>
            </a:patt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s-419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Hoja2!$F$2:$N$2</c:f>
              <c:strCache>
                <c:ptCount val="9"/>
                <c:pt idx="0">
                  <c:v>Artículos científicos</c:v>
                </c:pt>
                <c:pt idx="1">
                  <c:v>Artículos de revisión</c:v>
                </c:pt>
                <c:pt idx="2">
                  <c:v>Ensayo</c:v>
                </c:pt>
                <c:pt idx="3">
                  <c:v>Libro</c:v>
                </c:pt>
                <c:pt idx="4">
                  <c:v>Trabajo de grado</c:v>
                </c:pt>
                <c:pt idx="5">
                  <c:v>Tesis de especialización</c:v>
                </c:pt>
                <c:pt idx="6">
                  <c:v>Tesis de maestría</c:v>
                </c:pt>
                <c:pt idx="7">
                  <c:v>Tesis doctoral</c:v>
                </c:pt>
                <c:pt idx="8">
                  <c:v>Otro</c:v>
                </c:pt>
              </c:strCache>
            </c:strRef>
          </c:cat>
          <c:val>
            <c:numRef>
              <c:f>Hoja2!$F$3:$N$3</c:f>
              <c:numCache>
                <c:formatCode>General</c:formatCode>
                <c:ptCount val="9"/>
                <c:pt idx="0">
                  <c:v>19</c:v>
                </c:pt>
                <c:pt idx="1">
                  <c:v>3</c:v>
                </c:pt>
                <c:pt idx="2">
                  <c:v>1</c:v>
                </c:pt>
                <c:pt idx="3">
                  <c:v>1</c:v>
                </c:pt>
                <c:pt idx="4">
                  <c:v>14</c:v>
                </c:pt>
                <c:pt idx="5">
                  <c:v>1</c:v>
                </c:pt>
                <c:pt idx="6">
                  <c:v>9</c:v>
                </c:pt>
                <c:pt idx="7">
                  <c:v>1</c:v>
                </c:pt>
                <c:pt idx="8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6C6-40A4-85F7-3D2F6D72C42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84230111"/>
        <c:axId val="184230591"/>
        <c:axId val="0"/>
      </c:bar3DChart>
      <c:catAx>
        <c:axId val="18423011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s-419"/>
          </a:p>
        </c:txPr>
        <c:crossAx val="184230591"/>
        <c:crosses val="autoZero"/>
        <c:auto val="1"/>
        <c:lblAlgn val="ctr"/>
        <c:lblOffset val="100"/>
        <c:noMultiLvlLbl val="0"/>
      </c:catAx>
      <c:valAx>
        <c:axId val="18423059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s-419"/>
          </a:p>
        </c:txPr>
        <c:crossAx val="18423011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>
          <a:latin typeface="Times New Roman" panose="02020603050405020304" pitchFamily="18" charset="0"/>
          <a:cs typeface="Times New Roman" panose="02020603050405020304" pitchFamily="18" charset="0"/>
        </a:defRPr>
      </a:pPr>
      <a:endParaRPr lang="es-419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4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es-419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Hoja3!$D$3</c:f>
              <c:strCache>
                <c:ptCount val="1"/>
                <c:pt idx="0">
                  <c:v>Cantidad de estudios por enfoque</c:v>
                </c:pt>
              </c:strCache>
            </c:strRef>
          </c:tx>
          <c:spPr>
            <a:pattFill prst="ltDnDiag">
              <a:fgClr>
                <a:schemeClr val="accent1"/>
              </a:fgClr>
              <a:bgClr>
                <a:schemeClr val="bg1"/>
              </a:bgClr>
            </a:patt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es-419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Hoja3!$E$2:$G$2</c:f>
              <c:strCache>
                <c:ptCount val="3"/>
                <c:pt idx="0">
                  <c:v>Cuantitativo</c:v>
                </c:pt>
                <c:pt idx="1">
                  <c:v>Cualitativo </c:v>
                </c:pt>
                <c:pt idx="2">
                  <c:v>Mixto</c:v>
                </c:pt>
              </c:strCache>
            </c:strRef>
          </c:cat>
          <c:val>
            <c:numRef>
              <c:f>Hoja3!$E$3:$G$3</c:f>
              <c:numCache>
                <c:formatCode>General</c:formatCode>
                <c:ptCount val="3"/>
                <c:pt idx="0">
                  <c:v>18</c:v>
                </c:pt>
                <c:pt idx="1">
                  <c:v>18</c:v>
                </c:pt>
                <c:pt idx="2">
                  <c:v>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4A1-4B5A-9011-96D970368E7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82212655"/>
        <c:axId val="182214095"/>
        <c:axId val="0"/>
      </c:bar3DChart>
      <c:catAx>
        <c:axId val="18221265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s-419"/>
          </a:p>
        </c:txPr>
        <c:crossAx val="182214095"/>
        <c:crosses val="autoZero"/>
        <c:auto val="1"/>
        <c:lblAlgn val="ctr"/>
        <c:lblOffset val="100"/>
        <c:noMultiLvlLbl val="0"/>
      </c:catAx>
      <c:valAx>
        <c:axId val="1822140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s-419"/>
          </a:p>
        </c:txPr>
        <c:crossAx val="18221265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>
          <a:latin typeface="Times New Roman" panose="02020603050405020304" pitchFamily="18" charset="0"/>
          <a:cs typeface="Times New Roman" panose="02020603050405020304" pitchFamily="18" charset="0"/>
        </a:defRPr>
      </a:pPr>
      <a:endParaRPr lang="es-419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8</Pages>
  <Words>1663</Words>
  <Characters>9150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fontalvo</dc:creator>
  <cp:keywords/>
  <dc:description/>
  <cp:lastModifiedBy>Karolay Paola Aguas Hernández</cp:lastModifiedBy>
  <cp:revision>114</cp:revision>
  <dcterms:created xsi:type="dcterms:W3CDTF">2025-03-20T17:37:00Z</dcterms:created>
  <dcterms:modified xsi:type="dcterms:W3CDTF">2025-03-20T20:57:00Z</dcterms:modified>
</cp:coreProperties>
</file>