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on to maintain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has lots of error checking place for example it checks that textboxes which should not be empty aren’t empty and tells the user to fill it in before accepting the information or checking the password meets the c</w:t>
            </w:r>
            <w:r w:rsidR="006810EC">
              <w:rPr>
                <w:rFonts w:ascii="Times New Roman" w:hAnsi="Times New Roman" w:cs="Times New Roman"/>
                <w:sz w:val="20"/>
                <w:szCs w:val="20"/>
              </w:rPr>
              <w:t>orrect criteria before accepting</w:t>
            </w:r>
            <w:bookmarkStart w:id="0" w:name="_GoBack"/>
            <w:bookmarkEnd w:id="0"/>
            <w:r>
              <w:rPr>
                <w:rFonts w:ascii="Times New Roman" w:hAnsi="Times New Roman" w:cs="Times New Roman"/>
                <w:sz w:val="20"/>
                <w:szCs w:val="20"/>
              </w:rPr>
              <w:t xml:space="preserve">.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not have to remember information from one part of the dialogue to another. Instructions for use of the </w:t>
            </w:r>
            <w:r w:rsidRPr="009E038E">
              <w:rPr>
                <w:rFonts w:ascii="Times New Roman" w:hAnsi="Times New Roman" w:cs="Times New Roman"/>
                <w:color w:val="2B2828"/>
                <w:sz w:val="20"/>
                <w:szCs w:val="20"/>
                <w:shd w:val="clear" w:color="auto" w:fill="FFFFFF"/>
              </w:rPr>
              <w:lastRenderedPageBreak/>
              <w:t>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ent ingredients or method steps that they use in re</w:t>
            </w:r>
            <w:r w:rsidR="00EC2054">
              <w:rPr>
                <w:rFonts w:ascii="Times New Roman" w:hAnsi="Times New Roman" w:cs="Times New Roman"/>
                <w:sz w:val="20"/>
                <w:szCs w:val="20"/>
              </w:rPr>
              <w:t>c</w:t>
            </w:r>
            <w:r w:rsidR="000313FF">
              <w:rPr>
                <w:rFonts w:ascii="Times New Roman" w:hAnsi="Times New Roman" w:cs="Times New Roman"/>
                <w:sz w:val="20"/>
                <w:szCs w:val="20"/>
              </w:rPr>
              <w:t>ipes.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D1AEA"/>
    <w:rsid w:val="006810EC"/>
    <w:rsid w:val="00BE6C83"/>
    <w:rsid w:val="00E23F7E"/>
    <w:rsid w:val="00EC2054"/>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5</cp:revision>
  <dcterms:created xsi:type="dcterms:W3CDTF">2015-04-08T17:59:00Z</dcterms:created>
  <dcterms:modified xsi:type="dcterms:W3CDTF">2015-04-19T11:04:00Z</dcterms:modified>
</cp:coreProperties>
</file>